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83" w:lineRule="auto"/>
        <w:tabs>
          <w:tab w:leader="none" w:pos="4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0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Mister Car Wash, Inc.</w:t>
      </w:r>
    </w:p>
    <w:p>
      <w:pPr>
        <w:sectPr>
          <w:pgSz w:w="11900" w:h="16838" w:orient="portrait"/>
          <w:cols w:equalWidth="0" w:num="1">
            <w:col w:w="11240"/>
          </w:cols>
          <w:pgMar w:left="320" w:top="692"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24" w:lineRule="auto"/>
        <w:rPr>
          <w:sz w:val="20"/>
          <w:szCs w:val="20"/>
          <w:color w:val="auto"/>
        </w:rPr>
      </w:pPr>
      <w:r>
        <w:rPr>
          <w:rFonts w:ascii="Arial" w:cs="Arial" w:eastAsia="Arial" w:hAnsi="Arial"/>
          <w:sz w:val="13"/>
          <w:szCs w:val="13"/>
          <w:b w:val="1"/>
          <w:bCs w:val="1"/>
          <w:color w:val="auto"/>
        </w:rPr>
        <w:t>incorporation or organization)</w:t>
      </w:r>
    </w:p>
    <w:p>
      <w:pPr>
        <w:ind w:left="2200"/>
        <w:spacing w:after="0" w:line="235" w:lineRule="auto"/>
        <w:rPr>
          <w:sz w:val="20"/>
          <w:szCs w:val="20"/>
          <w:color w:val="auto"/>
        </w:rPr>
      </w:pPr>
      <w:r>
        <w:rPr>
          <w:rFonts w:ascii="Arial" w:cs="Arial" w:eastAsia="Arial" w:hAnsi="Arial"/>
          <w:sz w:val="18"/>
          <w:szCs w:val="18"/>
          <w:b w:val="1"/>
          <w:bCs w:val="1"/>
          <w:color w:val="auto"/>
        </w:rPr>
        <w:t>222 E. 5</w:t>
      </w:r>
      <w:r>
        <w:rPr>
          <w:rFonts w:ascii="Arial" w:cs="Arial" w:eastAsia="Arial" w:hAnsi="Arial"/>
          <w:sz w:val="24"/>
          <w:szCs w:val="24"/>
          <w:b w:val="1"/>
          <w:bCs w:val="1"/>
          <w:color w:val="auto"/>
          <w:vertAlign w:val="superscript"/>
        </w:rPr>
        <w:t>th</w:t>
      </w:r>
      <w:r>
        <w:rPr>
          <w:rFonts w:ascii="Arial" w:cs="Arial" w:eastAsia="Arial" w:hAnsi="Arial"/>
          <w:sz w:val="18"/>
          <w:szCs w:val="18"/>
          <w:b w:val="1"/>
          <w:bCs w:val="1"/>
          <w:color w:val="auto"/>
        </w:rPr>
        <w:t xml:space="preserve"> Street</w:t>
      </w:r>
    </w:p>
    <w:p>
      <w:pPr>
        <w:spacing w:after="0" w:line="1"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Tucson,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47-1393909</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85705</w:t>
      </w:r>
    </w:p>
    <w:p>
      <w:pPr>
        <w:spacing w:after="0" w:line="36" w:lineRule="exact"/>
        <w:rPr>
          <w:sz w:val="24"/>
          <w:szCs w:val="24"/>
          <w:color w:val="auto"/>
        </w:rPr>
      </w:pPr>
    </w:p>
    <w:p>
      <w:pPr>
        <w:sectPr>
          <w:pgSz w:w="11900" w:h="16838" w:orient="portrait"/>
          <w:cols w:equalWidth="0" w:num="2">
            <w:col w:w="7620" w:space="320"/>
            <w:col w:w="3300"/>
          </w:cols>
          <w:pgMar w:left="320" w:top="692"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(520) 615-4000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w:t>
      </w:r>
    </w:p>
    <w:p>
      <w:pPr>
        <w:jc w:val="center"/>
        <w:ind w:right="20"/>
        <w:spacing w:after="0"/>
        <w:rPr>
          <w:sz w:val="20"/>
          <w:szCs w:val="20"/>
          <w:color w:val="auto"/>
        </w:rPr>
      </w:pPr>
      <w:r>
        <w:rPr>
          <w:rFonts w:ascii="Arial" w:cs="Arial" w:eastAsia="Arial" w:hAnsi="Arial"/>
          <w:sz w:val="13"/>
          <w:szCs w:val="13"/>
          <w:b w:val="1"/>
          <w:bCs w:val="1"/>
          <w:color w:val="auto"/>
        </w:rPr>
        <w:t>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rPr>
              <w:t>Common stock, par value $0.01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MCW</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40"/>
        <w:spacing w:after="0" w:line="26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31, 2023, the registrant had 312,503,201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60" w:type="dxa"/>
            <w:vAlign w:val="bottom"/>
            <w:gridSpan w:val="5"/>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60" w:type="dxa"/>
            <w:vAlign w:val="bottom"/>
            <w:gridSpan w:val="13"/>
          </w:tcPr>
          <w:p>
            <w:pPr>
              <w:spacing w:after="0" w:line="182" w:lineRule="exact"/>
              <w:rPr>
                <w:sz w:val="20"/>
                <w:szCs w:val="20"/>
                <w:color w:val="auto"/>
              </w:rPr>
            </w:pPr>
            <w:r>
              <w:rPr>
                <w:rFonts w:ascii="Arial" w:cs="Arial" w:eastAsia="Arial" w:hAnsi="Arial"/>
                <w:sz w:val="18"/>
                <w:szCs w:val="18"/>
                <w:color w:val="0000FF"/>
              </w:rPr>
              <w:t>FORWARD-LOOKING STATEMENTS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80" w:type="dxa"/>
            <w:vAlign w:val="bottom"/>
            <w:gridSpan w:val="3"/>
            <w:vMerge w:val="continue"/>
          </w:tcPr>
          <w:p>
            <w:pPr>
              <w:spacing w:after="0"/>
              <w:rPr>
                <w:sz w:val="24"/>
                <w:szCs w:val="24"/>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auto"/>
              </w:rPr>
              <w:t>FINANCIAL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13"/>
          </w:tcPr>
          <w:p>
            <w:pPr>
              <w:spacing w:after="0"/>
              <w:rPr>
                <w:sz w:val="20"/>
                <w:szCs w:val="20"/>
                <w:color w:val="auto"/>
              </w:rPr>
            </w:pPr>
            <w:r>
              <w:rPr>
                <w:rFonts w:ascii="Arial" w:cs="Arial" w:eastAsia="Arial" w:hAnsi="Arial"/>
                <w:sz w:val="18"/>
                <w:szCs w:val="18"/>
                <w:color w:val="auto"/>
              </w:rPr>
              <w:t>Financial Statements (Unaudited)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60" w:type="dxa"/>
            <w:vAlign w:val="bottom"/>
            <w:gridSpan w:val="13"/>
          </w:tcPr>
          <w:p>
            <w:pPr>
              <w:spacing w:after="0" w:line="202" w:lineRule="exact"/>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Operations and Comprehensive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6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80" w:type="dxa"/>
            <w:vAlign w:val="bottom"/>
            <w:gridSpan w:val="3"/>
            <w:vMerge w:val="continue"/>
          </w:tcPr>
          <w:p>
            <w:pPr>
              <w:spacing w:after="0"/>
              <w:rPr>
                <w:sz w:val="24"/>
                <w:szCs w:val="24"/>
                <w:color w:val="auto"/>
              </w:rPr>
            </w:pPr>
          </w:p>
        </w:tc>
        <w:tc>
          <w:tcPr>
            <w:tcW w:w="9260" w:type="dxa"/>
            <w:vAlign w:val="bottom"/>
            <w:gridSpan w:val="13"/>
          </w:tcPr>
          <w:p>
            <w:pPr>
              <w:spacing w:after="0"/>
              <w:rPr>
                <w:sz w:val="20"/>
                <w:szCs w:val="20"/>
                <w:color w:val="auto"/>
              </w:rPr>
            </w:pPr>
            <w:r>
              <w:rPr>
                <w:rFonts w:ascii="Arial" w:cs="Arial" w:eastAsia="Arial" w:hAnsi="Arial"/>
                <w:sz w:val="18"/>
                <w:szCs w:val="18"/>
                <w:color w:val="auto"/>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260" w:type="dxa"/>
            <w:vAlign w:val="bottom"/>
            <w:gridSpan w:val="13"/>
          </w:tcPr>
          <w:p>
            <w:pPr>
              <w:spacing w:after="0" w:line="202" w:lineRule="exact"/>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60" w:type="dxa"/>
            <w:vAlign w:val="bottom"/>
            <w:gridSpan w:val="13"/>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60" w:type="dxa"/>
            <w:vAlign w:val="bottom"/>
            <w:gridSpan w:val="13"/>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13"/>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26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260" w:type="dxa"/>
            <w:vAlign w:val="bottom"/>
            <w:gridSpan w:val="13"/>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66"/>
        </w:trPr>
        <w:tc>
          <w:tcPr>
            <w:tcW w:w="118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gridSpan w:val="3"/>
          </w:tcPr>
          <w:p>
            <w:pPr>
              <w:jc w:val="center"/>
              <w:ind w:right="4720"/>
              <w:spacing w:after="0"/>
              <w:rPr>
                <w:sz w:val="20"/>
                <w:szCs w:val="20"/>
                <w:color w:val="auto"/>
              </w:rPr>
            </w:pPr>
            <w:r>
              <w:rPr>
                <w:rFonts w:ascii="Arial" w:cs="Arial" w:eastAsia="Arial" w:hAnsi="Arial"/>
                <w:sz w:val="18"/>
                <w:szCs w:val="18"/>
                <w:color w:val="auto"/>
                <w:w w:val="98"/>
              </w:rPr>
              <w:t>i</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Quarterly Report on Form 10-Q, including without limitation, statements regarding our intent, belief and expectations about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 However, the absence of these words or similar terminology does not mean that a statement is not forward-looking.</w:t>
      </w:r>
    </w:p>
    <w:p>
      <w:pPr>
        <w:spacing w:after="0" w:line="77"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in this Quarterly Report on Form 10-Q due to various factors, including, but not limited to, those identified in Part I. Item 1A. “Risk Factors” and in Part II. Item 7. “Management's Discussion and Analysis of Financial Condition and Results of Operations” of our Annual Report on Form 10-K for the fiscal year ended December 31, 2022 (the “2022 10-K”) and in Part I. Item 2. “Management’s Discussion and Analysis of Financial Condition and Results of Operations” of this Quarterly Report on Form 10-Q. These risks and uncertainties include, but are not limited to:</w:t>
      </w:r>
    </w:p>
    <w:p>
      <w:pPr>
        <w:spacing w:after="0" w:line="77" w:lineRule="exact"/>
        <w:rPr>
          <w:sz w:val="20"/>
          <w:szCs w:val="20"/>
          <w:color w:val="auto"/>
        </w:rPr>
      </w:pPr>
    </w:p>
    <w:p>
      <w:pPr>
        <w:ind w:left="520" w:hanging="512"/>
        <w:spacing w:after="0" w:line="253"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 overall decline in the health of the economy and other factors impacting consumer spending, such as natural disasters, the occurrence of a recession, inflation and worsening in economic conditions may affect consumer purchases and reduce demand for our services.</w:t>
      </w:r>
    </w:p>
    <w:p>
      <w:pPr>
        <w:spacing w:after="0" w:line="6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new customers, retain existing customers and maintain or grow the number of Unlimited Wash Club ® (“UWC”) Members.</w:t>
      </w:r>
    </w:p>
    <w:p>
      <w:pPr>
        <w:spacing w:after="0" w:line="95" w:lineRule="exact"/>
        <w:rPr>
          <w:rFonts w:ascii="Arial" w:cs="Arial" w:eastAsia="Arial" w:hAnsi="Arial"/>
          <w:sz w:val="14"/>
          <w:szCs w:val="14"/>
          <w:color w:val="auto"/>
        </w:rPr>
      </w:pPr>
    </w:p>
    <w:p>
      <w:pPr>
        <w:ind w:left="520" w:hanging="512"/>
        <w:spacing w:after="0" w:line="253"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acquire, open and operate new locations in a timely and cost-effective manner and enter into new markets, our financial performance could be materially and adversely affected.</w:t>
      </w:r>
    </w:p>
    <w:p>
      <w:pPr>
        <w:spacing w:after="0" w:line="6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able to successfully implement our growth strategies on a timely basis or at all.</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a number of risks and regulations related to credit card and debit card payments we accept.</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Supply chain disruption and other increased operating costs could materially and adversely affect our results of operations.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locations may experience difficulty hiring and retaining key or sufficient qualified personnel or increases in labor costs.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lease or sublease the land and buildings where a number of our locations are situated, which could expose us to possible liabilities and losses.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indebtedness could adversely affect our financial health and competitive position.</w:t>
      </w:r>
    </w:p>
    <w:p>
      <w:pPr>
        <w:spacing w:after="0" w:line="95" w:lineRule="exact"/>
        <w:rPr>
          <w:rFonts w:ascii="Arial" w:cs="Arial" w:eastAsia="Arial" w:hAnsi="Arial"/>
          <w:sz w:val="14"/>
          <w:szCs w:val="14"/>
          <w:color w:val="auto"/>
        </w:rPr>
      </w:pPr>
    </w:p>
    <w:p>
      <w:pPr>
        <w:ind w:left="520" w:hanging="512"/>
        <w:spacing w:after="0" w:line="253"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various laws and regulations and changes in such laws and regulations, or failure to comply with existing or future laws and regulations, could adversely affect our business.</w:t>
      </w:r>
    </w:p>
    <w:p>
      <w:pPr>
        <w:spacing w:after="0" w:line="6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locations are subject to certain environmental laws and regulations.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data security and privacy risks that could negatively impact our results of operations or reputation.</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adequately protect, and we may incur significant costs in enforcing or defending, our intellectual property and other proprietary rights.</w:t>
      </w:r>
    </w:p>
    <w:p>
      <w:pPr>
        <w:spacing w:after="0" w:line="95" w:lineRule="exact"/>
        <w:rPr>
          <w:rFonts w:ascii="Arial" w:cs="Arial" w:eastAsia="Arial" w:hAnsi="Arial"/>
          <w:sz w:val="14"/>
          <w:szCs w:val="14"/>
          <w:color w:val="auto"/>
        </w:rPr>
      </w:pPr>
    </w:p>
    <w:p>
      <w:pPr>
        <w:ind w:left="520" w:hanging="512"/>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stock price may be volatile or may decline regardless of our operating performance, resulting in substantial losses for investors purchasing shares of our common stock.</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Given these and other risks and uncertainties applicable to us, you are cautioned not to place undue reliance on such forward-looking statements. The forward-looking statements included in this Quarterly Report on Form 10-Q are not guarantees of future performance and our actual results of operations, financial condition and liquidity, and the development of the industry in which we operate, may differ materially from that expressed or implied by the forward-looking statements included in this Quarterly Report on Form 10-Q.</w:t>
      </w:r>
    </w:p>
    <w:p>
      <w:pPr>
        <w:spacing w:after="0" w:line="7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Any forward-looking statement that we make in this Quarterly Report on Form 10-Q speaks only as of the date hereof.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75"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As used in this Quarterly Report on Form 10-Q, unless otherwise stated or the context requires otherwise, references to “Mister Car Wash,” “Mister,” the “Company,” “we,” “us,” and “our,” refer to Mister Car Wash, Inc. and its subsidiaries on a consolidated basis.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84"/>
              </w:rPr>
              <w:t>As of</w:t>
            </w:r>
          </w:p>
        </w:tc>
        <w:tc>
          <w:tcPr>
            <w:tcW w:w="1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7560" w:type="dxa"/>
            <w:vAlign w:val="bottom"/>
          </w:tcPr>
          <w:p>
            <w:pPr>
              <w:ind w:left="60"/>
              <w:spacing w:after="0"/>
              <w:rPr>
                <w:sz w:val="20"/>
                <w:szCs w:val="20"/>
                <w:color w:val="auto"/>
              </w:rPr>
            </w:pPr>
            <w:r>
              <w:rPr>
                <w:rFonts w:ascii="Arial" w:cs="Arial" w:eastAsia="Arial" w:hAnsi="Arial"/>
                <w:sz w:val="14"/>
                <w:szCs w:val="14"/>
                <w:i w:val="1"/>
                <w:iCs w:val="1"/>
                <w:color w:val="auto"/>
              </w:rPr>
              <w:t>(Amounts in thousands, except share and per share data)</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June 30, 2023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December 31, 2022</w:t>
            </w:r>
          </w:p>
        </w:tc>
        <w:tc>
          <w:tcPr>
            <w:tcW w:w="140" w:type="dxa"/>
            <w:vAlign w:val="bottom"/>
          </w:tcPr>
          <w:p>
            <w:pPr>
              <w:spacing w:after="0"/>
              <w:rPr>
                <w:sz w:val="19"/>
                <w:szCs w:val="19"/>
                <w:color w:val="auto"/>
              </w:rPr>
            </w:pPr>
          </w:p>
        </w:tc>
      </w:tr>
      <w:tr>
        <w:trPr>
          <w:trHeight w:val="242"/>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136,095</w:t>
            </w:r>
          </w:p>
        </w:tc>
        <w:tc>
          <w:tcPr>
            <w:tcW w:w="4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65,152</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2,796</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3,941</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21,722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15,182</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net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8,273</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9,174</w:t>
            </w:r>
          </w:p>
        </w:tc>
        <w:tc>
          <w:tcPr>
            <w:tcW w:w="140" w:type="dxa"/>
            <w:vAlign w:val="bottom"/>
            <w:shd w:val="clear" w:color="auto" w:fill="CFF0FC"/>
          </w:tcPr>
          <w:p>
            <w:pPr>
              <w:spacing w:after="0"/>
              <w:rPr>
                <w:sz w:val="21"/>
                <w:szCs w:val="21"/>
                <w:color w:val="auto"/>
              </w:rPr>
            </w:pPr>
          </w:p>
        </w:tc>
      </w:tr>
      <w:tr>
        <w:trPr>
          <w:trHeight w:val="229"/>
        </w:trPr>
        <w:tc>
          <w:tcPr>
            <w:tcW w:w="75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12,618</w:t>
            </w:r>
          </w:p>
        </w:tc>
        <w:tc>
          <w:tcPr>
            <w:tcW w:w="14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181,530</w:t>
            </w: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106,137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473"/>
        </w:trPr>
        <w:tc>
          <w:tcPr>
            <w:tcW w:w="75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595,537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560,874</w:t>
            </w:r>
          </w:p>
        </w:tc>
        <w:tc>
          <w:tcPr>
            <w:tcW w:w="140" w:type="dxa"/>
            <w:vAlign w:val="bottom"/>
          </w:tcPr>
          <w:p>
            <w:pPr>
              <w:spacing w:after="0"/>
              <w:rPr>
                <w:sz w:val="24"/>
                <w:szCs w:val="24"/>
                <w:color w:val="auto"/>
              </w:rPr>
            </w:pPr>
          </w:p>
        </w:tc>
      </w:tr>
      <w:tr>
        <w:trPr>
          <w:trHeight w:val="25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813,924</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776,689</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120,546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123,615</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1,109,815</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1,109,815</w:t>
            </w:r>
          </w:p>
        </w:tc>
        <w:tc>
          <w:tcPr>
            <w:tcW w:w="140" w:type="dxa"/>
            <w:vAlign w:val="bottom"/>
            <w:shd w:val="clear" w:color="auto" w:fill="CFF0FC"/>
          </w:tcPr>
          <w:p>
            <w:pPr>
              <w:spacing w:after="0"/>
              <w:rPr>
                <w:sz w:val="21"/>
                <w:szCs w:val="2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w:t>
            </w:r>
          </w:p>
        </w:tc>
        <w:tc>
          <w:tcPr>
            <w:tcW w:w="140" w:type="dxa"/>
            <w:vAlign w:val="bottom"/>
          </w:tcPr>
          <w:p>
            <w:pPr>
              <w:spacing w:after="0"/>
              <w:rPr>
                <w:sz w:val="19"/>
                <w:szCs w:val="19"/>
                <w:color w:val="auto"/>
              </w:rPr>
            </w:pP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2,830,564</w:t>
            </w:r>
          </w:p>
        </w:tc>
        <w:tc>
          <w:tcPr>
            <w:tcW w:w="4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2,686,232</w:t>
            </w:r>
          </w:p>
        </w:tc>
        <w:tc>
          <w:tcPr>
            <w:tcW w:w="140" w:type="dxa"/>
            <w:vAlign w:val="bottom"/>
            <w:shd w:val="clear" w:color="auto" w:fill="CFF0FC"/>
          </w:tcPr>
          <w:p>
            <w:pPr>
              <w:spacing w:after="0"/>
              <w:rPr>
                <w:sz w:val="22"/>
                <w:szCs w:val="22"/>
                <w:color w:val="auto"/>
              </w:rPr>
            </w:pPr>
          </w:p>
        </w:tc>
      </w:tr>
      <w:tr>
        <w:trPr>
          <w:trHeight w:val="460"/>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25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36,119</w:t>
            </w:r>
          </w:p>
        </w:tc>
        <w:tc>
          <w:tcPr>
            <w:tcW w:w="4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25,649</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17,216</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17,218</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58,670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41,196</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maturities of operating lease liability</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42,029</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40,367</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Current maturities of finance lease liability</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668</w:t>
            </w:r>
          </w:p>
        </w:tc>
        <w:tc>
          <w:tcPr>
            <w:tcW w:w="140" w:type="dxa"/>
            <w:vAlign w:val="bottom"/>
          </w:tcPr>
          <w:p>
            <w:pPr>
              <w:spacing w:after="0"/>
              <w:rPr>
                <w:sz w:val="20"/>
                <w:szCs w:val="20"/>
                <w:color w:val="auto"/>
              </w:rPr>
            </w:pPr>
          </w:p>
        </w:tc>
      </w:tr>
      <w:tr>
        <w:trPr>
          <w:trHeight w:val="23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32,368</w:t>
            </w:r>
          </w:p>
        </w:tc>
        <w:tc>
          <w:tcPr>
            <w:tcW w:w="2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29,395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154,493</w:t>
            </w:r>
          </w:p>
        </w:tc>
        <w:tc>
          <w:tcPr>
            <w:tcW w:w="140" w:type="dxa"/>
            <w:vAlign w:val="bottom"/>
          </w:tcPr>
          <w:p>
            <w:pPr>
              <w:spacing w:after="0"/>
              <w:rPr>
                <w:sz w:val="19"/>
                <w:szCs w:val="19"/>
                <w:color w:val="auto"/>
              </w:rPr>
            </w:pPr>
          </w:p>
        </w:tc>
      </w:tr>
      <w:tr>
        <w:trPr>
          <w:trHeight w:val="236"/>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portion of debt, net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896,620</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895,830</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796,203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759,775</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lease liability</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14,417</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14,779</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64,579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53,395</w:t>
            </w:r>
          </w:p>
        </w:tc>
        <w:tc>
          <w:tcPr>
            <w:tcW w:w="140" w:type="dxa"/>
            <w:vAlign w:val="bottom"/>
          </w:tcPr>
          <w:p>
            <w:pPr>
              <w:spacing w:after="0"/>
              <w:rPr>
                <w:sz w:val="20"/>
                <w:szCs w:val="20"/>
                <w:color w:val="auto"/>
              </w:rPr>
            </w:pPr>
          </w:p>
        </w:tc>
      </w:tr>
      <w:tr>
        <w:trPr>
          <w:trHeight w:val="23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6,271</w:t>
            </w:r>
          </w:p>
        </w:tc>
        <w:tc>
          <w:tcPr>
            <w:tcW w:w="2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6,832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1,965,198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1,885,104</w:t>
            </w:r>
          </w:p>
        </w:tc>
        <w:tc>
          <w:tcPr>
            <w:tcW w:w="140" w:type="dxa"/>
            <w:vAlign w:val="bottom"/>
          </w:tcPr>
          <w:p>
            <w:pPr>
              <w:spacing w:after="0"/>
              <w:rPr>
                <w:sz w:val="19"/>
                <w:szCs w:val="19"/>
                <w:color w:val="auto"/>
              </w:rPr>
            </w:pPr>
          </w:p>
        </w:tc>
      </w:tr>
      <w:tr>
        <w:trPr>
          <w:trHeight w:val="237"/>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8"/>
                <w:szCs w:val="18"/>
                <w:color w:val="auto"/>
              </w:rPr>
              <w:t>Common stock, $0.01 par value, 1,000,000,000 shares authorized,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60" w:type="dxa"/>
            <w:vAlign w:val="bottom"/>
          </w:tcPr>
          <w:p>
            <w:pPr>
              <w:ind w:left="300"/>
              <w:spacing w:after="0"/>
              <w:rPr>
                <w:sz w:val="20"/>
                <w:szCs w:val="20"/>
                <w:color w:val="auto"/>
              </w:rPr>
            </w:pPr>
            <w:r>
              <w:rPr>
                <w:rFonts w:ascii="Arial" w:cs="Arial" w:eastAsia="Arial" w:hAnsi="Arial"/>
                <w:sz w:val="18"/>
                <w:szCs w:val="18"/>
                <w:color w:val="auto"/>
              </w:rPr>
              <w:t>311,758,330 and 306,626,530 shares outstanding as of</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60" w:type="dxa"/>
            <w:vAlign w:val="bottom"/>
          </w:tcPr>
          <w:p>
            <w:pPr>
              <w:ind w:left="340"/>
              <w:spacing w:after="0"/>
              <w:rPr>
                <w:sz w:val="20"/>
                <w:szCs w:val="20"/>
                <w:color w:val="auto"/>
              </w:rPr>
            </w:pPr>
            <w:r>
              <w:rPr>
                <w:rFonts w:ascii="Arial" w:cs="Arial" w:eastAsia="Arial" w:hAnsi="Arial"/>
                <w:sz w:val="18"/>
                <w:szCs w:val="18"/>
                <w:color w:val="auto"/>
              </w:rPr>
              <w:t>June 30, 2023 and December 31, 2022, respectively</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3,123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3,072</w:t>
            </w:r>
          </w:p>
        </w:tc>
        <w:tc>
          <w:tcPr>
            <w:tcW w:w="140" w:type="dxa"/>
            <w:vAlign w:val="bottom"/>
          </w:tcPr>
          <w:p>
            <w:pPr>
              <w:spacing w:after="0"/>
              <w:rPr>
                <w:sz w:val="20"/>
                <w:szCs w:val="20"/>
                <w:color w:val="auto"/>
              </w:rPr>
            </w:pPr>
          </w:p>
        </w:tc>
      </w:tr>
      <w:tr>
        <w:trPr>
          <w:trHeight w:val="250"/>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799,498</w:t>
            </w: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783,579</w:t>
            </w:r>
          </w:p>
        </w:tc>
        <w:tc>
          <w:tcPr>
            <w:tcW w:w="140" w:type="dxa"/>
            <w:vAlign w:val="bottom"/>
            <w:shd w:val="clear" w:color="auto" w:fill="CFF0FC"/>
          </w:tcPr>
          <w:p>
            <w:pPr>
              <w:spacing w:after="0"/>
              <w:rPr>
                <w:sz w:val="21"/>
                <w:szCs w:val="21"/>
                <w:color w:val="auto"/>
              </w:rPr>
            </w:pPr>
          </w:p>
        </w:tc>
      </w:tr>
      <w:tr>
        <w:trPr>
          <w:trHeight w:val="230"/>
        </w:trPr>
        <w:tc>
          <w:tcPr>
            <w:tcW w:w="7560" w:type="dxa"/>
            <w:vAlign w:val="bottom"/>
          </w:tcPr>
          <w:p>
            <w:pPr>
              <w:ind w:left="20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62,745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14,477</w:t>
            </w:r>
          </w:p>
        </w:tc>
        <w:tc>
          <w:tcPr>
            <w:tcW w:w="14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865,366</w:t>
            </w:r>
          </w:p>
        </w:tc>
        <w:tc>
          <w:tcPr>
            <w:tcW w:w="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801,128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2,830,564</w:t>
            </w:r>
          </w:p>
        </w:tc>
        <w:tc>
          <w:tcPr>
            <w:tcW w:w="4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2,686,232</w:t>
            </w:r>
          </w:p>
        </w:tc>
        <w:tc>
          <w:tcPr>
            <w:tcW w:w="14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-5100320</wp:posOffset>
            </wp:positionV>
            <wp:extent cx="8572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-5100320</wp:posOffset>
            </wp:positionV>
            <wp:extent cx="85725"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-4020185</wp:posOffset>
            </wp:positionV>
            <wp:extent cx="132016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165" cy="3346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-2613660</wp:posOffset>
            </wp:positionV>
            <wp:extent cx="85725"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-2613660</wp:posOffset>
            </wp:positionV>
            <wp:extent cx="85725"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-1533525</wp:posOffset>
            </wp:positionV>
            <wp:extent cx="8572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-1533525</wp:posOffset>
            </wp:positionV>
            <wp:extent cx="8572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-179705</wp:posOffset>
            </wp:positionV>
            <wp:extent cx="8572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3"/>
              </w:rPr>
              <w:t>Three Months Ended June 30,</w:t>
            </w:r>
          </w:p>
        </w:tc>
        <w:tc>
          <w:tcPr>
            <w:tcW w:w="220" w:type="dxa"/>
            <w:vAlign w:val="bottom"/>
          </w:tcPr>
          <w:p>
            <w:pPr>
              <w:spacing w:after="0"/>
              <w:rPr>
                <w:sz w:val="20"/>
                <w:szCs w:val="20"/>
                <w:color w:val="auto"/>
              </w:rPr>
            </w:pPr>
          </w:p>
        </w:tc>
        <w:tc>
          <w:tcPr>
            <w:tcW w:w="27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39"/>
        </w:trPr>
        <w:tc>
          <w:tcPr>
            <w:tcW w:w="5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236,894</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225,159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462,854</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444,578</w:t>
            </w:r>
          </w:p>
        </w:tc>
        <w:tc>
          <w:tcPr>
            <w:tcW w:w="140" w:type="dxa"/>
            <w:vAlign w:val="bottom"/>
            <w:shd w:val="clear" w:color="auto" w:fill="CFF0FC"/>
          </w:tcPr>
          <w:p>
            <w:pPr>
              <w:spacing w:after="0"/>
              <w:rPr>
                <w:sz w:val="20"/>
                <w:szCs w:val="20"/>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Cost of labor and chemicals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70,824</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137,616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134,889</w:t>
            </w:r>
          </w:p>
        </w:tc>
        <w:tc>
          <w:tcPr>
            <w:tcW w:w="140" w:type="dxa"/>
            <w:vAlign w:val="bottom"/>
          </w:tcPr>
          <w:p>
            <w:pPr>
              <w:spacing w:after="0"/>
              <w:rPr>
                <w:sz w:val="20"/>
                <w:szCs w:val="20"/>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90,337</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179,803</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156,830</w:t>
            </w:r>
          </w:p>
        </w:tc>
        <w:tc>
          <w:tcPr>
            <w:tcW w:w="140" w:type="dxa"/>
            <w:vAlign w:val="bottom"/>
            <w:shd w:val="clear" w:color="auto" w:fill="CFF0FC"/>
          </w:tcPr>
          <w:p>
            <w:pPr>
              <w:spacing w:after="0"/>
              <w:rPr>
                <w:sz w:val="21"/>
                <w:szCs w:val="2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27,829</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25,610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52,012</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49,297</w:t>
            </w:r>
          </w:p>
        </w:tc>
        <w:tc>
          <w:tcPr>
            <w:tcW w:w="140" w:type="dxa"/>
            <w:vAlign w:val="bottom"/>
          </w:tcPr>
          <w:p>
            <w:pPr>
              <w:spacing w:after="0"/>
              <w:rPr>
                <w:sz w:val="20"/>
                <w:szCs w:val="20"/>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sale of assets, net</w:t>
            </w: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(4,728 )</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(3,146 )</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(4,791 )</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(2,687 )</w:t>
            </w:r>
          </w:p>
        </w:tc>
      </w:tr>
      <w:tr>
        <w:trPr>
          <w:trHeight w:val="237"/>
        </w:trPr>
        <w:tc>
          <w:tcPr>
            <w:tcW w:w="5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184,262</w:t>
            </w:r>
          </w:p>
        </w:tc>
        <w:tc>
          <w:tcPr>
            <w:tcW w:w="3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170,844</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364,640</w:t>
            </w:r>
          </w:p>
        </w:tc>
        <w:tc>
          <w:tcPr>
            <w:tcW w:w="3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338,329</w:t>
            </w:r>
          </w:p>
        </w:tc>
        <w:tc>
          <w:tcPr>
            <w:tcW w:w="140" w:type="dxa"/>
            <w:vAlign w:val="bottom"/>
            <w:tcBorders>
              <w:top w:val="single" w:sz="8" w:color="CFF0FC"/>
            </w:tcBorders>
          </w:tcPr>
          <w:p>
            <w:pPr>
              <w:spacing w:after="0"/>
              <w:rPr>
                <w:sz w:val="20"/>
                <w:szCs w:val="20"/>
                <w:color w:val="auto"/>
              </w:rPr>
            </w:pPr>
          </w:p>
        </w:tc>
      </w:tr>
      <w:tr>
        <w:trPr>
          <w:trHeight w:val="236"/>
        </w:trPr>
        <w:tc>
          <w:tcPr>
            <w:tcW w:w="51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52,632</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98,214</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106,249</w:t>
            </w:r>
          </w:p>
        </w:tc>
        <w:tc>
          <w:tcPr>
            <w:tcW w:w="140" w:type="dxa"/>
            <w:vAlign w:val="bottom"/>
            <w:shd w:val="clear" w:color="auto" w:fill="CFF0FC"/>
          </w:tcPr>
          <w:p>
            <w:pPr>
              <w:spacing w:after="0"/>
              <w:rPr>
                <w:sz w:val="20"/>
                <w:szCs w:val="20"/>
                <w:color w:val="auto"/>
              </w:rPr>
            </w:pPr>
          </w:p>
        </w:tc>
      </w:tr>
      <w:tr>
        <w:trPr>
          <w:trHeight w:val="479"/>
        </w:trPr>
        <w:tc>
          <w:tcPr>
            <w:tcW w:w="51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18,295</w:t>
            </w:r>
          </w:p>
        </w:tc>
        <w:tc>
          <w:tcPr>
            <w:tcW w:w="3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8,762</w:t>
            </w:r>
          </w:p>
        </w:tc>
        <w:tc>
          <w:tcPr>
            <w:tcW w:w="2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36,043</w:t>
            </w:r>
          </w:p>
        </w:tc>
        <w:tc>
          <w:tcPr>
            <w:tcW w:w="3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16,928</w:t>
            </w:r>
          </w:p>
        </w:tc>
        <w:tc>
          <w:tcPr>
            <w:tcW w:w="140" w:type="dxa"/>
            <w:vAlign w:val="bottom"/>
            <w:shd w:val="clear" w:color="auto" w:fill="CFF0FC"/>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36,043</w:t>
            </w:r>
          </w:p>
        </w:tc>
        <w:tc>
          <w:tcPr>
            <w:tcW w:w="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16,928</w:t>
            </w:r>
          </w:p>
        </w:tc>
        <w:tc>
          <w:tcPr>
            <w:tcW w:w="140" w:type="dxa"/>
            <w:vAlign w:val="bottom"/>
          </w:tcPr>
          <w:p>
            <w:pPr>
              <w:spacing w:after="0"/>
              <w:rPr>
                <w:sz w:val="21"/>
                <w:szCs w:val="2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taxes</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34,337</w:t>
            </w: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62,171</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89,321</w:t>
            </w:r>
          </w:p>
        </w:tc>
        <w:tc>
          <w:tcPr>
            <w:tcW w:w="140" w:type="dxa"/>
            <w:vAlign w:val="bottom"/>
            <w:shd w:val="clear" w:color="auto" w:fill="CFF0FC"/>
          </w:tcPr>
          <w:p>
            <w:pPr>
              <w:spacing w:after="0"/>
              <w:rPr>
                <w:sz w:val="20"/>
                <w:szCs w:val="20"/>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w:t>
            </w:r>
          </w:p>
        </w:tc>
        <w:tc>
          <w:tcPr>
            <w:tcW w:w="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18,174</w:t>
            </w:r>
          </w:p>
        </w:tc>
        <w:tc>
          <w:tcPr>
            <w:tcW w:w="140" w:type="dxa"/>
            <w:vAlign w:val="bottom"/>
          </w:tcPr>
          <w:p>
            <w:pPr>
              <w:spacing w:after="0"/>
              <w:rPr>
                <w:sz w:val="21"/>
                <w:szCs w:val="21"/>
                <w:color w:val="auto"/>
              </w:rPr>
            </w:pPr>
          </w:p>
        </w:tc>
      </w:tr>
      <w:tr>
        <w:trPr>
          <w:trHeight w:val="237"/>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27,132</w:t>
            </w:r>
          </w:p>
        </w:tc>
        <w:tc>
          <w:tcPr>
            <w:tcW w:w="3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48,268</w:t>
            </w:r>
          </w:p>
        </w:tc>
        <w:tc>
          <w:tcPr>
            <w:tcW w:w="3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71,147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473"/>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Gain on interest rate swap</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27,132</w:t>
            </w:r>
          </w:p>
        </w:tc>
        <w:tc>
          <w:tcPr>
            <w:tcW w:w="3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35,960</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48,268</w:t>
            </w:r>
          </w:p>
        </w:tc>
        <w:tc>
          <w:tcPr>
            <w:tcW w:w="3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73,317</w:t>
            </w:r>
          </w:p>
        </w:tc>
        <w:tc>
          <w:tcPr>
            <w:tcW w:w="14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43"/>
        </w:trPr>
        <w:tc>
          <w:tcPr>
            <w:tcW w:w="5160" w:type="dxa"/>
            <w:vAlign w:val="bottom"/>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17"/>
        </w:trPr>
        <w:tc>
          <w:tcPr>
            <w:tcW w:w="51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309,314,858</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302,666,291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308,308,972</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301,803,664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51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328,283,353</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327,229,531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327,951,399</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328,205,776</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-3239770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-3239770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-3239770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-3239770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-2463800</wp:posOffset>
            </wp:positionV>
            <wp:extent cx="3094355"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94355" cy="1968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-1808480</wp:posOffset>
            </wp:positionV>
            <wp:extent cx="85725"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-1808480</wp:posOffset>
            </wp:positionV>
            <wp:extent cx="85725"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-1808480</wp:posOffset>
            </wp:positionV>
            <wp:extent cx="85725"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-1808480</wp:posOffset>
            </wp:positionV>
            <wp:extent cx="85725"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-1336675</wp:posOffset>
            </wp:positionV>
            <wp:extent cx="85725"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-1336675</wp:posOffset>
            </wp:positionV>
            <wp:extent cx="8572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-1336675</wp:posOffset>
            </wp:positionV>
            <wp:extent cx="85725"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-1336675</wp:posOffset>
            </wp:positionV>
            <wp:extent cx="85725"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-505460</wp:posOffset>
            </wp:positionV>
            <wp:extent cx="306895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8955" cy="1797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857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857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857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-170815</wp:posOffset>
            </wp:positionV>
            <wp:extent cx="8572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19"/>
                <w:szCs w:val="19"/>
                <w:color w:val="auto"/>
              </w:rPr>
            </w:pPr>
          </w:p>
        </w:tc>
        <w:tc>
          <w:tcPr>
            <w:tcW w:w="292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5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48,268</w:t>
            </w:r>
          </w:p>
        </w:tc>
        <w:tc>
          <w:tcPr>
            <w:tcW w:w="340" w:type="dxa"/>
            <w:vAlign w:val="bottom"/>
          </w:tcPr>
          <w:p>
            <w:pPr>
              <w:spacing w:after="0"/>
              <w:rPr>
                <w:sz w:val="19"/>
                <w:szCs w:val="19"/>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71,147</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Depreciation and amortization expense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33,819</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30,081</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11,354</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11,498</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Gain on sale of assets, net</w:t>
            </w:r>
          </w:p>
        </w:tc>
        <w:tc>
          <w:tcPr>
            <w:tcW w:w="9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(4,791 )</w:t>
            </w:r>
          </w:p>
        </w:tc>
        <w:tc>
          <w:tcPr>
            <w:tcW w:w="9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(2,687 )</w:t>
            </w: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21,838</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19,433</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13,983</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auto"/>
              </w:rPr>
              <w:t>Changes in assets and liabilities: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receivable, net</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1,145</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(1,017 )</w:t>
            </w:r>
          </w:p>
        </w:tc>
      </w:tr>
      <w:tr>
        <w:trPr>
          <w:trHeight w:val="220"/>
        </w:trPr>
        <w:tc>
          <w:tcPr>
            <w:tcW w:w="7560" w:type="dxa"/>
            <w:vAlign w:val="bottom"/>
          </w:tcPr>
          <w:p>
            <w:pPr>
              <w:ind w:left="300"/>
              <w:spacing w:after="0"/>
              <w:rPr>
                <w:sz w:val="20"/>
                <w:szCs w:val="20"/>
                <w:color w:val="auto"/>
              </w:rPr>
            </w:pPr>
            <w:r>
              <w:rPr>
                <w:rFonts w:ascii="Arial" w:cs="Arial" w:eastAsia="Arial" w:hAnsi="Arial"/>
                <w:sz w:val="16"/>
                <w:szCs w:val="16"/>
                <w:color w:val="auto"/>
              </w:rPr>
              <w:t>Other receivables</w:t>
            </w:r>
          </w:p>
        </w:tc>
        <w:tc>
          <w:tcPr>
            <w:tcW w:w="9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(2,219 )</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8,455</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Inventory, net</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(692 )</w:t>
            </w:r>
          </w:p>
        </w:tc>
      </w:tr>
      <w:tr>
        <w:trPr>
          <w:trHeight w:val="220"/>
        </w:trPr>
        <w:tc>
          <w:tcPr>
            <w:tcW w:w="75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(3,129 )</w:t>
            </w:r>
          </w:p>
        </w:tc>
      </w:tr>
      <w:tr>
        <w:trPr>
          <w:trHeight w:val="239"/>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5,593</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6,137</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300"/>
              <w:spacing w:after="0"/>
              <w:rPr>
                <w:sz w:val="20"/>
                <w:szCs w:val="20"/>
                <w:color w:val="auto"/>
              </w:rPr>
            </w:pPr>
            <w:r>
              <w:rPr>
                <w:rFonts w:ascii="Arial" w:cs="Arial" w:eastAsia="Arial" w:hAnsi="Arial"/>
                <w:sz w:val="16"/>
                <w:szCs w:val="16"/>
                <w:color w:val="auto"/>
              </w:rPr>
              <w:t>Accrued expenses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6,525</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(1,119 )</w:t>
            </w:r>
          </w:p>
        </w:tc>
      </w:tr>
      <w:tr>
        <w:trPr>
          <w:trHeight w:val="239"/>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2,966</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1,416</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300"/>
              <w:spacing w:after="0"/>
              <w:rPr>
                <w:sz w:val="20"/>
                <w:szCs w:val="20"/>
                <w:color w:val="auto"/>
              </w:rPr>
            </w:pPr>
            <w:r>
              <w:rPr>
                <w:rFonts w:ascii="Arial" w:cs="Arial" w:eastAsia="Arial" w:hAnsi="Arial"/>
                <w:sz w:val="16"/>
                <w:szCs w:val="16"/>
                <w:color w:val="auto"/>
              </w:rPr>
              <w:t>Operating lease liability</w:t>
            </w:r>
          </w:p>
        </w:tc>
        <w:tc>
          <w:tcPr>
            <w:tcW w:w="9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(19,591 )</w:t>
            </w:r>
          </w:p>
        </w:tc>
        <w:tc>
          <w:tcPr>
            <w:tcW w:w="9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(18,374 )</w:t>
            </w:r>
          </w:p>
        </w:tc>
      </w:tr>
      <w:tr>
        <w:trPr>
          <w:trHeight w:val="236"/>
        </w:trPr>
        <w:tc>
          <w:tcPr>
            <w:tcW w:w="75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noncurrent assets and liabilities</w:t>
            </w:r>
          </w:p>
        </w:tc>
        <w:tc>
          <w:tcPr>
            <w:tcW w:w="9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(723 )</w:t>
            </w: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(1,359 )</w:t>
            </w:r>
          </w:p>
        </w:tc>
      </w:tr>
      <w:tr>
        <w:trPr>
          <w:trHeight w:val="223"/>
        </w:trPr>
        <w:tc>
          <w:tcPr>
            <w:tcW w:w="7560" w:type="dxa"/>
            <w:vAlign w:val="bottom"/>
            <w:tcBorders>
              <w:top w:val="single" w:sz="8" w:color="CFF0FC"/>
            </w:tcBorders>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117,122</w:t>
            </w:r>
          </w:p>
        </w:tc>
        <w:tc>
          <w:tcPr>
            <w:tcW w:w="34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134,615</w:t>
            </w:r>
          </w:p>
        </w:tc>
        <w:tc>
          <w:tcPr>
            <w:tcW w:w="140" w:type="dxa"/>
            <w:vAlign w:val="bottom"/>
            <w:tcBorders>
              <w:top w:val="single" w:sz="8" w:color="CFF0FC"/>
            </w:tcBorders>
          </w:tcPr>
          <w:p>
            <w:pPr>
              <w:spacing w:after="0"/>
              <w:rPr>
                <w:sz w:val="19"/>
                <w:szCs w:val="19"/>
                <w:color w:val="auto"/>
              </w:rPr>
            </w:pPr>
          </w:p>
        </w:tc>
      </w:tr>
      <w:tr>
        <w:trPr>
          <w:trHeight w:val="226"/>
        </w:trPr>
        <w:tc>
          <w:tcPr>
            <w:tcW w:w="7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w w:val="90"/>
              </w:rPr>
              <w:t>(127,868 )</w:t>
            </w:r>
          </w:p>
        </w:tc>
        <w:tc>
          <w:tcPr>
            <w:tcW w:w="9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(76,399 )</w:t>
            </w: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car wash operations, net of cash</w:t>
            </w:r>
          </w:p>
        </w:tc>
        <w:tc>
          <w:tcPr>
            <w:tcW w:w="9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(4,985 )</w:t>
            </w: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(47,039 )</w:t>
            </w:r>
          </w:p>
        </w:tc>
      </w:tr>
      <w:tr>
        <w:trPr>
          <w:trHeight w:val="226"/>
        </w:trPr>
        <w:tc>
          <w:tcPr>
            <w:tcW w:w="756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82,622</w:t>
            </w:r>
          </w:p>
        </w:tc>
        <w:tc>
          <w:tcPr>
            <w:tcW w:w="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3,672</w:t>
            </w:r>
          </w:p>
        </w:tc>
        <w:tc>
          <w:tcPr>
            <w:tcW w:w="140" w:type="dxa"/>
            <w:vAlign w:val="bottom"/>
          </w:tcPr>
          <w:p>
            <w:pPr>
              <w:spacing w:after="0"/>
              <w:rPr>
                <w:sz w:val="19"/>
                <w:szCs w:val="19"/>
                <w:color w:val="auto"/>
              </w:rPr>
            </w:pPr>
          </w:p>
        </w:tc>
      </w:tr>
      <w:tr>
        <w:trPr>
          <w:trHeight w:val="223"/>
        </w:trPr>
        <w:tc>
          <w:tcPr>
            <w:tcW w:w="7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(50,231 )</w:t>
            </w:r>
          </w:p>
        </w:tc>
        <w:tc>
          <w:tcPr>
            <w:tcW w:w="980" w:type="dxa"/>
            <w:vAlign w:val="bottom"/>
            <w:shd w:val="clear" w:color="auto" w:fill="CFF0FC"/>
          </w:tcPr>
          <w:p>
            <w:pPr>
              <w:jc w:val="right"/>
              <w:ind w:right="8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(119,766 )</w:t>
            </w:r>
          </w:p>
        </w:tc>
      </w:tr>
      <w:tr>
        <w:trPr>
          <w:trHeight w:val="446"/>
        </w:trPr>
        <w:tc>
          <w:tcPr>
            <w:tcW w:w="756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employee plans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4,444</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5,436</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Payments on debt borrowings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(2,100 )</w:t>
            </w: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 payments on finance lease obligations</w:t>
            </w:r>
          </w:p>
        </w:tc>
        <w:tc>
          <w:tcPr>
            <w:tcW w:w="9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(324 )</w:t>
            </w:r>
          </w:p>
        </w:tc>
        <w:tc>
          <w:tcPr>
            <w:tcW w:w="9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(274 )</w:t>
            </w:r>
          </w:p>
        </w:tc>
      </w:tr>
      <w:tr>
        <w:trPr>
          <w:trHeight w:val="217"/>
        </w:trPr>
        <w:tc>
          <w:tcPr>
            <w:tcW w:w="75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8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4,120</w:t>
            </w:r>
          </w:p>
        </w:tc>
        <w:tc>
          <w:tcPr>
            <w:tcW w:w="3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3,062</w:t>
            </w:r>
          </w:p>
        </w:tc>
        <w:tc>
          <w:tcPr>
            <w:tcW w:w="140" w:type="dxa"/>
            <w:vAlign w:val="bottom"/>
          </w:tcPr>
          <w:p>
            <w:pPr>
              <w:spacing w:after="0"/>
              <w:rPr>
                <w:sz w:val="18"/>
                <w:szCs w:val="18"/>
                <w:color w:val="auto"/>
              </w:rPr>
            </w:pPr>
          </w:p>
        </w:tc>
      </w:tr>
      <w:tr>
        <w:trPr>
          <w:trHeight w:val="230"/>
        </w:trPr>
        <w:tc>
          <w:tcPr>
            <w:tcW w:w="7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cash and cash equivalents and restricted cash during period</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71,011</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17,911</w:t>
            </w:r>
          </w:p>
        </w:tc>
        <w:tc>
          <w:tcPr>
            <w:tcW w:w="140" w:type="dxa"/>
            <w:vAlign w:val="bottom"/>
            <w:shd w:val="clear" w:color="auto" w:fill="CFF0FC"/>
          </w:tcPr>
          <w:p>
            <w:pPr>
              <w:spacing w:after="0"/>
              <w:rPr>
                <w:sz w:val="19"/>
                <w:szCs w:val="19"/>
                <w:color w:val="auto"/>
              </w:rPr>
            </w:pPr>
          </w:p>
        </w:tc>
      </w:tr>
      <w:tr>
        <w:trPr>
          <w:trHeight w:val="226"/>
        </w:trPr>
        <w:tc>
          <w:tcPr>
            <w:tcW w:w="756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65,222</w:t>
            </w:r>
          </w:p>
        </w:tc>
        <w:tc>
          <w:tcPr>
            <w:tcW w:w="3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19,858</w:t>
            </w:r>
          </w:p>
        </w:tc>
        <w:tc>
          <w:tcPr>
            <w:tcW w:w="140" w:type="dxa"/>
            <w:vAlign w:val="bottom"/>
          </w:tcPr>
          <w:p>
            <w:pPr>
              <w:spacing w:after="0"/>
              <w:rPr>
                <w:sz w:val="19"/>
                <w:szCs w:val="19"/>
                <w:color w:val="auto"/>
              </w:rPr>
            </w:pPr>
          </w:p>
        </w:tc>
      </w:tr>
      <w:tr>
        <w:trPr>
          <w:trHeight w:val="26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80" w:type="dxa"/>
            <w:vAlign w:val="bottom"/>
            <w:tcBorders>
              <w:bottom w:val="single" w:sz="8" w:color="auto"/>
            </w:tcBorders>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136,233</w:t>
            </w:r>
          </w:p>
        </w:tc>
        <w:tc>
          <w:tcPr>
            <w:tcW w:w="3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37,769</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430"/>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30,281</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16,134</w:t>
            </w:r>
          </w:p>
        </w:tc>
        <w:tc>
          <w:tcPr>
            <w:tcW w:w="140" w:type="dxa"/>
            <w:vAlign w:val="bottom"/>
            <w:shd w:val="clear" w:color="auto" w:fill="CFF0FC"/>
          </w:tcPr>
          <w:p>
            <w:pPr>
              <w:spacing w:after="0"/>
              <w:rPr>
                <w:sz w:val="20"/>
                <w:szCs w:val="20"/>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1,500</w:t>
            </w:r>
          </w:p>
        </w:tc>
        <w:tc>
          <w:tcPr>
            <w:tcW w:w="340" w:type="dxa"/>
            <w:vAlign w:val="bottom"/>
          </w:tcPr>
          <w:p>
            <w:pPr>
              <w:spacing w:after="0"/>
              <w:rPr>
                <w:sz w:val="18"/>
                <w:szCs w:val="18"/>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1,791</w:t>
            </w:r>
          </w:p>
        </w:tc>
        <w:tc>
          <w:tcPr>
            <w:tcW w:w="140" w:type="dxa"/>
            <w:vAlign w:val="bottom"/>
          </w:tcPr>
          <w:p>
            <w:pPr>
              <w:spacing w:after="0"/>
              <w:rPr>
                <w:sz w:val="18"/>
                <w:szCs w:val="18"/>
                <w:color w:val="auto"/>
              </w:rPr>
            </w:pPr>
          </w:p>
        </w:tc>
      </w:tr>
      <w:tr>
        <w:trPr>
          <w:trHeight w:val="249"/>
        </w:trPr>
        <w:tc>
          <w:tcPr>
            <w:tcW w:w="7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Property and equipment in accounts payable</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14,686</w:t>
            </w:r>
          </w:p>
        </w:tc>
        <w:tc>
          <w:tcPr>
            <w:tcW w:w="340" w:type="dxa"/>
            <w:vAlign w:val="bottom"/>
          </w:tcPr>
          <w:p>
            <w:pPr>
              <w:spacing w:after="0"/>
              <w:rPr>
                <w:sz w:val="19"/>
                <w:szCs w:val="19"/>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9,182</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in other accrued expenses</w:t>
            </w: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29,718</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5,687</w:t>
            </w:r>
          </w:p>
        </w:tc>
        <w:tc>
          <w:tcPr>
            <w:tcW w:w="140" w:type="dxa"/>
            <w:vAlign w:val="bottom"/>
            <w:shd w:val="clear" w:color="auto" w:fill="CFF0FC"/>
          </w:tcPr>
          <w:p>
            <w:pPr>
              <w:spacing w:after="0"/>
              <w:rPr>
                <w:sz w:val="20"/>
                <w:szCs w:val="20"/>
                <w:color w:val="auto"/>
              </w:rPr>
            </w:pPr>
          </w:p>
        </w:tc>
      </w:tr>
      <w:tr>
        <w:trPr>
          <w:trHeight w:val="220"/>
        </w:trPr>
        <w:tc>
          <w:tcPr>
            <w:tcW w:w="756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 in other receivables</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4,149</w:t>
            </w:r>
          </w:p>
        </w:tc>
        <w:tc>
          <w:tcPr>
            <w:tcW w:w="340" w:type="dxa"/>
            <w:vAlign w:val="bottom"/>
          </w:tcPr>
          <w:p>
            <w:pPr>
              <w:spacing w:after="0"/>
              <w:rPr>
                <w:sz w:val="19"/>
                <w:szCs w:val="19"/>
                <w:color w:val="auto"/>
              </w:rPr>
            </w:pPr>
          </w:p>
        </w:tc>
        <w:tc>
          <w:tcPr>
            <w:tcW w:w="980" w:type="dxa"/>
            <w:vAlign w:val="bottom"/>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39"/>
        </w:trPr>
        <w:tc>
          <w:tcPr>
            <w:tcW w:w="7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option exercise proceeds in other receivables</w:t>
            </w:r>
          </w:p>
        </w:tc>
        <w:tc>
          <w:tcPr>
            <w:tcW w:w="980" w:type="dxa"/>
            <w:vAlign w:val="bottom"/>
            <w:shd w:val="clear" w:color="auto" w:fill="CFF0FC"/>
          </w:tcPr>
          <w:p>
            <w:pPr>
              <w:jc w:val="right"/>
              <w:ind w:right="8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3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8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-4020185</wp:posOffset>
            </wp:positionV>
            <wp:extent cx="8572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-4020185</wp:posOffset>
            </wp:positionV>
            <wp:extent cx="85725"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30861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-2973705</wp:posOffset>
            </wp:positionV>
            <wp:extent cx="85725"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-2973705</wp:posOffset>
            </wp:positionV>
            <wp:extent cx="85725"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-2249805</wp:posOffset>
            </wp:positionV>
            <wp:extent cx="2353310" cy="321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53310" cy="32131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-1482090</wp:posOffset>
            </wp:positionV>
            <wp:extent cx="1320165" cy="316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0165" cy="31686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See accompanying notes to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231F20"/>
        </w:rPr>
        <w:t>Mister Car Wash, Inc.</w:t>
      </w:r>
    </w:p>
    <w:p>
      <w:pPr>
        <w:spacing w:after="0" w:line="50"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231F20"/>
        </w:rPr>
        <w:t>Condensed Consolidated Statements of Stockholders’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(Amounts in thousands, except share and per share data)</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20"/>
                <w:szCs w:val="20"/>
                <w:color w:val="auto"/>
              </w:rPr>
            </w:pPr>
            <w:r>
              <w:rPr>
                <w:rFonts w:ascii="Arial" w:cs="Arial" w:eastAsia="Arial" w:hAnsi="Arial"/>
                <w:sz w:val="16"/>
                <w:szCs w:val="16"/>
                <w:b w:val="1"/>
                <w:bCs w:val="1"/>
                <w:color w:val="auto"/>
              </w:rPr>
              <w:t>Six Months Ended June 30, 2023</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5"/>
        </w:trPr>
        <w:tc>
          <w:tcPr>
            <w:tcW w:w="3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Retained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3"/>
        </w:trPr>
        <w:tc>
          <w:tcPr>
            <w:tcW w:w="3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Earnings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Paid-in</w:t>
            </w:r>
          </w:p>
        </w:tc>
        <w:tc>
          <w:tcPr>
            <w:tcW w:w="3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30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w:t>
            </w:r>
          </w:p>
        </w:tc>
        <w:tc>
          <w:tcPr>
            <w:tcW w:w="3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Stockholders’</w:t>
            </w:r>
          </w:p>
        </w:tc>
        <w:tc>
          <w:tcPr>
            <w:tcW w:w="140" w:type="dxa"/>
            <w:vAlign w:val="bottom"/>
          </w:tcPr>
          <w:p>
            <w:pPr>
              <w:spacing w:after="0"/>
              <w:rPr>
                <w:sz w:val="17"/>
                <w:szCs w:val="17"/>
                <w:color w:val="auto"/>
              </w:rPr>
            </w:pPr>
          </w:p>
        </w:tc>
      </w:tr>
      <w:tr>
        <w:trPr>
          <w:trHeight w:val="223"/>
        </w:trPr>
        <w:tc>
          <w:tcPr>
            <w:tcW w:w="3260" w:type="dxa"/>
            <w:vAlign w:val="bottom"/>
          </w:tcPr>
          <w:p>
            <w:pPr>
              <w:spacing w:after="0"/>
              <w:rPr>
                <w:sz w:val="19"/>
                <w:szCs w:val="19"/>
                <w:color w:val="auto"/>
              </w:rPr>
            </w:pPr>
          </w:p>
        </w:tc>
        <w:tc>
          <w:tcPr>
            <w:tcW w:w="23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7"/>
              </w:rPr>
              <w:t>Capital</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Income</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Deficit)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19"/>
                <w:szCs w:val="19"/>
                <w:color w:val="auto"/>
              </w:rPr>
            </w:pPr>
          </w:p>
        </w:tc>
      </w:tr>
      <w:tr>
        <w:trPr>
          <w:trHeight w:val="223"/>
        </w:trPr>
        <w:tc>
          <w:tcPr>
            <w:tcW w:w="3260" w:type="dxa"/>
            <w:vAlign w:val="bottom"/>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306,626,530</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783,579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14,477</w:t>
            </w:r>
          </w:p>
        </w:tc>
        <w:tc>
          <w:tcPr>
            <w:tcW w:w="5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801,128</w:t>
            </w:r>
          </w:p>
        </w:tc>
        <w:tc>
          <w:tcPr>
            <w:tcW w:w="140" w:type="dxa"/>
            <w:vAlign w:val="bottom"/>
            <w:shd w:val="clear" w:color="auto" w:fill="CFF0FC"/>
          </w:tcPr>
          <w:p>
            <w:pPr>
              <w:spacing w:after="0"/>
              <w:rPr>
                <w:sz w:val="19"/>
                <w:szCs w:val="19"/>
                <w:color w:val="auto"/>
              </w:rPr>
            </w:pPr>
          </w:p>
        </w:tc>
      </w:tr>
      <w:tr>
        <w:trPr>
          <w:trHeight w:val="220"/>
        </w:trPr>
        <w:tc>
          <w:tcPr>
            <w:tcW w:w="326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5,361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5,361</w:t>
            </w:r>
          </w:p>
        </w:tc>
        <w:tc>
          <w:tcPr>
            <w:tcW w:w="140" w:type="dxa"/>
            <w:vAlign w:val="bottom"/>
          </w:tcPr>
          <w:p>
            <w:pPr>
              <w:spacing w:after="0"/>
              <w:rPr>
                <w:sz w:val="19"/>
                <w:szCs w:val="19"/>
                <w:color w:val="auto"/>
              </w:rPr>
            </w:pPr>
          </w:p>
        </w:tc>
      </w:tr>
      <w:tr>
        <w:trPr>
          <w:trHeight w:val="239"/>
        </w:trPr>
        <w:tc>
          <w:tcPr>
            <w:tcW w:w="3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4,296</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r>
      <w:tr>
        <w:trPr>
          <w:trHeight w:val="220"/>
        </w:trPr>
        <w:tc>
          <w:tcPr>
            <w:tcW w:w="326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1,471,021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1,116</w:t>
            </w:r>
          </w:p>
        </w:tc>
        <w:tc>
          <w:tcPr>
            <w:tcW w:w="140" w:type="dxa"/>
            <w:vAlign w:val="bottom"/>
          </w:tcPr>
          <w:p>
            <w:pPr>
              <w:spacing w:after="0"/>
              <w:rPr>
                <w:sz w:val="19"/>
                <w:szCs w:val="19"/>
                <w:color w:val="auto"/>
              </w:rPr>
            </w:pPr>
          </w:p>
        </w:tc>
      </w:tr>
      <w:tr>
        <w:trPr>
          <w:trHeight w:val="236"/>
        </w:trPr>
        <w:tc>
          <w:tcPr>
            <w:tcW w:w="3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21,136</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21,136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6"/>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000" w:type="dxa"/>
            <w:vAlign w:val="bottom"/>
          </w:tcPr>
          <w:p>
            <w:pPr>
              <w:jc w:val="right"/>
              <w:spacing w:after="0"/>
              <w:rPr>
                <w:sz w:val="20"/>
                <w:szCs w:val="20"/>
                <w:color w:val="auto"/>
              </w:rPr>
            </w:pPr>
            <w:r>
              <w:rPr>
                <w:rFonts w:ascii="Arial" w:cs="Arial" w:eastAsia="Arial" w:hAnsi="Arial"/>
                <w:sz w:val="16"/>
                <w:szCs w:val="16"/>
                <w:color w:val="auto"/>
              </w:rPr>
              <w:t>308,101,847</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3,087</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790,041</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35,613</w:t>
            </w:r>
          </w:p>
        </w:tc>
        <w:tc>
          <w:tcPr>
            <w:tcW w:w="5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828,741</w:t>
            </w:r>
          </w:p>
        </w:tc>
        <w:tc>
          <w:tcPr>
            <w:tcW w:w="14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325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Stock-based compensation expense Issuance of common stock under employee plans</w:t>
      </w:r>
    </w:p>
    <w:p>
      <w:pPr>
        <w:spacing w:after="0" w:line="1" w:lineRule="exact"/>
        <w:rPr>
          <w:sz w:val="20"/>
          <w:szCs w:val="20"/>
          <w:color w:val="auto"/>
        </w:rPr>
      </w:pPr>
    </w:p>
    <w:p>
      <w:pPr>
        <w:ind w:left="120" w:right="760"/>
        <w:spacing w:after="0" w:line="328" w:lineRule="auto"/>
        <w:rPr>
          <w:sz w:val="20"/>
          <w:szCs w:val="20"/>
          <w:color w:val="auto"/>
        </w:rPr>
      </w:pPr>
      <w:r>
        <w:rPr>
          <w:rFonts w:ascii="Arial" w:cs="Arial" w:eastAsia="Arial" w:hAnsi="Arial"/>
          <w:sz w:val="15"/>
          <w:szCs w:val="15"/>
          <w:color w:val="auto"/>
        </w:rPr>
        <w:t>Vesting of restricted stock units Exercise of stock options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June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5,993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5,993</w:t>
            </w:r>
          </w:p>
        </w:tc>
      </w:tr>
      <w:tr>
        <w:trPr>
          <w:trHeight w:val="338"/>
        </w:trPr>
        <w:tc>
          <w:tcPr>
            <w:tcW w:w="1000" w:type="dxa"/>
            <w:vAlign w:val="bottom"/>
          </w:tcPr>
          <w:p>
            <w:pPr>
              <w:jc w:val="right"/>
              <w:spacing w:after="0"/>
              <w:rPr>
                <w:sz w:val="20"/>
                <w:szCs w:val="20"/>
                <w:color w:val="auto"/>
              </w:rPr>
            </w:pPr>
            <w:r>
              <w:rPr>
                <w:rFonts w:ascii="Arial" w:cs="Arial" w:eastAsia="Arial" w:hAnsi="Arial"/>
                <w:sz w:val="16"/>
                <w:szCs w:val="16"/>
                <w:color w:val="auto"/>
              </w:rPr>
              <w:t>207,042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1,591</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1,593</w:t>
            </w:r>
          </w:p>
        </w:tc>
      </w:tr>
      <w:tr>
        <w:trPr>
          <w:trHeight w:val="324"/>
        </w:trPr>
        <w:tc>
          <w:tcPr>
            <w:tcW w:w="1000" w:type="dxa"/>
            <w:vAlign w:val="bottom"/>
          </w:tcPr>
          <w:p>
            <w:pPr>
              <w:jc w:val="right"/>
              <w:spacing w:after="0"/>
              <w:rPr>
                <w:sz w:val="20"/>
                <w:szCs w:val="20"/>
                <w:color w:val="auto"/>
              </w:rPr>
            </w:pPr>
            <w:r>
              <w:rPr>
                <w:rFonts w:ascii="Arial" w:cs="Arial" w:eastAsia="Arial" w:hAnsi="Arial"/>
                <w:sz w:val="16"/>
                <w:szCs w:val="16"/>
                <w:color w:val="auto"/>
              </w:rPr>
              <w:t>634,069</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560" w:type="dxa"/>
            <w:vAlign w:val="bottom"/>
            <w:gridSpan w:val="3"/>
          </w:tcPr>
          <w:p>
            <w:pPr>
              <w:jc w:val="right"/>
              <w:ind w:right="240"/>
              <w:spacing w:after="0"/>
              <w:rPr>
                <w:sz w:val="20"/>
                <w:szCs w:val="20"/>
                <w:color w:val="auto"/>
              </w:rPr>
            </w:pPr>
            <w:r>
              <w:rPr>
                <w:rFonts w:ascii="Arial" w:cs="Arial" w:eastAsia="Arial" w:hAnsi="Arial"/>
                <w:sz w:val="16"/>
                <w:szCs w:val="16"/>
                <w:color w:val="auto"/>
              </w:rPr>
              <w:t>(6 )</w:t>
            </w:r>
          </w:p>
        </w:tc>
        <w:tc>
          <w:tcPr>
            <w:tcW w:w="580" w:type="dxa"/>
            <w:vAlign w:val="bottom"/>
          </w:tcPr>
          <w:p>
            <w:pPr>
              <w:spacing w:after="0"/>
              <w:rPr>
                <w:sz w:val="24"/>
                <w:szCs w:val="24"/>
                <w:color w:val="auto"/>
              </w:rPr>
            </w:pPr>
          </w:p>
        </w:tc>
        <w:tc>
          <w:tcPr>
            <w:tcW w:w="128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1000" w:type="dxa"/>
            <w:vAlign w:val="bottom"/>
          </w:tcPr>
          <w:p>
            <w:pPr>
              <w:jc w:val="right"/>
              <w:spacing w:after="0"/>
              <w:rPr>
                <w:sz w:val="20"/>
                <w:szCs w:val="20"/>
                <w:color w:val="auto"/>
              </w:rPr>
            </w:pPr>
            <w:r>
              <w:rPr>
                <w:rFonts w:ascii="Arial" w:cs="Arial" w:eastAsia="Arial" w:hAnsi="Arial"/>
                <w:sz w:val="16"/>
                <w:szCs w:val="16"/>
                <w:color w:val="auto"/>
              </w:rPr>
              <w:t>2,815,372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1,879</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1,907</w:t>
            </w:r>
          </w:p>
        </w:tc>
      </w:tr>
      <w:tr>
        <w:trPr>
          <w:trHeight w:val="24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27,132</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27,132</w:t>
            </w:r>
          </w:p>
        </w:tc>
      </w:tr>
      <w:tr>
        <w:trPr>
          <w:trHeight w:val="210"/>
        </w:trPr>
        <w:tc>
          <w:tcPr>
            <w:tcW w:w="1000" w:type="dxa"/>
            <w:vAlign w:val="bottom"/>
          </w:tcPr>
          <w:p>
            <w:pPr>
              <w:jc w:val="right"/>
              <w:spacing w:after="0"/>
              <w:rPr>
                <w:sz w:val="20"/>
                <w:szCs w:val="20"/>
                <w:color w:val="auto"/>
              </w:rPr>
            </w:pPr>
            <w:r>
              <w:rPr>
                <w:rFonts w:ascii="Arial" w:cs="Arial" w:eastAsia="Arial" w:hAnsi="Arial"/>
                <w:sz w:val="16"/>
                <w:szCs w:val="16"/>
                <w:color w:val="auto"/>
              </w:rPr>
              <w:t>311,758,330</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3,123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w w:val="89"/>
              </w:rPr>
              <w:t>$799,498</w:t>
            </w:r>
          </w:p>
        </w:tc>
        <w:tc>
          <w:tcPr>
            <w:tcW w:w="3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gridSpan w:val="3"/>
          </w:tcPr>
          <w:p>
            <w:pPr>
              <w:ind w:left="58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62,745</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865,366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-578485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-287020</wp:posOffset>
            </wp:positionV>
            <wp:extent cx="713232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340"/>
            <w:col w:w="798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Six Months Ended June 30, 2022</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Retained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Earnings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Paid-in</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30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2"/>
              </w:rPr>
              <w:t>Stockholders’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3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9"/>
                <w:szCs w:val="19"/>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Income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Deficit)</w:t>
            </w:r>
          </w:p>
        </w:tc>
        <w:tc>
          <w:tcPr>
            <w:tcW w:w="20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000" w:type="dxa"/>
            <w:vAlign w:val="bottom"/>
          </w:tcPr>
          <w:p>
            <w:pPr>
              <w:jc w:val="right"/>
              <w:spacing w:after="0"/>
              <w:rPr>
                <w:sz w:val="20"/>
                <w:szCs w:val="20"/>
                <w:color w:val="auto"/>
              </w:rPr>
            </w:pPr>
            <w:r>
              <w:rPr>
                <w:rFonts w:ascii="Arial" w:cs="Arial" w:eastAsia="Arial" w:hAnsi="Arial"/>
                <w:sz w:val="16"/>
                <w:szCs w:val="16"/>
                <w:color w:val="auto"/>
              </w:rPr>
              <w:t>300,120,451</w:t>
            </w:r>
          </w:p>
        </w:tc>
        <w:tc>
          <w:tcPr>
            <w:tcW w:w="4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3,007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752,343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225</w:t>
            </w:r>
          </w:p>
        </w:tc>
        <w:tc>
          <w:tcPr>
            <w:tcW w:w="4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(98,423 )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657,152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5,519</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1,486,727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Gain on interest rate swap</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301,607,178</w:t>
            </w:r>
          </w:p>
        </w:tc>
        <w:tc>
          <w:tcPr>
            <w:tcW w:w="300" w:type="dxa"/>
            <w:vAlign w:val="bottom"/>
            <w:shd w:val="clear" w:color="auto" w:fill="CFF0FC"/>
          </w:tcPr>
          <w:p>
            <w:pPr>
              <w:spacing w:after="0"/>
              <w:rPr>
                <w:sz w:val="23"/>
                <w:szCs w:val="23"/>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3,022</w:t>
            </w:r>
          </w:p>
        </w:tc>
        <w:tc>
          <w:tcPr>
            <w:tcW w:w="30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759,173</w:t>
            </w:r>
          </w:p>
        </w:tc>
        <w:tc>
          <w:tcPr>
            <w:tcW w:w="30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w:t>
            </w:r>
          </w:p>
        </w:tc>
        <w:tc>
          <w:tcPr>
            <w:tcW w:w="300" w:type="dxa"/>
            <w:vAlign w:val="bottom"/>
            <w:shd w:val="clear" w:color="auto" w:fill="CFF0FC"/>
          </w:tcPr>
          <w:p>
            <w:pPr>
              <w:spacing w:after="0"/>
              <w:rPr>
                <w:sz w:val="23"/>
                <w:szCs w:val="2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(62,935 )</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701,354</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Borders>
              <w:top w:val="single" w:sz="8" w:color="CFF0FC"/>
            </w:tcBorders>
          </w:tcPr>
          <w:p>
            <w:pPr>
              <w:ind w:left="10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5,979</w:t>
            </w: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5,979</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Issuance of common stock under employee</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251,003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2,415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20" w:type="dxa"/>
            <w:vAlign w:val="bottom"/>
            <w:vMerge w:val="restart"/>
            <w:shd w:val="clear" w:color="auto" w:fill="CFF0FC"/>
          </w:tcPr>
          <w:p>
            <w:pPr>
              <w:ind w:left="100"/>
              <w:spacing w:after="0"/>
              <w:rPr>
                <w:sz w:val="20"/>
                <w:szCs w:val="20"/>
                <w:color w:val="auto"/>
              </w:rPr>
            </w:pPr>
            <w:r>
              <w:rPr>
                <w:rFonts w:ascii="Arial" w:cs="Arial" w:eastAsia="Arial" w:hAnsi="Arial"/>
                <w:sz w:val="16"/>
                <w:szCs w:val="16"/>
                <w:color w:val="auto"/>
              </w:rPr>
              <w:t>plans</w:t>
            </w:r>
          </w:p>
        </w:tc>
        <w:tc>
          <w:tcPr>
            <w:tcW w:w="100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4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0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180" w:type="dxa"/>
            <w:vAlign w:val="bottom"/>
            <w:gridSpan w:val="2"/>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20" w:type="dxa"/>
            <w:vAlign w:val="bottom"/>
            <w:vMerge w:val="continue"/>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457,372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1,601,615</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6"/>
                <w:szCs w:val="16"/>
                <w:color w:val="auto"/>
              </w:rPr>
              <w:t>Gain on interest rate swap</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35,659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35,659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000" w:type="dxa"/>
            <w:vAlign w:val="bottom"/>
          </w:tcPr>
          <w:p>
            <w:pPr>
              <w:jc w:val="right"/>
              <w:spacing w:after="0"/>
              <w:rPr>
                <w:sz w:val="20"/>
                <w:szCs w:val="20"/>
                <w:color w:val="auto"/>
              </w:rPr>
            </w:pPr>
            <w:r>
              <w:rPr>
                <w:rFonts w:ascii="Arial" w:cs="Arial" w:eastAsia="Arial" w:hAnsi="Arial"/>
                <w:sz w:val="16"/>
                <w:szCs w:val="16"/>
                <w:color w:val="auto"/>
              </w:rPr>
              <w:t>303,917,168</w:t>
            </w:r>
          </w:p>
        </w:tc>
        <w:tc>
          <w:tcPr>
            <w:tcW w:w="4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769,242</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2,395</w:t>
            </w:r>
          </w:p>
        </w:tc>
        <w:tc>
          <w:tcPr>
            <w:tcW w:w="4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(27,276 )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747,406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-1170305</wp:posOffset>
            </wp:positionV>
            <wp:extent cx="43891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891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-141605</wp:posOffset>
            </wp:positionV>
            <wp:extent cx="8572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-141605</wp:posOffset>
            </wp:positionV>
            <wp:extent cx="7747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-141605</wp:posOffset>
            </wp:positionV>
            <wp:extent cx="8572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-141605</wp:posOffset>
            </wp:positionV>
            <wp:extent cx="8572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-141605</wp:posOffset>
            </wp:positionV>
            <wp:extent cx="7683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-141605</wp:posOffset>
            </wp:positionV>
            <wp:extent cx="8572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i w:val="1"/>
          <w:iCs w:val="1"/>
          <w:color w:val="231F20"/>
        </w:rPr>
        <w:t>See accompanying notes to unaudited condensed consolidated financial statements.</w:t>
      </w:r>
    </w:p>
    <w:p>
      <w:pPr>
        <w:sectPr>
          <w:pgSz w:w="11900" w:h="16838" w:orient="portrait"/>
          <w:cols w:equalWidth="0" w:num="1">
            <w:col w:w="9019"/>
          </w:cols>
          <w:pgMar w:left="1440" w:top="584"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Mister Car Wash,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Nature of Business</w:t>
      </w:r>
    </w:p>
    <w:p>
      <w:pPr>
        <w:spacing w:after="0" w:line="12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231F20"/>
        </w:rPr>
        <w:t xml:space="preserve">Mister Car Wash, Inc., a Delaware corporation, together with its subsidiaries (collectively, “we,” “us,” “our” or the </w:t>
      </w:r>
      <w:r>
        <w:rPr>
          <w:rFonts w:ascii="Arial" w:cs="Arial" w:eastAsia="Arial" w:hAnsi="Arial"/>
          <w:sz w:val="16"/>
          <w:szCs w:val="16"/>
          <w:color w:val="000000"/>
        </w:rPr>
        <w:t>“</w:t>
      </w:r>
      <w:r>
        <w:rPr>
          <w:rFonts w:ascii="Arial" w:cs="Arial" w:eastAsia="Arial" w:hAnsi="Arial"/>
          <w:sz w:val="16"/>
          <w:szCs w:val="16"/>
          <w:color w:val="231F20"/>
        </w:rPr>
        <w:t>Company</w:t>
      </w:r>
      <w:r>
        <w:rPr>
          <w:rFonts w:ascii="Arial" w:cs="Arial" w:eastAsia="Arial" w:hAnsi="Arial"/>
          <w:sz w:val="16"/>
          <w:szCs w:val="16"/>
          <w:color w:val="000000"/>
        </w:rPr>
        <w:t>”</w:t>
      </w:r>
      <w:r>
        <w:rPr>
          <w:rFonts w:ascii="Arial" w:cs="Arial" w:eastAsia="Arial" w:hAnsi="Arial"/>
          <w:sz w:val="16"/>
          <w:szCs w:val="16"/>
          <w:color w:val="231F20"/>
        </w:rPr>
        <w:t>), is based in Tucson, Arizona and is a provider of conveyorized car wash services. We primarily operate Express Exterior Locations, which offer express exterior cleaning services along with free vacuum services, and interior cleaning services at select locations. As of June 30, 2023, we operated 449 car washes in 21 states.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Summary of Significant Accounting Policies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The accompanying unaudited condensed consolidated financial statements as of June 30, 2023 and for the three and six months ended June 30, 2023 and 2022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our audited consolidated financial statements and the notes thereto for the year ended December 31, 2022 included in the 2022 Form 10-K.</w:t>
      </w:r>
    </w:p>
    <w:p>
      <w:pPr>
        <w:spacing w:after="0" w:line="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231F20"/>
        </w:rPr>
        <w:t>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which are necessary for a fair presentation of our consolidated financial position as of June 30, 2023, consolidated results of operations and comprehensive income for the three and six months ended June 30, 2023 and 2022, and consolidated cash flows for the six months ended June 30, 2023 and 2022. Such adjustments are of a normal and recurring nature. The consolidated results of operations for the three and six months ended June 30, 2023 are not necessarily indicative of the consolidated results of operations that may be expected for the year ending December 31, 2023.</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Principles of Consolidation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The accompanying unaudited condensed consolidated financial statements include the accounts of the Company. All material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Estimates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The preparation of the unaudited condensed consolidated financial statements in conformity with U.S. GAAP requires management to make estimates and assumptions that affect the reported amounts of assets and liabilities and the disclosure of contingent assets and liabilities at the date of the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Accounts Receivable, Net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Accounts receivable are presented net of an allowance for doubtful accounts of $36 and $76 as of June 30, 2023 and December 31, 2022, respectively. The activity in the allowance for doubtful accounts was immaterial for the three and six months ended June 30, 2023 and 2022.</w:t>
      </w:r>
    </w:p>
    <w:p>
      <w:pPr>
        <w:sectPr>
          <w:pgSz w:w="11900" w:h="16838" w:orient="portrait"/>
          <w:cols w:equalWidth="0" w:num="1">
            <w:col w:w="11240"/>
          </w:cols>
          <w:pgMar w:left="320" w:top="337"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Other receivables consisted of the following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Payroll tax withholding and exercise proceeds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Construction receivable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Insurance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42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other receivables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Inventory, Net</w:t>
      </w:r>
    </w:p>
    <w:p>
      <w:pPr>
        <w:spacing w:after="0" w:line="121"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June 30, 2023</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 2022</w:t>
            </w:r>
          </w:p>
        </w:tc>
      </w:tr>
      <w:tr>
        <w:trPr>
          <w:trHeight w:val="228"/>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273</w:t>
            </w:r>
          </w:p>
        </w:tc>
      </w:tr>
      <w:tr>
        <w:trPr>
          <w:trHeight w:val="242"/>
        </w:trPr>
        <w:tc>
          <w:tcPr>
            <w:tcW w:w="24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7,377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6,199</w:t>
            </w:r>
          </w:p>
        </w:tc>
      </w:tr>
      <w:tr>
        <w:trPr>
          <w:trHeight w:val="243"/>
        </w:trPr>
        <w:tc>
          <w:tcPr>
            <w:tcW w:w="24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2,255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4,387</w:t>
            </w:r>
          </w:p>
        </w:tc>
      </w:tr>
      <w:tr>
        <w:trPr>
          <w:trHeight w:val="243"/>
        </w:trPr>
        <w:tc>
          <w:tcPr>
            <w:tcW w:w="24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2,651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2,627</w:t>
            </w:r>
          </w:p>
        </w:tc>
      </w:tr>
      <w:tr>
        <w:trPr>
          <w:trHeight w:val="250"/>
        </w:trPr>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8,396</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1,696</w:t>
            </w:r>
          </w:p>
        </w:tc>
      </w:tr>
      <w:tr>
        <w:trPr>
          <w:trHeight w:val="237"/>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21,722</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15,182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520" w:space="720"/>
            <w:col w:w="4000"/>
          </w:cols>
          <w:pgMar w:left="320" w:top="337" w:right="33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r>
              <w:rPr>
                <w:rFonts w:ascii="Arial" w:cs="Arial" w:eastAsia="Arial" w:hAnsi="Arial"/>
                <w:sz w:val="18"/>
                <w:szCs w:val="18"/>
                <w:color w:val="231F20"/>
              </w:rPr>
              <w:t>Inventory consisted of the following for the periods presented:</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2"/>
        </w:trPr>
        <w:tc>
          <w:tcPr>
            <w:tcW w:w="7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780" w:type="dxa"/>
            <w:vAlign w:val="bottom"/>
            <w:tcBorders>
              <w:bottom w:val="single" w:sz="8" w:color="auto"/>
            </w:tcBorders>
          </w:tcPr>
          <w:p>
            <w:pPr>
              <w:spacing w:after="0"/>
              <w:rPr>
                <w:sz w:val="24"/>
                <w:szCs w:val="24"/>
                <w:color w:val="auto"/>
              </w:rPr>
            </w:pPr>
          </w:p>
        </w:tc>
      </w:tr>
      <w:tr>
        <w:trPr>
          <w:trHeight w:val="239"/>
        </w:trPr>
        <w:tc>
          <w:tcPr>
            <w:tcW w:w="7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June 30, 2023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 2022</w:t>
            </w:r>
          </w:p>
        </w:tc>
      </w:tr>
      <w:tr>
        <w:trPr>
          <w:trHeight w:val="241"/>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Chemical washing solutions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8,439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9,357</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(166 )</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(183 )</w:t>
            </w:r>
          </w:p>
        </w:tc>
      </w:tr>
      <w:tr>
        <w:trPr>
          <w:trHeight w:val="276"/>
        </w:trPr>
        <w:tc>
          <w:tcPr>
            <w:tcW w:w="7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inventory,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8,273</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231F20"/>
        </w:rPr>
        <w:t>The activity in the reserve for obsolescence was immaterial for the three and six months ended June 30, 2023 and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Revenue Recognition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our net revenues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1"/>
              </w:rPr>
              <w:t>Three Months Ended June 30,</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4"/>
              </w:rPr>
              <w:t>Six Months Ended June 30,</w:t>
            </w:r>
          </w:p>
        </w:tc>
        <w:tc>
          <w:tcPr>
            <w:tcW w:w="140" w:type="dxa"/>
            <w:vAlign w:val="bottom"/>
          </w:tcPr>
          <w:p>
            <w:pPr>
              <w:spacing w:after="0"/>
              <w:rPr>
                <w:sz w:val="20"/>
                <w:szCs w:val="20"/>
                <w:color w:val="auto"/>
              </w:rPr>
            </w:pPr>
          </w:p>
        </w:tc>
      </w:tr>
      <w:tr>
        <w:trPr>
          <w:trHeight w:val="239"/>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over time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164,733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149,062</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321,624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289,936</w:t>
            </w:r>
          </w:p>
        </w:tc>
        <w:tc>
          <w:tcPr>
            <w:tcW w:w="140" w:type="dxa"/>
            <w:vAlign w:val="bottom"/>
            <w:shd w:val="clear" w:color="auto" w:fill="CFF0FC"/>
          </w:tcPr>
          <w:p>
            <w:pPr>
              <w:spacing w:after="0"/>
              <w:rPr>
                <w:sz w:val="20"/>
                <w:szCs w:val="20"/>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Recognized at a point in time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72,029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75,822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140,999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153,830</w:t>
            </w:r>
          </w:p>
        </w:tc>
        <w:tc>
          <w:tcPr>
            <w:tcW w:w="140" w:type="dxa"/>
            <w:vAlign w:val="bottom"/>
          </w:tcPr>
          <w:p>
            <w:pPr>
              <w:spacing w:after="0"/>
              <w:rPr>
                <w:sz w:val="20"/>
                <w:szCs w:val="20"/>
                <w:color w:val="auto"/>
              </w:rPr>
            </w:pPr>
          </w:p>
        </w:tc>
      </w:tr>
      <w:tr>
        <w:trPr>
          <w:trHeight w:val="249"/>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5320" w:type="dxa"/>
            <w:vAlign w:val="bottom"/>
          </w:tcPr>
          <w:p>
            <w:pPr>
              <w:ind w:left="20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236,894</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225,159</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462,854</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444,578</w:t>
            </w:r>
          </w:p>
        </w:tc>
        <w:tc>
          <w:tcPr>
            <w:tcW w:w="14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-187960</wp:posOffset>
            </wp:positionV>
            <wp:extent cx="857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-187960</wp:posOffset>
            </wp:positionV>
            <wp:extent cx="857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857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Net Income Per Share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Basic net income per share is computed by dividing net income by the weighted-average number of common shares outstanding for the period. Diluted net income per share is computed by dividing net income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per share because they would have an antidilutive effect. Reconciliations of the numerators and denominators of the basic and diluted net income per share calculations for the periods presented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2"/>
              </w:rPr>
              <w:t>Three Months Ended June 30,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9"/>
        </w:trPr>
        <w:tc>
          <w:tcPr>
            <w:tcW w:w="5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41"/>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27,132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35,659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48,268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71,147</w:t>
            </w: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7"/>
        </w:trPr>
        <w:tc>
          <w:tcPr>
            <w:tcW w:w="538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309,314,858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99"/>
              </w:rPr>
              <w:t>302,666,291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308,308,972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5"/>
              </w:rPr>
              <w:t>301,803,664</w:t>
            </w:r>
          </w:p>
        </w:tc>
      </w:tr>
      <w:tr>
        <w:trPr>
          <w:trHeight w:val="249"/>
        </w:trPr>
        <w:tc>
          <w:tcPr>
            <w:tcW w:w="5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Effect of potentially dilutive securities:</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7"/>
        </w:trPr>
        <w:tc>
          <w:tcPr>
            <w:tcW w:w="538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18,363,467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23,912,934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19,081,022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25,461,476</w:t>
            </w:r>
          </w:p>
        </w:tc>
      </w:tr>
      <w:tr>
        <w:trPr>
          <w:trHeight w:val="249"/>
        </w:trPr>
        <w:tc>
          <w:tcPr>
            <w:tcW w:w="53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Restricted stock units</w:t>
            </w: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603,008</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648,060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550,611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939,513</w:t>
            </w:r>
          </w:p>
        </w:tc>
      </w:tr>
      <w:tr>
        <w:trPr>
          <w:trHeight w:val="243"/>
        </w:trPr>
        <w:tc>
          <w:tcPr>
            <w:tcW w:w="5380" w:type="dxa"/>
            <w:vAlign w:val="bottom"/>
          </w:tcPr>
          <w:p>
            <w:pPr>
              <w:ind w:left="340"/>
              <w:spacing w:after="0"/>
              <w:rPr>
                <w:sz w:val="20"/>
                <w:szCs w:val="20"/>
                <w:color w:val="auto"/>
              </w:rPr>
            </w:pPr>
            <w:r>
              <w:rPr>
                <w:rFonts w:ascii="Arial" w:cs="Arial" w:eastAsia="Arial" w:hAnsi="Arial"/>
                <w:sz w:val="18"/>
                <w:szCs w:val="18"/>
                <w:color w:val="auto"/>
              </w:rPr>
              <w:t>Employee stock purchase plan</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2,246</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10,794</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1,123</w:t>
            </w:r>
          </w:p>
        </w:tc>
      </w:tr>
      <w:tr>
        <w:trPr>
          <w:trHeight w:val="277"/>
        </w:trPr>
        <w:tc>
          <w:tcPr>
            <w:tcW w:w="53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328,283,353</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327,229,531</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327,951,399</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328,205,776</w:t>
            </w:r>
          </w:p>
        </w:tc>
      </w:tr>
      <w:tr>
        <w:trPr>
          <w:trHeight w:val="466"/>
        </w:trPr>
        <w:tc>
          <w:tcPr>
            <w:tcW w:w="53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0.24</w:t>
            </w:r>
          </w:p>
        </w:tc>
      </w:tr>
      <w:tr>
        <w:trPr>
          <w:trHeight w:val="20"/>
        </w:trPr>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0.08</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-539115</wp:posOffset>
            </wp:positionV>
            <wp:extent cx="2023110" cy="360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23110" cy="3600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231F20"/>
        </w:rPr>
        <w:t>The following potentially dilutive shares were excluded from the computation of diluted net income per share for the periods presented because including them would have been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28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r>
      <w:tr>
        <w:trPr>
          <w:trHeight w:val="239"/>
        </w:trPr>
        <w:tc>
          <w:tcPr>
            <w:tcW w:w="534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3,555,410</w:t>
            </w:r>
          </w:p>
        </w:tc>
        <w:tc>
          <w:tcPr>
            <w:tcW w:w="26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2,139,197</w:t>
            </w:r>
          </w:p>
        </w:tc>
        <w:tc>
          <w:tcPr>
            <w:tcW w:w="28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3,116,583</w:t>
            </w:r>
          </w:p>
        </w:tc>
        <w:tc>
          <w:tcPr>
            <w:tcW w:w="28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2,090,169</w:t>
            </w:r>
          </w:p>
        </w:tc>
        <w:tc>
          <w:tcPr>
            <w:tcW w:w="140" w:type="dxa"/>
            <w:vAlign w:val="bottom"/>
            <w:shd w:val="clear" w:color="auto" w:fill="CFF0FC"/>
          </w:tcPr>
          <w:p>
            <w:pPr>
              <w:spacing w:after="0"/>
              <w:rPr>
                <w:sz w:val="20"/>
                <w:szCs w:val="20"/>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235,216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166,672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295,808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83,336</w:t>
            </w:r>
          </w:p>
        </w:tc>
        <w:tc>
          <w:tcPr>
            <w:tcW w:w="140" w:type="dxa"/>
            <w:vAlign w:val="bottom"/>
          </w:tcPr>
          <w:p>
            <w:pPr>
              <w:spacing w:after="0"/>
              <w:rPr>
                <w:sz w:val="20"/>
                <w:szCs w:val="20"/>
                <w:color w:val="auto"/>
              </w:rPr>
            </w:pPr>
          </w:p>
        </w:tc>
      </w:tr>
      <w:tr>
        <w:trPr>
          <w:trHeight w:val="289"/>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88,163</w:t>
            </w:r>
          </w:p>
        </w:tc>
        <w:tc>
          <w:tcPr>
            <w:tcW w:w="2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96,212</w:t>
            </w:r>
          </w:p>
        </w:tc>
        <w:tc>
          <w:tcPr>
            <w:tcW w:w="2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45,891</w:t>
            </w:r>
          </w:p>
        </w:tc>
        <w:tc>
          <w:tcPr>
            <w:tcW w:w="2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-24765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There have been no new accounting standards issued which would require either disclosure or adoption in the current period.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Property and Equipment, Net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w w:val="93"/>
              </w:rPr>
              <w:t xml:space="preserve">Property and equipment, net consisted of the following </w:t>
            </w:r>
            <w:r>
              <w:rPr>
                <w:rFonts w:ascii="Arial" w:cs="Arial" w:eastAsia="Arial" w:hAnsi="Arial"/>
                <w:sz w:val="18"/>
                <w:szCs w:val="18"/>
                <w:color w:val="231F20"/>
                <w:w w:val="93"/>
              </w:rPr>
              <w:t>for the periods presented</w:t>
            </w:r>
            <w:r>
              <w:rPr>
                <w:rFonts w:ascii="Arial" w:cs="Arial" w:eastAsia="Arial" w:hAnsi="Arial"/>
                <w:sz w:val="18"/>
                <w:szCs w:val="18"/>
                <w:color w:val="auto"/>
                <w:w w:val="93"/>
              </w:rPr>
              <w:t>:</w:t>
            </w:r>
          </w:p>
        </w:tc>
        <w:tc>
          <w:tcPr>
            <w:tcW w:w="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07"/>
        </w:trPr>
        <w:tc>
          <w:tcPr>
            <w:tcW w:w="60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As of</w:t>
            </w: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6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June 30, 2023</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2022</w:t>
            </w:r>
          </w:p>
        </w:tc>
        <w:tc>
          <w:tcPr>
            <w:tcW w:w="140" w:type="dxa"/>
            <w:vAlign w:val="bottom"/>
          </w:tcPr>
          <w:p>
            <w:pPr>
              <w:spacing w:after="0"/>
              <w:rPr>
                <w:sz w:val="20"/>
                <w:szCs w:val="20"/>
                <w:color w:val="auto"/>
              </w:rPr>
            </w:pPr>
          </w:p>
        </w:tc>
      </w:tr>
      <w:tr>
        <w:trPr>
          <w:trHeight w:val="241"/>
        </w:trPr>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Land</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95,069</w:t>
            </w:r>
          </w:p>
        </w:tc>
        <w:tc>
          <w:tcPr>
            <w:tcW w:w="5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94,594</w:t>
            </w:r>
          </w:p>
        </w:tc>
        <w:tc>
          <w:tcPr>
            <w:tcW w:w="140" w:type="dxa"/>
            <w:vAlign w:val="bottom"/>
            <w:shd w:val="clear" w:color="auto" w:fill="CFF0FC"/>
          </w:tcPr>
          <w:p>
            <w:pPr>
              <w:spacing w:after="0"/>
              <w:rPr>
                <w:sz w:val="20"/>
                <w:szCs w:val="20"/>
                <w:color w:val="auto"/>
              </w:rPr>
            </w:pP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Buildings and improvements</w:t>
            </w:r>
          </w:p>
        </w:tc>
        <w:tc>
          <w:tcPr>
            <w:tcW w:w="3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184,178</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189,998</w:t>
            </w:r>
          </w:p>
        </w:tc>
        <w:tc>
          <w:tcPr>
            <w:tcW w:w="140" w:type="dxa"/>
            <w:vAlign w:val="bottom"/>
          </w:tcPr>
          <w:p>
            <w:pPr>
              <w:spacing w:after="0"/>
              <w:rPr>
                <w:sz w:val="20"/>
                <w:szCs w:val="20"/>
                <w:color w:val="auto"/>
              </w:rPr>
            </w:pPr>
          </w:p>
        </w:tc>
      </w:tr>
      <w:tr>
        <w:trPr>
          <w:trHeight w:val="249"/>
        </w:trPr>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140" w:type="dxa"/>
            <w:vAlign w:val="bottom"/>
            <w:shd w:val="clear" w:color="auto" w:fill="CFF0FC"/>
          </w:tcPr>
          <w:p>
            <w:pPr>
              <w:spacing w:after="0"/>
              <w:rPr>
                <w:sz w:val="21"/>
                <w:szCs w:val="21"/>
                <w:color w:val="auto"/>
              </w:rPr>
            </w:pP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127,997</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115,811</w:t>
            </w:r>
          </w:p>
        </w:tc>
        <w:tc>
          <w:tcPr>
            <w:tcW w:w="140" w:type="dxa"/>
            <w:vAlign w:val="bottom"/>
          </w:tcPr>
          <w:p>
            <w:pPr>
              <w:spacing w:after="0"/>
              <w:rPr>
                <w:sz w:val="20"/>
                <w:szCs w:val="20"/>
                <w:color w:val="auto"/>
              </w:rPr>
            </w:pPr>
          </w:p>
        </w:tc>
      </w:tr>
      <w:tr>
        <w:trPr>
          <w:trHeight w:val="249"/>
        </w:trPr>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Vehicles and equipment</w:t>
            </w:r>
          </w:p>
        </w:tc>
        <w:tc>
          <w:tcPr>
            <w:tcW w:w="38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246,251</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229,453</w:t>
            </w:r>
          </w:p>
        </w:tc>
        <w:tc>
          <w:tcPr>
            <w:tcW w:w="140" w:type="dxa"/>
            <w:vAlign w:val="bottom"/>
            <w:shd w:val="clear" w:color="auto" w:fill="CFF0FC"/>
          </w:tcPr>
          <w:p>
            <w:pPr>
              <w:spacing w:after="0"/>
              <w:rPr>
                <w:sz w:val="21"/>
                <w:szCs w:val="21"/>
                <w:color w:val="auto"/>
              </w:rPr>
            </w:pPr>
          </w:p>
        </w:tc>
      </w:tr>
      <w:tr>
        <w:trPr>
          <w:trHeight w:val="237"/>
        </w:trPr>
        <w:tc>
          <w:tcPr>
            <w:tcW w:w="6060" w:type="dxa"/>
            <w:vAlign w:val="bottom"/>
          </w:tcPr>
          <w:p>
            <w:pPr>
              <w:ind w:left="120"/>
              <w:spacing w:after="0"/>
              <w:rPr>
                <w:sz w:val="20"/>
                <w:szCs w:val="20"/>
                <w:color w:val="auto"/>
              </w:rPr>
            </w:pPr>
            <w:r>
              <w:rPr>
                <w:rFonts w:ascii="Arial" w:cs="Arial" w:eastAsia="Arial" w:hAnsi="Arial"/>
                <w:sz w:val="18"/>
                <w:szCs w:val="18"/>
                <w:color w:val="auto"/>
              </w:rPr>
              <w:t>Furniture, fixtures and equipment</w:t>
            </w:r>
          </w:p>
        </w:tc>
        <w:tc>
          <w:tcPr>
            <w:tcW w:w="3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92,603</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86,613</w:t>
            </w:r>
          </w:p>
        </w:tc>
        <w:tc>
          <w:tcPr>
            <w:tcW w:w="140" w:type="dxa"/>
            <w:vAlign w:val="bottom"/>
          </w:tcPr>
          <w:p>
            <w:pPr>
              <w:spacing w:after="0"/>
              <w:rPr>
                <w:sz w:val="20"/>
                <w:szCs w:val="20"/>
                <w:color w:val="auto"/>
              </w:rPr>
            </w:pPr>
          </w:p>
        </w:tc>
      </w:tr>
      <w:tr>
        <w:trPr>
          <w:trHeight w:val="249"/>
        </w:trPr>
        <w:tc>
          <w:tcPr>
            <w:tcW w:w="6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81,490</w:t>
            </w:r>
          </w:p>
        </w:tc>
        <w:tc>
          <w:tcPr>
            <w:tcW w:w="5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53,373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6060" w:type="dxa"/>
            <w:vAlign w:val="bottom"/>
          </w:tcPr>
          <w:p>
            <w:pPr>
              <w:ind w:left="120"/>
              <w:spacing w:after="0"/>
              <w:rPr>
                <w:sz w:val="20"/>
                <w:szCs w:val="20"/>
                <w:color w:val="auto"/>
              </w:rPr>
            </w:pPr>
            <w:r>
              <w:rPr>
                <w:rFonts w:ascii="Arial" w:cs="Arial" w:eastAsia="Arial" w:hAnsi="Arial"/>
                <w:sz w:val="18"/>
                <w:szCs w:val="18"/>
                <w:color w:val="auto"/>
              </w:rPr>
              <w:t>Property and equipment, gross</w:t>
            </w:r>
          </w:p>
        </w:tc>
        <w:tc>
          <w:tcPr>
            <w:tcW w:w="3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844,192</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786,446</w:t>
            </w:r>
          </w:p>
        </w:tc>
        <w:tc>
          <w:tcPr>
            <w:tcW w:w="140" w:type="dxa"/>
            <w:vAlign w:val="bottom"/>
          </w:tcPr>
          <w:p>
            <w:pPr>
              <w:spacing w:after="0"/>
              <w:rPr>
                <w:sz w:val="20"/>
                <w:szCs w:val="20"/>
                <w:color w:val="auto"/>
              </w:rPr>
            </w:pPr>
          </w:p>
        </w:tc>
      </w:tr>
      <w:tr>
        <w:trPr>
          <w:trHeight w:val="249"/>
        </w:trPr>
        <w:tc>
          <w:tcPr>
            <w:tcW w:w="6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accumulated depreciation</w:t>
            </w:r>
          </w:p>
        </w:tc>
        <w:tc>
          <w:tcPr>
            <w:tcW w:w="380" w:type="dxa"/>
            <w:vAlign w:val="bottom"/>
            <w:shd w:val="clear" w:color="auto" w:fill="CFF0FC"/>
          </w:tcPr>
          <w:p>
            <w:pPr>
              <w:spacing w:after="0"/>
              <w:rPr>
                <w:sz w:val="21"/>
                <w:szCs w:val="21"/>
                <w:color w:val="auto"/>
              </w:rPr>
            </w:pPr>
          </w:p>
        </w:tc>
        <w:tc>
          <w:tcPr>
            <w:tcW w:w="24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(245,869 )</w:t>
            </w:r>
          </w:p>
        </w:tc>
        <w:tc>
          <w:tcPr>
            <w:tcW w:w="24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(223,288 )</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Less: accumulated amortization - finance leases</w:t>
            </w:r>
          </w:p>
        </w:tc>
        <w:tc>
          <w:tcPr>
            <w:tcW w:w="380" w:type="dxa"/>
            <w:vAlign w:val="bottom"/>
          </w:tcPr>
          <w:p>
            <w:pPr>
              <w:spacing w:after="0"/>
              <w:rPr>
                <w:sz w:val="21"/>
                <w:szCs w:val="21"/>
                <w:color w:val="auto"/>
              </w:rPr>
            </w:pPr>
          </w:p>
        </w:tc>
        <w:tc>
          <w:tcPr>
            <w:tcW w:w="2440" w:type="dxa"/>
            <w:vAlign w:val="bottom"/>
            <w:gridSpan w:val="2"/>
          </w:tcPr>
          <w:p>
            <w:pPr>
              <w:jc w:val="right"/>
              <w:ind w:right="350"/>
              <w:spacing w:after="0"/>
              <w:rPr>
                <w:sz w:val="20"/>
                <w:szCs w:val="20"/>
                <w:color w:val="auto"/>
              </w:rPr>
            </w:pPr>
            <w:r>
              <w:rPr>
                <w:rFonts w:ascii="Arial" w:cs="Arial" w:eastAsia="Arial" w:hAnsi="Arial"/>
                <w:sz w:val="18"/>
                <w:szCs w:val="18"/>
                <w:color w:val="auto"/>
              </w:rPr>
              <w:t>(2,786 )</w:t>
            </w:r>
          </w:p>
        </w:tc>
        <w:tc>
          <w:tcPr>
            <w:tcW w:w="240" w:type="dxa"/>
            <w:vAlign w:val="bottom"/>
          </w:tcPr>
          <w:p>
            <w:pPr>
              <w:spacing w:after="0"/>
              <w:rPr>
                <w:sz w:val="21"/>
                <w:szCs w:val="21"/>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(2,284 )</w:t>
            </w:r>
          </w:p>
        </w:tc>
      </w:tr>
      <w:tr>
        <w:trPr>
          <w:trHeight w:val="277"/>
        </w:trPr>
        <w:tc>
          <w:tcPr>
            <w:tcW w:w="6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595,537</w:t>
            </w:r>
          </w:p>
        </w:tc>
        <w:tc>
          <w:tcPr>
            <w:tcW w:w="5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560,874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-659130</wp:posOffset>
            </wp:positionV>
            <wp:extent cx="8572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the three months ended June 30, 2023 and 2022, depreciation expense was $14,555 </w:t>
      </w:r>
      <w:r>
        <w:rPr>
          <w:rFonts w:ascii="Arial" w:cs="Arial" w:eastAsia="Arial" w:hAnsi="Arial"/>
          <w:sz w:val="18"/>
          <w:szCs w:val="18"/>
          <w:color w:val="231F20"/>
        </w:rPr>
        <w:t>and $13,198</w:t>
      </w:r>
      <w:r>
        <w:rPr>
          <w:rFonts w:ascii="Arial" w:cs="Arial" w:eastAsia="Arial" w:hAnsi="Arial"/>
          <w:sz w:val="18"/>
          <w:szCs w:val="18"/>
          <w:color w:val="auto"/>
        </w:rPr>
        <w:t>, respectively. For the six months ended June 30, 2023 and 2022, depreciation expense was $29,934 and $26,132, respectively.</w:t>
      </w:r>
    </w:p>
    <w:p>
      <w:pPr>
        <w:spacing w:after="0" w:line="6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 xml:space="preserve">For the three months ended June 30, 2023 and 2022, amortization expense on finance leases was $251 </w:t>
      </w:r>
      <w:r>
        <w:rPr>
          <w:rFonts w:ascii="Arial" w:cs="Arial" w:eastAsia="Arial" w:hAnsi="Arial"/>
          <w:sz w:val="18"/>
          <w:szCs w:val="18"/>
          <w:color w:val="231F20"/>
        </w:rPr>
        <w:t>and $246</w:t>
      </w:r>
      <w:r>
        <w:rPr>
          <w:rFonts w:ascii="Arial" w:cs="Arial" w:eastAsia="Arial" w:hAnsi="Arial"/>
          <w:sz w:val="18"/>
          <w:szCs w:val="18"/>
          <w:color w:val="auto"/>
        </w:rPr>
        <w:t>, respectively. For the six months ended June 30, 2023 and 2022, amortization expense on finance leases was $502 and $489,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Other Intangible Assets, Net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231F20"/>
        </w:rPr>
        <w:t>Other intangibles assets, net consisted of the following as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1230"/>
              <w:spacing w:after="0"/>
              <w:rPr>
                <w:sz w:val="20"/>
                <w:szCs w:val="20"/>
                <w:color w:val="auto"/>
              </w:rPr>
            </w:pPr>
            <w:r>
              <w:rPr>
                <w:rFonts w:ascii="Arial" w:cs="Arial" w:eastAsia="Arial" w:hAnsi="Arial"/>
                <w:sz w:val="18"/>
                <w:szCs w:val="18"/>
                <w:b w:val="1"/>
                <w:bCs w:val="1"/>
                <w:color w:val="auto"/>
              </w:rPr>
              <w:t>June 30, 2023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20"/>
                <w:szCs w:val="20"/>
                <w:color w:val="auto"/>
              </w:rPr>
            </w:pPr>
          </w:p>
        </w:tc>
      </w:tr>
      <w:tr>
        <w:trPr>
          <w:trHeight w:val="211"/>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Gross Carrying</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Gross Carrying</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Accumulated</w:t>
            </w:r>
          </w:p>
        </w:tc>
        <w:tc>
          <w:tcPr>
            <w:tcW w:w="14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r>
      <w:tr>
        <w:trPr>
          <w:trHeight w:val="243"/>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names and Trademarks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21"/>
                <w:szCs w:val="21"/>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CPC Unity System</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42,900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37,895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42,900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35,750</w:t>
            </w:r>
          </w:p>
        </w:tc>
        <w:tc>
          <w:tcPr>
            <w:tcW w:w="140" w:type="dxa"/>
            <w:vAlign w:val="bottom"/>
          </w:tcPr>
          <w:p>
            <w:pPr>
              <w:spacing w:after="0"/>
              <w:rPr>
                <w:sz w:val="20"/>
                <w:szCs w:val="20"/>
                <w:color w:val="auto"/>
              </w:rPr>
            </w:pPr>
          </w:p>
        </w:tc>
      </w:tr>
      <w:tr>
        <w:trPr>
          <w:trHeight w:val="249"/>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40" w:type="dxa"/>
            <w:vAlign w:val="bottom"/>
            <w:shd w:val="clear" w:color="auto" w:fill="CFF0FC"/>
          </w:tcPr>
          <w:p>
            <w:pPr>
              <w:spacing w:after="0"/>
              <w:rPr>
                <w:sz w:val="21"/>
                <w:szCs w:val="2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Covenants not to compete</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140" w:type="dxa"/>
            <w:vAlign w:val="bottom"/>
          </w:tcPr>
          <w:p>
            <w:pPr>
              <w:spacing w:after="0"/>
              <w:rPr>
                <w:sz w:val="21"/>
                <w:szCs w:val="21"/>
                <w:color w:val="auto"/>
              </w:rPr>
            </w:pPr>
          </w:p>
        </w:tc>
      </w:tr>
      <w:tr>
        <w:trPr>
          <w:trHeight w:val="277"/>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172,320</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51,774</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174,490</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50,875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-24765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231F20"/>
        </w:rPr>
        <w:t>For the three months ended June 30, 2023 and 2022, amortization expense associated with our finite-lived intangible assets was $1,706 and $1,692, respectively. For the six months ended June 30, 2023 and 2022, amortization expense associated with our finite-lived intangible assets was $3,383 and $3,460,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31F20"/>
        </w:rPr>
        <w:t>As of June 30, 2023, estimated future amortization expense was as follows: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Ending: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(remaining six months)</w:t>
            </w:r>
          </w:p>
        </w:tc>
        <w:tc>
          <w:tcPr>
            <w:tcW w:w="240" w:type="dxa"/>
            <w:vAlign w:val="bottom"/>
            <w:tcBorders>
              <w:top w:val="single" w:sz="8" w:color="auto"/>
            </w:tcBorders>
            <w:shd w:val="clear" w:color="auto" w:fill="CFF0FC"/>
          </w:tcPr>
          <w:p>
            <w:pPr>
              <w:spacing w:after="0"/>
              <w:rPr>
                <w:sz w:val="21"/>
                <w:szCs w:val="21"/>
                <w:color w:val="auto"/>
              </w:rPr>
            </w:pPr>
          </w:p>
        </w:tc>
        <w:tc>
          <w:tcPr>
            <w:tcW w:w="15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140" w:type="dxa"/>
            <w:vAlign w:val="bottom"/>
            <w:shd w:val="clear" w:color="auto" w:fill="CFF0FC"/>
          </w:tcPr>
          <w:p>
            <w:pPr>
              <w:spacing w:after="0"/>
              <w:rPr>
                <w:sz w:val="21"/>
                <w:szCs w:val="21"/>
                <w:color w:val="auto"/>
              </w:rPr>
            </w:pP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4,936</w:t>
            </w:r>
          </w:p>
        </w:tc>
        <w:tc>
          <w:tcPr>
            <w:tcW w:w="140" w:type="dxa"/>
            <w:vAlign w:val="bottom"/>
          </w:tcPr>
          <w:p>
            <w:pPr>
              <w:spacing w:after="0"/>
              <w:rPr>
                <w:sz w:val="20"/>
                <w:szCs w:val="20"/>
                <w:color w:val="auto"/>
              </w:rPr>
            </w:pPr>
          </w:p>
        </w:tc>
      </w:tr>
      <w:tr>
        <w:trPr>
          <w:trHeight w:val="249"/>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FF0FC"/>
          </w:tcPr>
          <w:p>
            <w:pPr>
              <w:spacing w:after="0"/>
              <w:rPr>
                <w:sz w:val="21"/>
                <w:szCs w:val="21"/>
                <w:color w:val="auto"/>
              </w:rPr>
            </w:pP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1,483</w:t>
            </w:r>
          </w:p>
        </w:tc>
        <w:tc>
          <w:tcPr>
            <w:tcW w:w="140" w:type="dxa"/>
            <w:vAlign w:val="bottom"/>
          </w:tcPr>
          <w:p>
            <w:pPr>
              <w:spacing w:after="0"/>
              <w:rPr>
                <w:sz w:val="20"/>
                <w:szCs w:val="20"/>
                <w:color w:val="auto"/>
              </w:rPr>
            </w:pPr>
          </w:p>
        </w:tc>
      </w:tr>
      <w:tr>
        <w:trPr>
          <w:trHeight w:val="249"/>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FF0FC"/>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21"/>
                <w:szCs w:val="21"/>
                <w:color w:val="auto"/>
              </w:rPr>
            </w:pPr>
          </w:p>
        </w:tc>
      </w:tr>
      <w:tr>
        <w:trPr>
          <w:trHeight w:val="277"/>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estimated future amortization expense</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3"/>
        </w:trPr>
        <w:tc>
          <w:tcPr>
            <w:tcW w:w="7120" w:type="dxa"/>
            <w:vAlign w:val="bottom"/>
          </w:tcPr>
          <w:p>
            <w:pPr>
              <w:spacing w:after="0"/>
              <w:rPr>
                <w:sz w:val="20"/>
                <w:szCs w:val="20"/>
                <w:color w:val="auto"/>
              </w:rPr>
            </w:pPr>
            <w:r>
              <w:rPr>
                <w:rFonts w:ascii="Arial" w:cs="Arial" w:eastAsia="Arial" w:hAnsi="Arial"/>
                <w:sz w:val="18"/>
                <w:szCs w:val="18"/>
                <w:b w:val="1"/>
                <w:bCs w:val="1"/>
                <w:color w:val="231F20"/>
              </w:rPr>
              <w:t>5.  Goodwill</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7120" w:type="dxa"/>
            <w:vAlign w:val="bottom"/>
          </w:tcPr>
          <w:p>
            <w:pPr>
              <w:spacing w:after="0"/>
              <w:rPr>
                <w:sz w:val="20"/>
                <w:szCs w:val="20"/>
                <w:color w:val="auto"/>
              </w:rPr>
            </w:pPr>
            <w:r>
              <w:rPr>
                <w:rFonts w:ascii="Arial" w:cs="Arial" w:eastAsia="Arial" w:hAnsi="Arial"/>
                <w:sz w:val="18"/>
                <w:szCs w:val="18"/>
                <w:color w:val="231F20"/>
              </w:rPr>
              <w:t>Goodwill consisted of the following for the periods presented: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5"/>
        </w:trPr>
        <w:tc>
          <w:tcPr>
            <w:tcW w:w="7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84"/>
              </w:rPr>
              <w:t>As of</w:t>
            </w: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7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2022</w:t>
            </w:r>
          </w:p>
        </w:tc>
        <w:tc>
          <w:tcPr>
            <w:tcW w:w="140" w:type="dxa"/>
            <w:vAlign w:val="bottom"/>
          </w:tcPr>
          <w:p>
            <w:pPr>
              <w:spacing w:after="0"/>
              <w:rPr>
                <w:sz w:val="20"/>
                <w:szCs w:val="20"/>
                <w:color w:val="auto"/>
              </w:rPr>
            </w:pPr>
          </w:p>
        </w:tc>
      </w:tr>
      <w:tr>
        <w:trPr>
          <w:trHeight w:val="241"/>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1,109,815</w:t>
            </w:r>
          </w:p>
        </w:tc>
        <w:tc>
          <w:tcPr>
            <w:tcW w:w="3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1,060,221</w:t>
            </w:r>
          </w:p>
        </w:tc>
        <w:tc>
          <w:tcPr>
            <w:tcW w:w="140" w:type="dxa"/>
            <w:vAlign w:val="bottom"/>
            <w:shd w:val="clear" w:color="auto" w:fill="CFF0FC"/>
          </w:tcPr>
          <w:p>
            <w:pPr>
              <w:spacing w:after="0"/>
              <w:rPr>
                <w:sz w:val="20"/>
                <w:szCs w:val="20"/>
                <w:color w:val="auto"/>
              </w:rPr>
            </w:pPr>
          </w:p>
        </w:tc>
      </w:tr>
      <w:tr>
        <w:trPr>
          <w:trHeight w:val="237"/>
        </w:trPr>
        <w:tc>
          <w:tcPr>
            <w:tcW w:w="7120" w:type="dxa"/>
            <w:vAlign w:val="bottom"/>
          </w:tcPr>
          <w:p>
            <w:pPr>
              <w:ind w:left="160"/>
              <w:spacing w:after="0"/>
              <w:rPr>
                <w:sz w:val="20"/>
                <w:szCs w:val="20"/>
                <w:color w:val="auto"/>
              </w:rPr>
            </w:pPr>
            <w:r>
              <w:rPr>
                <w:rFonts w:ascii="Arial" w:cs="Arial" w:eastAsia="Arial" w:hAnsi="Arial"/>
                <w:sz w:val="18"/>
                <w:szCs w:val="18"/>
                <w:color w:val="auto"/>
              </w:rPr>
              <w:t>Current period acquisitions</w:t>
            </w: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57,856</w:t>
            </w:r>
          </w:p>
        </w:tc>
        <w:tc>
          <w:tcPr>
            <w:tcW w:w="140" w:type="dxa"/>
            <w:vAlign w:val="bottom"/>
          </w:tcPr>
          <w:p>
            <w:pPr>
              <w:spacing w:after="0"/>
              <w:rPr>
                <w:sz w:val="20"/>
                <w:szCs w:val="20"/>
                <w:color w:val="auto"/>
              </w:rPr>
            </w:pPr>
          </w:p>
        </w:tc>
      </w:tr>
      <w:tr>
        <w:trPr>
          <w:trHeight w:val="249"/>
        </w:trPr>
        <w:tc>
          <w:tcPr>
            <w:tcW w:w="7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 provisional adjustments</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(8,262 )</w:t>
            </w:r>
          </w:p>
        </w:tc>
      </w:tr>
      <w:tr>
        <w:trPr>
          <w:trHeight w:val="237"/>
        </w:trPr>
        <w:tc>
          <w:tcPr>
            <w:tcW w:w="7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1,109,815</w:t>
            </w:r>
          </w:p>
        </w:tc>
        <w:tc>
          <w:tcPr>
            <w:tcW w:w="3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1,109,815</w:t>
            </w:r>
          </w:p>
        </w:tc>
        <w:tc>
          <w:tcPr>
            <w:tcW w:w="140" w:type="dxa"/>
            <w:vAlign w:val="bottom"/>
            <w:tcBorders>
              <w:top w:val="single" w:sz="8" w:color="CFF0FC"/>
            </w:tcBorders>
          </w:tcPr>
          <w:p>
            <w:pPr>
              <w:spacing w:after="0"/>
              <w:rPr>
                <w:sz w:val="20"/>
                <w:szCs w:val="20"/>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-1576705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-1559560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857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Goodwill is generally deductible for tax purposes, except for the portion related to purchase accounting step-up goodwill.</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231F20"/>
        </w:rPr>
        <w:t>6.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231F20"/>
        </w:rPr>
        <w:t>Other accrued expenses consisted of the following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other tax expense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Greenfield development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other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June 30, 2023</w:t>
            </w:r>
          </w:p>
        </w:tc>
        <w:tc>
          <w:tcPr>
            <w:tcW w:w="2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 2022</w:t>
            </w:r>
          </w:p>
        </w:tc>
      </w:tr>
      <w:tr>
        <w:trPr>
          <w:trHeight w:val="228"/>
        </w:trPr>
        <w:tc>
          <w:tcPr>
            <w:tcW w:w="240" w:type="dxa"/>
            <w:vAlign w:val="bottom"/>
          </w:tcPr>
          <w:p>
            <w:pPr>
              <w:jc w:val="right"/>
              <w:ind w:right="50"/>
              <w:spacing w:after="0"/>
              <w:rPr>
                <w:sz w:val="20"/>
                <w:szCs w:val="20"/>
                <w:color w:val="auto"/>
              </w:rPr>
            </w:pPr>
            <w:r>
              <w:rPr>
                <w:rFonts w:ascii="Arial" w:cs="Arial" w:eastAsia="Arial" w:hAnsi="Arial"/>
                <w:sz w:val="18"/>
                <w:szCs w:val="18"/>
                <w:color w:val="231F20"/>
                <w:w w:val="7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231F20"/>
              </w:rPr>
              <w:t>6,338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231F20"/>
              </w:rPr>
              <w:t>5,439</w:t>
            </w:r>
          </w:p>
        </w:tc>
      </w:tr>
      <w:tr>
        <w:trPr>
          <w:trHeight w:val="242"/>
        </w:trPr>
        <w:tc>
          <w:tcPr>
            <w:tcW w:w="2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231F20"/>
              </w:rPr>
              <w:t>9,774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231F20"/>
              </w:rPr>
              <w:t>8,863</w:t>
            </w:r>
          </w:p>
        </w:tc>
      </w:tr>
      <w:tr>
        <w:trPr>
          <w:trHeight w:val="243"/>
        </w:trPr>
        <w:tc>
          <w:tcPr>
            <w:tcW w:w="2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231F20"/>
              </w:rPr>
              <w:t>3,333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231F20"/>
              </w:rPr>
              <w:t>3,275</w:t>
            </w:r>
          </w:p>
        </w:tc>
      </w:tr>
      <w:tr>
        <w:trPr>
          <w:trHeight w:val="243"/>
        </w:trPr>
        <w:tc>
          <w:tcPr>
            <w:tcW w:w="24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231F20"/>
              </w:rPr>
              <w:t>29,718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231F20"/>
              </w:rPr>
              <w:t>18,772</w:t>
            </w:r>
          </w:p>
        </w:tc>
      </w:tr>
      <w:tr>
        <w:trPr>
          <w:trHeight w:val="250"/>
        </w:trPr>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31F20"/>
              </w:rPr>
              <w:t>9,507</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31F20"/>
              </w:rPr>
              <w:t>4,847</w:t>
            </w:r>
          </w:p>
        </w:tc>
      </w:tr>
      <w:tr>
        <w:trPr>
          <w:trHeight w:val="237"/>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31F20"/>
                <w:w w:val="79"/>
              </w:rPr>
              <w:t>$</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31F20"/>
              </w:rPr>
              <w:t>58,670</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31F20"/>
              </w:rPr>
              <w:t>41,196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00" w:space="720"/>
            <w:col w:w="4120"/>
          </w:cols>
          <w:pgMar w:left="320" w:top="337" w:right="339" w:bottom="1440" w:gutter="0" w:footer="0" w:header="0"/>
        </w:sectPr>
      </w:pP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Greenfield development accruals represent property and equipment costs, primarily related to land and buildings and improvements not yet invoiced as of June 30, 2023 and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Income Taxes</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231F20"/>
        </w:rPr>
        <w:t>The effective income tax rates on continuing operations for the six months ended June 30, 2023 and 2022 were 22.4% and 20.4%, respectively. In general, the effective tax rates differed from the U.S. federal statutory income tax rate primarily due to state income taxes, non-deductible expenses such as those related to certain executive compensation, and other discrete tax benefits recorded during the period.</w:t>
      </w:r>
    </w:p>
    <w:p>
      <w:pPr>
        <w:spacing w:after="0" w:line="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 year-to-date provision for income taxes for the six months ended June 30, 2023 included taxes on earnings at an anticipated annual effective tax rate of 25.5% and a net, favorable tax impact of $1,875 related primarily to discrete tax benefits originating from stock options exercised during the six months ended June 30, 2023.</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 year-to-date provision for income taxes for the six months ended June 30, 2022 included taxes on earnings at an anticipated annual effective tax rate of 26.8% and a net, favorable tax impact of $5,744 related primarily to discrete tax benefits originating from stock options exercised during the six months ended June 30,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231F20"/>
        </w:rPr>
        <w:t>The 1.3% decrease in the annual effective tax rate relates primarily to an anticipated reduction in state income tax liabilities.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31F20"/>
        </w:rPr>
        <w:t>In 2022, the Creating Helpful Incentives to Produce Semiconductors (“CHIPS”) Act of 2022 was signed into law. The CHIPS Act is designed to boost domestic semiconductor manufacturing and encourage US research activities. Also in 2022, the Inflation Reduction Act (“IRA”) of 2022 was signed into law. The IRA created a new book-minimum tax on certain large corporations and an excise tax on stock buybacks while also providing incentives to address climate change mitigation and clean energy, among other items. Similar to the prior quarter, we do not currently expect these laws to have a material effect on our consolidated financial statements.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For the six months ended June 30, 2023 and 2022, we did not record any unrecognized tax benefits or interest and penalties related to any uncertain tax positions.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231F20"/>
              </w:rPr>
              <w:t>8.  Debt</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24"/>
        </w:trPr>
        <w:tc>
          <w:tcPr>
            <w:tcW w:w="7180" w:type="dxa"/>
            <w:vAlign w:val="bottom"/>
          </w:tcPr>
          <w:p>
            <w:pPr>
              <w:spacing w:after="0"/>
              <w:rPr>
                <w:sz w:val="20"/>
                <w:szCs w:val="20"/>
                <w:color w:val="auto"/>
              </w:rPr>
            </w:pPr>
            <w:r>
              <w:rPr>
                <w:rFonts w:ascii="Arial" w:cs="Arial" w:eastAsia="Arial" w:hAnsi="Arial"/>
                <w:sz w:val="18"/>
                <w:szCs w:val="18"/>
                <w:color w:val="231F20"/>
              </w:rPr>
              <w:t>Long-term debt consisted of the following as of the periods presented:</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5"/>
        </w:trPr>
        <w:tc>
          <w:tcPr>
            <w:tcW w:w="7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9"/>
        </w:trPr>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2022</w:t>
            </w:r>
          </w:p>
        </w:tc>
        <w:tc>
          <w:tcPr>
            <w:tcW w:w="140" w:type="dxa"/>
            <w:vAlign w:val="bottom"/>
          </w:tcPr>
          <w:p>
            <w:pPr>
              <w:spacing w:after="0"/>
              <w:rPr>
                <w:sz w:val="20"/>
                <w:szCs w:val="20"/>
                <w:color w:val="auto"/>
              </w:rPr>
            </w:pPr>
          </w:p>
        </w:tc>
      </w:tr>
      <w:tr>
        <w:trPr>
          <w:trHeight w:val="241"/>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Credit agreement</w:t>
            </w:r>
          </w:p>
        </w:tc>
        <w:tc>
          <w:tcPr>
            <w:tcW w:w="24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First lien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901,201</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901,201</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24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(4,581 )</w:t>
            </w:r>
          </w:p>
        </w:tc>
        <w:tc>
          <w:tcPr>
            <w:tcW w:w="1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(5,371 )</w:t>
            </w:r>
          </w:p>
        </w:tc>
      </w:tr>
      <w:tr>
        <w:trPr>
          <w:trHeight w:val="230"/>
        </w:trPr>
        <w:tc>
          <w:tcPr>
            <w:tcW w:w="7180" w:type="dxa"/>
            <w:vAlign w:val="bottom"/>
          </w:tcPr>
          <w:p>
            <w:pPr>
              <w:ind w:left="120"/>
              <w:spacing w:after="0"/>
              <w:rPr>
                <w:sz w:val="20"/>
                <w:szCs w:val="20"/>
                <w:color w:val="auto"/>
              </w:rPr>
            </w:pPr>
            <w:r>
              <w:rPr>
                <w:rFonts w:ascii="Arial" w:cs="Arial" w:eastAsia="Arial" w:hAnsi="Arial"/>
                <w:sz w:val="18"/>
                <w:szCs w:val="18"/>
                <w:color w:val="auto"/>
              </w:rPr>
              <w:t>First lien term loan, net</w:t>
            </w:r>
          </w:p>
        </w:tc>
        <w:tc>
          <w:tcPr>
            <w:tcW w:w="24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896,620</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895,830</w:t>
            </w:r>
          </w:p>
        </w:tc>
        <w:tc>
          <w:tcPr>
            <w:tcW w:w="140" w:type="dxa"/>
            <w:vAlign w:val="bottom"/>
          </w:tcPr>
          <w:p>
            <w:pPr>
              <w:spacing w:after="0"/>
              <w:rPr>
                <w:sz w:val="20"/>
                <w:szCs w:val="20"/>
                <w:color w:val="auto"/>
              </w:rPr>
            </w:pPr>
          </w:p>
        </w:tc>
      </w:tr>
      <w:tr>
        <w:trPr>
          <w:trHeight w:val="243"/>
        </w:trPr>
        <w:tc>
          <w:tcPr>
            <w:tcW w:w="7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83"/>
        </w:trPr>
        <w:tc>
          <w:tcPr>
            <w:tcW w:w="7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long-term portion of debt,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896,620</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895,830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3"/>
        </w:trPr>
        <w:tc>
          <w:tcPr>
            <w:tcW w:w="7180" w:type="dxa"/>
            <w:vAlign w:val="bottom"/>
          </w:tcPr>
          <w:p>
            <w:pPr>
              <w:spacing w:after="0"/>
              <w:rPr>
                <w:sz w:val="20"/>
                <w:szCs w:val="20"/>
                <w:color w:val="auto"/>
              </w:rPr>
            </w:pPr>
            <w:r>
              <w:rPr>
                <w:rFonts w:ascii="Arial" w:cs="Arial" w:eastAsia="Arial" w:hAnsi="Arial"/>
                <w:sz w:val="18"/>
                <w:szCs w:val="18"/>
                <w:color w:val="231F20"/>
              </w:rPr>
              <w:t>As of June 30, 2023, annual maturities of debt were as follows: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5"/>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Ending:</w:t>
            </w: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 six months)</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901,201</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r>
      <w:tr>
        <w:trPr>
          <w:trHeight w:val="277"/>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maturities of debt</w:t>
            </w:r>
          </w:p>
        </w:tc>
        <w:tc>
          <w:tcPr>
            <w:tcW w:w="24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901,201</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-2163445</wp:posOffset>
            </wp:positionV>
            <wp:extent cx="2593340" cy="3384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3340" cy="3384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-1671320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-1653540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-1671320</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-1653540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As of June 30, 2023 and December 31, 2022, unamortized discount and debt issuance costs were $4,887 and $5,729, respectively, and accumulated amortization of discount and debt issuance costs was $5,288 and $4,446, respectively.</w:t>
      </w:r>
    </w:p>
    <w:p>
      <w:pPr>
        <w:spacing w:after="0" w:line="6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231F20"/>
        </w:rPr>
        <w:t>For the three months ended June 30, 2023 and 2022, the amortization of debt issuance costs in interest expense, net in the unaudited condensed consolidated statements of operations and comprehensive income was approximately $423.</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For the six months ended June 30, 2023 and 2022, the amortization of debt issuance costs in interest expense, net in the unaudited condensed consolidated statements of operations and comprehensive income was approximately $842.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Credit Agreement</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31F20"/>
        </w:rPr>
        <w:t>Under the Credit Agreement and with respect to the First Lien Term Loan, we had the option of selecting either (i) a Base Rate interest rate plus fixed margin of 2.25% or (ii) a Eurodollar (LIBOR) interest rate for one, two, three or six months plus a fixed margin of 3.25%.</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231F20"/>
        </w:rPr>
        <w:t>Under the Credit Agreement and with respect to the Revolving Commitment, we had the option of selecting either (i) a Base Rate interest rate plus a variable margin of 2.50% to 3.00%, based on our First Lien Net Debt Leverage Ratio, or (ii) a Eurodollar (LIBOR) interest rate for one, two, three or six months plus a variable margin of 3.50% to 4.00%, based on our First Lien Net Leverage Ratio.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First Lien Term Loan</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231F20"/>
        </w:rPr>
        <w:t>In February 2020, we entered into Amendment No. 1 to Amended and Restated First Lien Credit Agreement (“Amended First Lien Credit Agreement”) which amended and restated the Amended and Restated First Lien Credit Agreement entered into in May 2019 (the “First Lien Credit Agreement”). The Amended First Lien Credit Agreement changed the interest rate spreads associated with the First Lien Credit Agreement where (i) the variable margin associated with the Base Rate interest rate plus a variable margin based on our First Lien Net Leverage Ratio changed from 2.25% to 2.50% to 2.00% to 2.25% and (ii) the variable margin associated with the Eurodollar Rate interest rate for one, two, three or six months plus a variable margin based on our First Lien Net Leverage Ratio changed from 3.25% to 3.50% to 3.00% to 3.25%.</w:t>
      </w:r>
    </w:p>
    <w:p>
      <w:pPr>
        <w:spacing w:after="0" w:line="70"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231F20"/>
        </w:rPr>
        <w:t>In December 2021, in connection with the Clean Streak Ventures acquisition, we entered into Amendment No. 3 to the Amended and Restated First Lien Credit Agreement which amended and restated the Amended and Restated First Lien Credit Agreement entered into in May 2019. Under the terms of the Amended First Lien Credit Agreement, the previous First Lien Term Loan was increased by $290,000 to $903,301 with the balance due on May 14, 2026. The incremental increase in aggregate principal of $290,000 resulted in $285,962 of proceeds net of discount and debt issuance costs.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line="311" w:lineRule="auto"/>
        <w:rPr>
          <w:sz w:val="20"/>
          <w:szCs w:val="20"/>
          <w:color w:val="auto"/>
        </w:rPr>
      </w:pPr>
      <w:r>
        <w:rPr>
          <w:rFonts w:ascii="Arial" w:cs="Arial" w:eastAsia="Arial" w:hAnsi="Arial"/>
          <w:sz w:val="16"/>
          <w:szCs w:val="16"/>
          <w:color w:val="231F20"/>
        </w:rPr>
        <w:t>In December 2022, we entered into Amendment No. 4 to the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 All other terms governing this term loan facility remained substantially the same.</w:t>
      </w: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As of June 30, 2023 and December 31, 2022, the amount outstanding under the First Lien Term Loan was $901,201. As of June 30, 2023 and December 31, 2022, the interest rate on the First Lien Term Loan was 8.33% and 7.42%, respectively.</w:t>
      </w:r>
    </w:p>
    <w:p>
      <w:pPr>
        <w:spacing w:after="0" w:line="6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231F20"/>
        </w:rPr>
        <w:t>The Amended and Restated First Lien Credit Agreement requires us to maintain compliance with a First Lien Net Leverage Ratio. As of June 30, 2023, we were in compliance with the First Lien Net Leverage Ratio financial covenant of the Amended and Restated First Lien Credit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Commitment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2019, as a part of the Amended and Restated First Lien Credit Agreement, the Revolving Commitment was increased from $50,000 to $75,000 and the expiration date was changed from August 21, 2019 to May 14, 2024. We had the option of selecting either a Base Rate interest rate plus a variable margin based on our First Lien Net Leverage Ratio (ranging from 2.0% to 2.5%) or a Eurodollar Rate interest rate for one, two, three or six months plus a variable margin based on our First Lien Net Leverage Ratio (ranging from 3.0% to 3.5%).</w:t>
      </w:r>
    </w:p>
    <w:p>
      <w:pPr>
        <w:spacing w:after="0" w:line="7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June 2021, we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w:t>
      </w:r>
      <w:r>
        <w:rPr>
          <w:rFonts w:ascii="Arial" w:cs="Arial" w:eastAsia="Arial" w:hAnsi="Arial"/>
          <w:sz w:val="16"/>
          <w:szCs w:val="16"/>
          <w:color w:val="231F20"/>
        </w:rPr>
        <w:t>First Lien Term Loan</w:t>
      </w:r>
      <w:r>
        <w:rPr>
          <w:rFonts w:ascii="Arial" w:cs="Arial" w:eastAsia="Arial" w:hAnsi="Arial"/>
          <w:sz w:val="16"/>
          <w:szCs w:val="16"/>
          <w:color w:val="auto"/>
        </w:rPr>
        <w:t xml:space="preserve"> (provided that clause (b) shall not apply if the maturity date for the </w:t>
      </w:r>
      <w:r>
        <w:rPr>
          <w:rFonts w:ascii="Arial" w:cs="Arial" w:eastAsia="Arial" w:hAnsi="Arial"/>
          <w:sz w:val="16"/>
          <w:szCs w:val="16"/>
          <w:color w:val="231F20"/>
        </w:rPr>
        <w:t>First Lien Term Loan</w:t>
      </w:r>
      <w:r>
        <w:rPr>
          <w:rFonts w:ascii="Arial" w:cs="Arial" w:eastAsia="Arial" w:hAnsi="Arial"/>
          <w:sz w:val="16"/>
          <w:szCs w:val="16"/>
          <w:color w:val="auto"/>
        </w:rPr>
        <w:t xml:space="preserve"> is extended to a date that is at least six months after June 4, 2026, the </w:t>
      </w:r>
      <w:r>
        <w:rPr>
          <w:rFonts w:ascii="Arial" w:cs="Arial" w:eastAsia="Arial" w:hAnsi="Arial"/>
          <w:sz w:val="16"/>
          <w:szCs w:val="16"/>
          <w:color w:val="231F20"/>
        </w:rPr>
        <w:t>First Lien Term Loan</w:t>
      </w:r>
      <w:r>
        <w:rPr>
          <w:rFonts w:ascii="Arial" w:cs="Arial" w:eastAsia="Arial" w:hAnsi="Arial"/>
          <w:sz w:val="16"/>
          <w:szCs w:val="16"/>
          <w:color w:val="auto"/>
        </w:rPr>
        <w:t xml:space="preserve"> is refinanced having a maturity date at least six months after June 4, 2026, or the </w:t>
      </w:r>
      <w:r>
        <w:rPr>
          <w:rFonts w:ascii="Arial" w:cs="Arial" w:eastAsia="Arial" w:hAnsi="Arial"/>
          <w:sz w:val="16"/>
          <w:szCs w:val="16"/>
          <w:color w:val="231F20"/>
        </w:rPr>
        <w:t>First Lien Term Loan</w:t>
      </w:r>
      <w:r>
        <w:rPr>
          <w:rFonts w:ascii="Arial" w:cs="Arial" w:eastAsia="Arial" w:hAnsi="Arial"/>
          <w:sz w:val="16"/>
          <w:szCs w:val="16"/>
          <w:color w:val="auto"/>
        </w:rPr>
        <w:t xml:space="preserve"> is paid in full), (c) the date that commitments under the Revolving Commitment are permanently reduced to zero, and (d) the date of the termination of the commitments under the Revolving Commitment. The increase to the maximum available borrowing capacity was effected on the close of our initial public offering (the “IPO”) in June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As of June 30, 2023 and December 31, 2022, there were no amounts outstanding under </w:t>
      </w:r>
      <w:r>
        <w:rPr>
          <w:rFonts w:ascii="Arial" w:cs="Arial" w:eastAsia="Arial" w:hAnsi="Arial"/>
          <w:sz w:val="18"/>
          <w:szCs w:val="18"/>
          <w:color w:val="000000"/>
        </w:rPr>
        <w:t>the Revolving Commitment.</w:t>
      </w:r>
    </w:p>
    <w:p>
      <w:pPr>
        <w:spacing w:after="0" w:line="117"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231F20"/>
        </w:rPr>
        <w:t>The maximum available borrowing capacity under the Revolving Commitment is reduced by outstanding letters of credit under the Revolving Commitment. As of June 30, 2023 and December 31, 2022, the available borrowing capacity under the Revolving Commitment was $148,106 and $148,581, respectively.</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In addition, an unused commitment fee based on our First Lien Net Leverage Ratio is payable on the average of the unused borrowing capacity under the Revolving Commitment. As of June 30, 2023 and December 31, 2022, the unused commitment fee was 0.25%.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Standby Letters of Credit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31F20"/>
        </w:rPr>
        <w:t xml:space="preserve">As of June 30, 2023, we have a letter of credit sublimit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w:t>
      </w:r>
      <w:r>
        <w:rPr>
          <w:rFonts w:ascii="Arial" w:cs="Arial" w:eastAsia="Arial" w:hAnsi="Arial"/>
          <w:sz w:val="17"/>
          <w:szCs w:val="17"/>
          <w:color w:val="000000"/>
        </w:rPr>
        <w:t>Amendment No. 2 to Amended and Restated First Lien Credit Agreement</w:t>
      </w:r>
      <w:r>
        <w:rPr>
          <w:rFonts w:ascii="Arial" w:cs="Arial" w:eastAsia="Arial" w:hAnsi="Arial"/>
          <w:sz w:val="17"/>
          <w:szCs w:val="17"/>
          <w:color w:val="231F20"/>
        </w:rPr>
        <w:t>. Letters of credit under the Revolving Commitment reduce the maximum available borrowing capacity under the Revolving Commitment. As of June 30, 2023 and December 31, 2022, the amounts associated with outstanding letters of credit were $1,894 and $1,419, respectively, and unused letters of credit under the Revolving Commitment were $8,106 and $8,581,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June 30, 2023:</w:t>
      </w:r>
    </w:p>
    <w:p>
      <w:pPr>
        <w:spacing w:after="0" w:line="167"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26035</wp:posOffset>
            </wp:positionV>
            <wp:extent cx="45262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26280" cy="8255"/>
                    </a:xfrm>
                    <a:prstGeom prst="rect">
                      <a:avLst/>
                    </a:prstGeom>
                    <a:noFill/>
                  </pic:spPr>
                </pic:pic>
              </a:graphicData>
            </a:graphic>
          </wp:anchor>
        </w:drawing>
      </w:r>
    </w:p>
    <w:p>
      <w:pPr>
        <w:spacing w:after="0" w:line="30" w:lineRule="exact"/>
        <w:rPr>
          <w:sz w:val="20"/>
          <w:szCs w:val="20"/>
          <w:color w:val="auto"/>
        </w:rPr>
      </w:pPr>
    </w:p>
    <w:p>
      <w:pPr>
        <w:ind w:left="4680"/>
        <w:spacing w:after="0"/>
        <w:tabs>
          <w:tab w:leader="none" w:pos="6400" w:val="left"/>
          <w:tab w:leader="none" w:pos="8220" w:val="left"/>
          <w:tab w:leader="none" w:pos="100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5"/>
          <w:szCs w:val="15"/>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26035</wp:posOffset>
            </wp:positionV>
            <wp:extent cx="45262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4100" w:val="left"/>
          <w:tab w:leader="none" w:pos="5180" w:val="left"/>
          <w:tab w:leader="none" w:pos="5940" w:val="left"/>
          <w:tab w:leader="none" w:pos="7360" w:val="left"/>
          <w:tab w:leader="none" w:pos="7760" w:val="left"/>
          <w:tab w:leader="none" w:pos="9180" w:val="left"/>
          <w:tab w:leader="none" w:pos="9600" w:val="left"/>
          <w:tab w:leader="none" w:pos="10660" w:val="left"/>
        </w:tabs>
        <w:rPr>
          <w:sz w:val="20"/>
          <w:szCs w:val="20"/>
          <w:color w:val="auto"/>
        </w:rPr>
      </w:pPr>
      <w:r>
        <w:rPr>
          <w:rFonts w:ascii="Arial" w:cs="Arial" w:eastAsia="Arial" w:hAnsi="Arial"/>
          <w:sz w:val="18"/>
          <w:szCs w:val="18"/>
          <w:color w:val="auto"/>
        </w:rPr>
        <w:t>Contingent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4,750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presents financial liabilities which are measured at fair value on a recurring basis as of December 31, 2022:</w:t>
      </w:r>
    </w:p>
    <w:p>
      <w:pPr>
        <w:spacing w:after="0" w:line="167"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26035</wp:posOffset>
            </wp:positionV>
            <wp:extent cx="44405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30" w:lineRule="exact"/>
        <w:rPr>
          <w:sz w:val="20"/>
          <w:szCs w:val="20"/>
          <w:color w:val="auto"/>
        </w:rPr>
      </w:pPr>
    </w:p>
    <w:p>
      <w:pPr>
        <w:ind w:left="4680"/>
        <w:spacing w:after="0"/>
        <w:tabs>
          <w:tab w:leader="none" w:pos="6400" w:val="left"/>
          <w:tab w:leader="none" w:pos="8220" w:val="left"/>
          <w:tab w:leader="none" w:pos="100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5"/>
          <w:szCs w:val="15"/>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26035</wp:posOffset>
            </wp:positionV>
            <wp:extent cx="44405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4100" w:val="left"/>
          <w:tab w:leader="none" w:pos="5180" w:val="left"/>
          <w:tab w:leader="none" w:pos="5940" w:val="left"/>
          <w:tab w:leader="none" w:pos="7360" w:val="left"/>
          <w:tab w:leader="none" w:pos="7760" w:val="left"/>
          <w:tab w:leader="none" w:pos="9180" w:val="left"/>
          <w:tab w:leader="none" w:pos="9600" w:val="left"/>
          <w:tab w:leader="none" w:pos="10660" w:val="left"/>
        </w:tabs>
        <w:rPr>
          <w:sz w:val="20"/>
          <w:szCs w:val="20"/>
          <w:color w:val="auto"/>
        </w:rPr>
      </w:pPr>
      <w:r>
        <w:rPr>
          <w:rFonts w:ascii="Arial" w:cs="Arial" w:eastAsia="Arial" w:hAnsi="Arial"/>
          <w:sz w:val="18"/>
          <w:szCs w:val="18"/>
          <w:color w:val="auto"/>
        </w:rPr>
        <w:t>Contingent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5,250</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100"/>
        <w:spacing w:after="0" w:line="263" w:lineRule="auto"/>
        <w:rPr>
          <w:sz w:val="20"/>
          <w:szCs w:val="20"/>
          <w:color w:val="auto"/>
        </w:rPr>
      </w:pPr>
      <w:r>
        <w:rPr>
          <w:rFonts w:ascii="Arial" w:cs="Arial" w:eastAsia="Arial" w:hAnsi="Arial"/>
          <w:sz w:val="18"/>
          <w:szCs w:val="18"/>
          <w:color w:val="231F20"/>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31F20"/>
        </w:rPr>
        <w:t xml:space="preserve">As of June 30, 2023 and December 31, 2022, the fair value of our First Lien Term Loan approximated its carrying value </w:t>
      </w:r>
      <w:r>
        <w:rPr>
          <w:rFonts w:ascii="Arial" w:cs="Arial" w:eastAsia="Arial" w:hAnsi="Arial"/>
          <w:sz w:val="18"/>
          <w:szCs w:val="18"/>
          <w:color w:val="000000"/>
        </w:rPr>
        <w:t>due to the debt’s variable interest</w:t>
      </w:r>
      <w:r>
        <w:rPr>
          <w:rFonts w:ascii="Arial" w:cs="Arial" w:eastAsia="Arial" w:hAnsi="Arial"/>
          <w:sz w:val="18"/>
          <w:szCs w:val="18"/>
          <w:color w:val="231F20"/>
        </w:rPr>
        <w:t xml:space="preserve"> </w:t>
      </w:r>
      <w:r>
        <w:rPr>
          <w:rFonts w:ascii="Arial" w:cs="Arial" w:eastAsia="Arial" w:hAnsi="Arial"/>
          <w:sz w:val="18"/>
          <w:szCs w:val="18"/>
          <w:color w:val="000000"/>
        </w:rPr>
        <w:t>rate terms</w:t>
      </w:r>
      <w:r>
        <w:rPr>
          <w:rFonts w:ascii="Arial" w:cs="Arial" w:eastAsia="Arial" w:hAnsi="Arial"/>
          <w:sz w:val="18"/>
          <w:szCs w:val="18"/>
          <w:color w:val="231F20"/>
        </w:rPr>
        <w:t>.</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231F20"/>
        </w:rPr>
        <w:t>As of June 30, 2023, we recognized assets in cash investments of $5,003 which are held in money market funds and are categorized as Level 1 assets. As of December 31, 2022, we recognized assets in cash investments of $5,032, of which $4,992 are held in commercial paper and categorized as Level 2 assets and $40 held in money market funds, which are categorized as Level 1 assets. These investments are highly liquid and have maturities of less than 90 days and are readily convertible to known amounts of cash, therefore, they are recorded within Cash and cash equivalents on the consolidated balance sheet. During the three and six months ended June 30, 2023, interest income related to cash investments was not material.</w:t>
      </w:r>
    </w:p>
    <w:p>
      <w:pPr>
        <w:spacing w:after="0" w:line="5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recognized a Level 3 contingent consideration liability in connection with the Downtowner Car Wash acquisition in December 2021. We measured its contingent consideration liability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 the certificate of occupancy for the car wash and opens to the public in 2023 and an annual payment based on certain financial metrics of the acquired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June 30, 2023. During the three and six months ended June 30, 2023, a payment was made upon receipt of certificate of occupancy of $0 and $500,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2023 and 2022, there were no transfers between fair value measurement levels.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Interest Rate Swap</w:t>
      </w:r>
    </w:p>
    <w:p>
      <w:pPr>
        <w:spacing w:after="0" w:line="103"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231F20"/>
        </w:rPr>
        <w:t>In May 2020, we entered into a pay-fixed, receive-floating interest rate swap (the “Swap”) to mitigate variability in forecasted interest payments on an amortizing notional amount of $550,000 of our variable-rate First Lien Term Loan. We designated the Swap as a cash flow hedge. In October 2022, the interest rate swap expired and was not replaced by a new interest rate swap.</w:t>
      </w:r>
    </w:p>
    <w:p>
      <w:pPr>
        <w:spacing w:after="0" w:line="7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231F20"/>
        </w:rPr>
        <w:t>For the three months ended June 30, 2023 and 2022, amounts reported in other comprehensive income in the accompanying unaudited condensed consolidated statements of operations and comprehensive income are net of tax of $0 and $100, respectively.</w:t>
      </w:r>
    </w:p>
    <w:p>
      <w:pPr>
        <w:spacing w:after="0" w:line="38"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231F20"/>
        </w:rPr>
        <w:t>For the six months ended June 30, 2023 and 2022, amounts reported in other comprehensive income in the accompanying unaudited condensed consolidated statements of operations and comprehensive income are net of tax of $0 and $725,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231F20"/>
        </w:rPr>
        <w:t>Balance sheet information related to leases consisted of the following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3"/>
              </w:rPr>
              <w:t>As of</w:t>
            </w:r>
          </w:p>
        </w:tc>
        <w:tc>
          <w:tcPr>
            <w:tcW w:w="1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338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Classification</w:t>
            </w:r>
          </w:p>
        </w:tc>
        <w:tc>
          <w:tcPr>
            <w:tcW w:w="8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June 30, 2023</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 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8"/>
                <w:szCs w:val="18"/>
                <w:color w:val="auto"/>
              </w:rPr>
              <w:t>Operating</w:t>
            </w:r>
          </w:p>
        </w:tc>
        <w:tc>
          <w:tcPr>
            <w:tcW w:w="3380" w:type="dxa"/>
            <w:vAlign w:val="bottom"/>
          </w:tcPr>
          <w:p>
            <w:pPr>
              <w:ind w:left="20"/>
              <w:spacing w:after="0"/>
              <w:rPr>
                <w:sz w:val="20"/>
                <w:szCs w:val="20"/>
                <w:color w:val="auto"/>
              </w:rPr>
            </w:pPr>
            <w:r>
              <w:rPr>
                <w:rFonts w:ascii="Arial" w:cs="Arial" w:eastAsia="Arial" w:hAnsi="Arial"/>
                <w:sz w:val="18"/>
                <w:szCs w:val="18"/>
                <w:color w:val="auto"/>
              </w:rPr>
              <w:t>Operating right of use assets, net</w:t>
            </w: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813,924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776,689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w:t>
            </w:r>
          </w:p>
        </w:tc>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13,818</w:t>
            </w:r>
          </w:p>
        </w:tc>
        <w:tc>
          <w:tcPr>
            <w:tcW w:w="4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14,320</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3380" w:type="dxa"/>
            <w:vAlign w:val="bottom"/>
          </w:tcPr>
          <w:p>
            <w:pPr>
              <w:spacing w:after="0"/>
              <w:rPr>
                <w:sz w:val="20"/>
                <w:szCs w:val="20"/>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827,742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791,009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
              <w:spacing w:after="0"/>
              <w:rPr>
                <w:sz w:val="20"/>
                <w:szCs w:val="20"/>
                <w:color w:val="auto"/>
              </w:rPr>
            </w:pPr>
            <w:r>
              <w:rPr>
                <w:rFonts w:ascii="Arial" w:cs="Arial" w:eastAsia="Arial" w:hAnsi="Arial"/>
                <w:sz w:val="18"/>
                <w:szCs w:val="18"/>
                <w:color w:val="auto"/>
              </w:rPr>
              <w:t>Current</w:t>
            </w:r>
          </w:p>
        </w:tc>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w:t>
            </w:r>
          </w:p>
        </w:tc>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Current maturities of operating lease liability</w:t>
            </w:r>
          </w:p>
        </w:tc>
        <w:tc>
          <w:tcPr>
            <w:tcW w:w="16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42,029</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0"/>
              <w:spacing w:after="0"/>
              <w:rPr>
                <w:sz w:val="20"/>
                <w:szCs w:val="20"/>
                <w:color w:val="auto"/>
              </w:rPr>
            </w:pPr>
            <w:r>
              <w:rPr>
                <w:rFonts w:ascii="Arial" w:cs="Arial" w:eastAsia="Arial" w:hAnsi="Arial"/>
                <w:sz w:val="18"/>
                <w:szCs w:val="18"/>
                <w:color w:val="auto"/>
              </w:rPr>
              <w:t>Finance</w:t>
            </w:r>
          </w:p>
        </w:tc>
        <w:tc>
          <w:tcPr>
            <w:tcW w:w="3380" w:type="dxa"/>
            <w:vAlign w:val="bottom"/>
          </w:tcPr>
          <w:p>
            <w:pPr>
              <w:ind w:left="20"/>
              <w:spacing w:after="0"/>
              <w:rPr>
                <w:sz w:val="20"/>
                <w:szCs w:val="20"/>
                <w:color w:val="auto"/>
              </w:rPr>
            </w:pPr>
            <w:r>
              <w:rPr>
                <w:rFonts w:ascii="Arial" w:cs="Arial" w:eastAsia="Arial" w:hAnsi="Arial"/>
                <w:sz w:val="18"/>
                <w:szCs w:val="18"/>
                <w:color w:val="auto"/>
              </w:rPr>
              <w:t>Current maturities of finance lease liability</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706</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w:t>
            </w:r>
          </w:p>
        </w:tc>
        <w:tc>
          <w:tcPr>
            <w:tcW w:w="3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338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796,203</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759,775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w:t>
            </w:r>
          </w:p>
        </w:tc>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Financing lease liability</w:t>
            </w:r>
          </w:p>
        </w:tc>
        <w:tc>
          <w:tcPr>
            <w:tcW w:w="8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14,417</w:t>
            </w:r>
          </w:p>
        </w:tc>
        <w:tc>
          <w:tcPr>
            <w:tcW w:w="4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14,779</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3380" w:type="dxa"/>
            <w:vAlign w:val="bottom"/>
          </w:tcPr>
          <w:p>
            <w:pPr>
              <w:spacing w:after="0"/>
              <w:rPr>
                <w:sz w:val="20"/>
                <w:szCs w:val="20"/>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853,355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815,589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60" w:type="dxa"/>
            <w:vAlign w:val="bottom"/>
            <w:vMerge w:val="restart"/>
          </w:tcPr>
          <w:p>
            <w:pPr>
              <w:jc w:val="right"/>
              <w:ind w:right="47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4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-1962150</wp:posOffset>
            </wp:positionV>
            <wp:extent cx="85725" cy="3429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-1962150</wp:posOffset>
            </wp:positionV>
            <wp:extent cx="85725" cy="3429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-539115</wp:posOffset>
            </wp:positionV>
            <wp:extent cx="8572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-539115</wp:posOffset>
            </wp:positionV>
            <wp:extent cx="857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231F20"/>
        </w:rPr>
        <w:t>Components of total lease cost, net, consisted of the following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Six Months Ended June 30,</w:t>
            </w:r>
          </w:p>
        </w:tc>
        <w:tc>
          <w:tcPr>
            <w:tcW w:w="140" w:type="dxa"/>
            <w:vAlign w:val="bottom"/>
          </w:tcPr>
          <w:p>
            <w:pPr>
              <w:spacing w:after="0"/>
              <w:rPr>
                <w:sz w:val="20"/>
                <w:szCs w:val="20"/>
                <w:color w:val="auto"/>
              </w:rPr>
            </w:pPr>
          </w:p>
        </w:tc>
      </w:tr>
      <w:tr>
        <w:trPr>
          <w:trHeight w:val="239"/>
        </w:trPr>
        <w:tc>
          <w:tcPr>
            <w:tcW w:w="48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68"/>
        </w:trPr>
        <w:tc>
          <w:tcPr>
            <w:tcW w:w="4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gridSpan w:val="2"/>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12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3"/>
        </w:trPr>
        <w:tc>
          <w:tcPr>
            <w:tcW w:w="48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Operating lease expense</w:t>
            </w:r>
            <w:r>
              <w:rPr>
                <w:rFonts w:ascii="Arial" w:cs="Arial" w:eastAsia="Arial" w:hAnsi="Arial"/>
                <w:sz w:val="24"/>
                <w:szCs w:val="24"/>
                <w:color w:val="auto"/>
                <w:vertAlign w:val="superscript"/>
              </w:rPr>
              <w:t>(1)</w:t>
            </w:r>
          </w:p>
        </w:tc>
        <w:tc>
          <w:tcPr>
            <w:tcW w:w="90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25,308</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21,653</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49,319</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42,857</w:t>
            </w:r>
          </w:p>
        </w:tc>
        <w:tc>
          <w:tcPr>
            <w:tcW w:w="140" w:type="dxa"/>
            <w:vAlign w:val="bottom"/>
            <w:shd w:val="clear" w:color="auto" w:fill="CFF0FC"/>
          </w:tcPr>
          <w:p>
            <w:pPr>
              <w:spacing w:after="0"/>
              <w:rPr>
                <w:sz w:val="21"/>
                <w:szCs w:val="2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lease assets</w:t>
            </w:r>
          </w:p>
        </w:tc>
        <w:tc>
          <w:tcPr>
            <w:tcW w:w="9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FF0FC"/>
          </w:tcPr>
          <w:p>
            <w:pPr>
              <w:spacing w:after="0"/>
              <w:rPr>
                <w:sz w:val="21"/>
                <w:szCs w:val="21"/>
                <w:color w:val="auto"/>
              </w:rPr>
            </w:pP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20"/>
                <w:szCs w:val="20"/>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expense</w:t>
            </w:r>
          </w:p>
        </w:tc>
        <w:tc>
          <w:tcPr>
            <w:tcW w:w="9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1"/>
                <w:szCs w:val="21"/>
                <w:color w:val="auto"/>
              </w:rPr>
            </w:pPr>
          </w:p>
        </w:tc>
      </w:tr>
      <w:tr>
        <w:trPr>
          <w:trHeight w:val="243"/>
        </w:trPr>
        <w:tc>
          <w:tcPr>
            <w:tcW w:w="4820" w:type="dxa"/>
            <w:vAlign w:val="bottom"/>
          </w:tcPr>
          <w:p>
            <w:pPr>
              <w:ind w:left="20"/>
              <w:spacing w:after="0" w:line="243" w:lineRule="exact"/>
              <w:rPr>
                <w:sz w:val="20"/>
                <w:szCs w:val="20"/>
                <w:color w:val="auto"/>
              </w:rPr>
            </w:pPr>
            <w:r>
              <w:rPr>
                <w:rFonts w:ascii="Arial" w:cs="Arial" w:eastAsia="Arial" w:hAnsi="Arial"/>
                <w:sz w:val="18"/>
                <w:szCs w:val="18"/>
                <w:color w:val="auto"/>
              </w:rPr>
              <w:t>Variable lease expense</w:t>
            </w:r>
            <w:r>
              <w:rPr>
                <w:rFonts w:ascii="Arial" w:cs="Arial" w:eastAsia="Arial" w:hAnsi="Arial"/>
                <w:sz w:val="24"/>
                <w:szCs w:val="24"/>
                <w:color w:val="auto"/>
                <w:vertAlign w:val="superscript"/>
              </w:rPr>
              <w:t>(2)</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7,629</w:t>
            </w:r>
          </w:p>
        </w:tc>
        <w:tc>
          <w:tcPr>
            <w:tcW w:w="140" w:type="dxa"/>
            <w:vAlign w:val="bottom"/>
          </w:tcPr>
          <w:p>
            <w:pPr>
              <w:spacing w:after="0"/>
              <w:rPr>
                <w:sz w:val="21"/>
                <w:szCs w:val="21"/>
                <w:color w:val="auto"/>
              </w:rPr>
            </w:pPr>
          </w:p>
        </w:tc>
      </w:tr>
      <w:tr>
        <w:trPr>
          <w:trHeight w:val="277"/>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27,957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24,678</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9" w:lineRule="exact"/>
        <w:rPr>
          <w:sz w:val="20"/>
          <w:szCs w:val="20"/>
          <w:color w:val="auto"/>
        </w:rPr>
      </w:pPr>
    </w:p>
    <w:p>
      <w:pPr>
        <w:ind w:left="520" w:right="840" w:hanging="512"/>
        <w:spacing w:after="0" w:line="253" w:lineRule="auto"/>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Operating lease expense includes an immaterial amount of sublease income and is included in other store operating expenses and general and administrative expenses in the accompanying unaudited condensed consolidated statements of operations and comprehensive income.</w:t>
      </w:r>
    </w:p>
    <w:p>
      <w:pPr>
        <w:spacing w:after="0" w:line="65" w:lineRule="exact"/>
        <w:rPr>
          <w:rFonts w:ascii="Arial" w:cs="Arial" w:eastAsia="Arial" w:hAnsi="Arial"/>
          <w:sz w:val="14"/>
          <w:szCs w:val="14"/>
          <w:color w:val="231F20"/>
        </w:rPr>
      </w:pPr>
    </w:p>
    <w:p>
      <w:pPr>
        <w:ind w:left="520" w:right="580" w:hanging="512"/>
        <w:spacing w:after="0" w:line="253" w:lineRule="auto"/>
        <w:tabs>
          <w:tab w:leader="none" w:pos="520"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Variable lease costs consist of property taxes, property insurance, and common area or other maintenance costs for our leases of land and buildings and is included in other store operating expenses in the accompanying unaudited condensed consolidated statements of operations and comprehensive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includes supplemental information for the periods presented:</w:t>
      </w:r>
    </w:p>
    <w:p>
      <w:pPr>
        <w:sectPr>
          <w:pgSz w:w="11900" w:h="16838" w:orient="portrait"/>
          <w:cols w:equalWidth="0" w:num="1">
            <w:col w:w="11260"/>
          </w:cols>
          <w:pgMar w:left="320" w:top="46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operating leases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flows from finance leases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cash flows from finance leases</w:t>
      </w:r>
    </w:p>
    <w:p>
      <w:pPr>
        <w:spacing w:after="0" w:line="279" w:lineRule="exact"/>
        <w:rPr>
          <w:sz w:val="20"/>
          <w:szCs w:val="20"/>
          <w:color w:val="auto"/>
        </w:rPr>
      </w:pPr>
    </w:p>
    <w:p>
      <w:pPr>
        <w:ind w:left="20" w:right="400"/>
        <w:spacing w:after="0" w:line="266" w:lineRule="auto"/>
        <w:rPr>
          <w:sz w:val="20"/>
          <w:szCs w:val="20"/>
          <w:color w:val="auto"/>
        </w:rPr>
      </w:pPr>
      <w:r>
        <w:rPr>
          <w:rFonts w:ascii="Arial" w:cs="Arial" w:eastAsia="Arial" w:hAnsi="Arial"/>
          <w:sz w:val="18"/>
          <w:szCs w:val="18"/>
          <w:color w:val="auto"/>
        </w:rPr>
        <w:t>Operating lease ROU assets obtained in exchange for lease liabilities</w:t>
      </w:r>
    </w:p>
    <w:p>
      <w:pPr>
        <w:ind w:left="20" w:right="540"/>
        <w:spacing w:after="0" w:line="277" w:lineRule="auto"/>
        <w:rPr>
          <w:sz w:val="20"/>
          <w:szCs w:val="20"/>
          <w:color w:val="auto"/>
        </w:rPr>
      </w:pPr>
      <w:r>
        <w:rPr>
          <w:rFonts w:ascii="Arial" w:cs="Arial" w:eastAsia="Arial" w:hAnsi="Arial"/>
          <w:sz w:val="18"/>
          <w:szCs w:val="18"/>
          <w:color w:val="auto"/>
        </w:rPr>
        <w:t>Finance lease ROU assets obtained in exchange for lease liabilities</w:t>
      </w:r>
    </w:p>
    <w:p>
      <w:pPr>
        <w:spacing w:after="0" w:line="224" w:lineRule="exact"/>
        <w:rPr>
          <w:sz w:val="20"/>
          <w:szCs w:val="20"/>
          <w:color w:val="auto"/>
        </w:rPr>
      </w:pPr>
    </w:p>
    <w:p>
      <w:pPr>
        <w:ind w:left="20" w:right="1060"/>
        <w:spacing w:after="0" w:line="377" w:lineRule="auto"/>
        <w:rPr>
          <w:sz w:val="20"/>
          <w:szCs w:val="20"/>
          <w:color w:val="auto"/>
        </w:rPr>
      </w:pPr>
      <w:r>
        <w:rPr>
          <w:rFonts w:ascii="Arial" w:cs="Arial" w:eastAsia="Arial" w:hAnsi="Arial"/>
          <w:sz w:val="16"/>
          <w:szCs w:val="16"/>
          <w:color w:val="auto"/>
        </w:rPr>
        <w:t>Weighted-average remaining operating lease term Weighted-average remaining finance lease term</w:t>
      </w:r>
    </w:p>
    <w:p>
      <w:pPr>
        <w:spacing w:after="0" w:line="151" w:lineRule="exact"/>
        <w:rPr>
          <w:sz w:val="20"/>
          <w:szCs w:val="20"/>
          <w:color w:val="auto"/>
        </w:rPr>
      </w:pPr>
    </w:p>
    <w:p>
      <w:pPr>
        <w:ind w:left="20" w:right="1240"/>
        <w:spacing w:after="0" w:line="413" w:lineRule="auto"/>
        <w:rPr>
          <w:sz w:val="20"/>
          <w:szCs w:val="20"/>
          <w:color w:val="auto"/>
        </w:rPr>
      </w:pPr>
      <w:r>
        <w:rPr>
          <w:rFonts w:ascii="Arial" w:cs="Arial" w:eastAsia="Arial" w:hAnsi="Arial"/>
          <w:sz w:val="15"/>
          <w:szCs w:val="15"/>
          <w:color w:val="auto"/>
        </w:rPr>
        <w:t>Weighted-average operating lease discount rate Weighted-average finance lease discount rate</w:t>
      </w:r>
    </w:p>
    <w:p>
      <w:pPr>
        <w:spacing w:after="0"/>
        <w:rPr>
          <w:sz w:val="20"/>
          <w:szCs w:val="20"/>
          <w:color w:val="auto"/>
        </w:rPr>
      </w:pPr>
      <w:r>
        <w:rPr>
          <w:rFonts w:ascii="Arial" w:cs="Arial" w:eastAsia="Arial" w:hAnsi="Arial"/>
          <w:sz w:val="16"/>
          <w:szCs w:val="16"/>
          <w:color w:val="231F20"/>
        </w:rPr>
        <w:t>As of June 30, 2023, lease obligation maturities were as follows: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20" w:type="dxa"/>
            <w:vAlign w:val="bottom"/>
          </w:tcPr>
          <w:p>
            <w:pPr>
              <w:spacing w:after="0"/>
              <w:rPr>
                <w:sz w:val="20"/>
                <w:szCs w:val="20"/>
                <w:color w:val="auto"/>
              </w:rPr>
            </w:pPr>
          </w:p>
        </w:tc>
        <w:tc>
          <w:tcPr>
            <w:tcW w:w="30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4"/>
              </w:rPr>
              <w:t>Three Months Ended June 30,</w:t>
            </w:r>
          </w:p>
        </w:tc>
        <w:tc>
          <w:tcPr>
            <w:tcW w:w="260" w:type="dxa"/>
            <w:vAlign w:val="bottom"/>
          </w:tcPr>
          <w:p>
            <w:pPr>
              <w:spacing w:after="0"/>
              <w:rPr>
                <w:sz w:val="20"/>
                <w:szCs w:val="20"/>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9"/>
        </w:trPr>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28"/>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24,934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21,881</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48,700</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43,342</w:t>
            </w:r>
          </w:p>
        </w:tc>
        <w:tc>
          <w:tcPr>
            <w:tcW w:w="160" w:type="dxa"/>
            <w:vAlign w:val="bottom"/>
          </w:tcPr>
          <w:p>
            <w:pPr>
              <w:spacing w:after="0"/>
              <w:rPr>
                <w:sz w:val="19"/>
                <w:szCs w:val="19"/>
                <w:color w:val="auto"/>
              </w:rPr>
            </w:pPr>
          </w:p>
        </w:tc>
      </w:tr>
      <w:tr>
        <w:trPr>
          <w:trHeight w:val="242"/>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1"/>
                <w:szCs w:val="21"/>
                <w:color w:val="auto"/>
              </w:rPr>
            </w:pPr>
          </w:p>
        </w:tc>
      </w:tr>
      <w:tr>
        <w:trPr>
          <w:trHeight w:val="24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1"/>
                <w:szCs w:val="21"/>
                <w:color w:val="auto"/>
              </w:rPr>
            </w:pPr>
          </w:p>
        </w:tc>
      </w:tr>
      <w:tr>
        <w:trPr>
          <w:trHeight w:val="594"/>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48,528</w:t>
            </w:r>
          </w:p>
        </w:tc>
        <w:tc>
          <w:tcPr>
            <w:tcW w:w="2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20,193</w:t>
            </w:r>
          </w:p>
        </w:tc>
        <w:tc>
          <w:tcPr>
            <w:tcW w:w="2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59,055</w:t>
            </w:r>
          </w:p>
        </w:tc>
        <w:tc>
          <w:tcPr>
            <w:tcW w:w="2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28,011</w:t>
            </w:r>
          </w:p>
        </w:tc>
        <w:tc>
          <w:tcPr>
            <w:tcW w:w="160" w:type="dxa"/>
            <w:vAlign w:val="bottom"/>
          </w:tcPr>
          <w:p>
            <w:pPr>
              <w:spacing w:after="0"/>
              <w:rPr>
                <w:sz w:val="24"/>
                <w:szCs w:val="24"/>
                <w:color w:val="auto"/>
              </w:rPr>
            </w:pPr>
          </w:p>
        </w:tc>
      </w:tr>
      <w:tr>
        <w:trPr>
          <w:trHeight w:val="459"/>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r>
      <w:tr>
        <w:trPr>
          <w:trHeight w:val="594"/>
        </w:trPr>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15.97</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16.78</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1"/>
                <w:szCs w:val="21"/>
                <w:color w:val="auto"/>
              </w:rPr>
            </w:pPr>
          </w:p>
        </w:tc>
      </w:tr>
      <w:tr>
        <w:trPr>
          <w:trHeight w:val="486"/>
        </w:trPr>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7.83 %</w:t>
            </w:r>
          </w:p>
        </w:tc>
        <w:tc>
          <w:tcPr>
            <w:tcW w:w="30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6.83 %</w:t>
            </w:r>
          </w:p>
        </w:tc>
        <w:tc>
          <w:tcPr>
            <w:tcW w:w="26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7.83 %</w:t>
            </w: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6.83 %</w:t>
            </w:r>
          </w:p>
        </w:tc>
      </w:tr>
      <w:tr>
        <w:trPr>
          <w:trHeight w:val="243"/>
        </w:trPr>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7.33 %</w:t>
            </w:r>
          </w:p>
        </w:tc>
        <w:tc>
          <w:tcPr>
            <w:tcW w:w="3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7.33 %</w:t>
            </w:r>
          </w:p>
        </w:tc>
        <w:tc>
          <w:tcPr>
            <w:tcW w:w="2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7.33 %</w:t>
            </w:r>
          </w:p>
        </w:tc>
        <w:tc>
          <w:tcPr>
            <w:tcW w:w="3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-2116455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-1807845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-1207770</wp:posOffset>
            </wp:positionV>
            <wp:extent cx="7132320"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-607695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-145415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4660" w:space="240"/>
            <w:col w:w="6360"/>
          </w:cols>
          <w:pgMar w:left="320" w:top="463" w:right="31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Fiscal Year Ending:</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5"/>
              </w:rPr>
              <w:t>Operating Leases</w:t>
            </w:r>
          </w:p>
        </w:tc>
        <w:tc>
          <w:tcPr>
            <w:tcW w:w="280" w:type="dxa"/>
            <w:vAlign w:val="bottom"/>
          </w:tcPr>
          <w:p>
            <w:pPr>
              <w:spacing w:after="0"/>
              <w:rPr>
                <w:sz w:val="20"/>
                <w:szCs w:val="20"/>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6"/>
              </w:rPr>
              <w:t>Finance Leases</w:t>
            </w:r>
          </w:p>
        </w:tc>
      </w:tr>
      <w:tr>
        <w:trPr>
          <w:trHeight w:val="243"/>
        </w:trPr>
        <w:tc>
          <w:tcPr>
            <w:tcW w:w="6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(remaining six months)</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51,077</w:t>
            </w:r>
          </w:p>
        </w:tc>
        <w:tc>
          <w:tcPr>
            <w:tcW w:w="3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FF0FC"/>
          </w:tcPr>
          <w:p>
            <w:pPr>
              <w:spacing w:after="0"/>
              <w:rPr>
                <w:sz w:val="21"/>
                <w:szCs w:val="2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102,489</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20"/>
                <w:szCs w:val="20"/>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102,552</w:t>
            </w: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140" w:type="dxa"/>
            <w:vAlign w:val="bottom"/>
            <w:shd w:val="clear" w:color="auto" w:fill="CFF0FC"/>
          </w:tcPr>
          <w:p>
            <w:pPr>
              <w:spacing w:after="0"/>
              <w:rPr>
                <w:sz w:val="21"/>
                <w:szCs w:val="2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101,539</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1,792</w:t>
            </w:r>
          </w:p>
        </w:tc>
        <w:tc>
          <w:tcPr>
            <w:tcW w:w="140" w:type="dxa"/>
            <w:vAlign w:val="bottom"/>
          </w:tcPr>
          <w:p>
            <w:pPr>
              <w:spacing w:after="0"/>
              <w:rPr>
                <w:sz w:val="20"/>
                <w:szCs w:val="20"/>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97,962</w:t>
            </w: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140" w:type="dxa"/>
            <w:vAlign w:val="bottom"/>
            <w:shd w:val="clear" w:color="auto" w:fill="CFF0FC"/>
          </w:tcPr>
          <w:p>
            <w:pPr>
              <w:spacing w:after="0"/>
              <w:rPr>
                <w:sz w:val="21"/>
                <w:szCs w:val="2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92,100</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1,846</w:t>
            </w:r>
          </w:p>
        </w:tc>
        <w:tc>
          <w:tcPr>
            <w:tcW w:w="140" w:type="dxa"/>
            <w:vAlign w:val="bottom"/>
          </w:tcPr>
          <w:p>
            <w:pPr>
              <w:spacing w:after="0"/>
              <w:rPr>
                <w:sz w:val="20"/>
                <w:szCs w:val="20"/>
                <w:color w:val="auto"/>
              </w:rPr>
            </w:pPr>
          </w:p>
        </w:tc>
      </w:tr>
      <w:tr>
        <w:trPr>
          <w:trHeight w:val="249"/>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870,502</w:t>
            </w:r>
          </w:p>
        </w:tc>
        <w:tc>
          <w:tcPr>
            <w:tcW w:w="3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Total future minimum obligations</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1,418,221</w:t>
            </w:r>
          </w:p>
        </w:tc>
        <w:tc>
          <w:tcPr>
            <w:tcW w:w="3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28,329</w:t>
            </w:r>
          </w:p>
        </w:tc>
        <w:tc>
          <w:tcPr>
            <w:tcW w:w="140" w:type="dxa"/>
            <w:vAlign w:val="bottom"/>
          </w:tcPr>
          <w:p>
            <w:pPr>
              <w:spacing w:after="0"/>
              <w:rPr>
                <w:sz w:val="20"/>
                <w:szCs w:val="20"/>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Present value discount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(579,989 )</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(13,206 )</w:t>
            </w:r>
          </w:p>
        </w:tc>
      </w:tr>
      <w:tr>
        <w:trPr>
          <w:trHeight w:val="230"/>
        </w:trPr>
        <w:tc>
          <w:tcPr>
            <w:tcW w:w="6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net future minimum lease obligations</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838,232</w:t>
            </w:r>
          </w:p>
        </w:tc>
        <w:tc>
          <w:tcPr>
            <w:tcW w:w="3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15,123</w:t>
            </w:r>
          </w:p>
        </w:tc>
        <w:tc>
          <w:tcPr>
            <w:tcW w:w="140" w:type="dxa"/>
            <w:vAlign w:val="bottom"/>
            <w:tcBorders>
              <w:top w:val="single" w:sz="8" w:color="CFF0FC"/>
            </w:tcBorders>
          </w:tcPr>
          <w:p>
            <w:pPr>
              <w:spacing w:after="0"/>
              <w:rPr>
                <w:sz w:val="20"/>
                <w:szCs w:val="20"/>
                <w:color w:val="auto"/>
              </w:rPr>
            </w:pPr>
          </w:p>
        </w:tc>
      </w:tr>
      <w:tr>
        <w:trPr>
          <w:trHeight w:val="24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(42,029 )</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(706 )</w:t>
            </w:r>
          </w:p>
        </w:tc>
      </w:tr>
      <w:tr>
        <w:trPr>
          <w:trHeight w:val="236"/>
        </w:trPr>
        <w:tc>
          <w:tcPr>
            <w:tcW w:w="6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obligations</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796,203</w:t>
            </w:r>
          </w:p>
        </w:tc>
        <w:tc>
          <w:tcPr>
            <w:tcW w:w="3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14,417</w:t>
            </w:r>
          </w:p>
        </w:tc>
        <w:tc>
          <w:tcPr>
            <w:tcW w:w="140" w:type="dxa"/>
            <w:vAlign w:val="bottom"/>
            <w:tcBorders>
              <w:top w:val="single" w:sz="8" w:color="CFF0FC"/>
            </w:tcBorders>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-822325</wp:posOffset>
            </wp:positionV>
            <wp:extent cx="85725"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-822325</wp:posOffset>
            </wp:positionV>
            <wp:extent cx="85725"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-505460</wp:posOffset>
            </wp:positionV>
            <wp:extent cx="8572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8572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Forward-Starting Leases</w:t>
      </w:r>
    </w:p>
    <w:p>
      <w:pPr>
        <w:spacing w:after="0" w:line="1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231F20"/>
        </w:rPr>
        <w:t>As of June 30, 2023, we entered into nine leases that had not yet commenced related to build-to-suit arrangements for car wash locations. These leases will commence in the remainder of 2023, or 2024 or 2025 with initial lease terms of 15 to 20 years.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231F20"/>
        </w:rPr>
        <w:t>As of December 31, 2022, we entered into seven leases that had not yet commenced related to build-to-suit arrangements for car wash locations. These leases will commence in the remainder of 2023, or 2024 or 2025 with initial lease terms of 15 to 20 years.</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231F20"/>
        </w:rPr>
        <w:t>Sale-Leaseback Transactions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231F20"/>
        </w:rPr>
        <w:t>During the three months ended June 30, 2023, we completed 10 sale-leaseback transactions related to car wash locations with aggregate consideration of $80,042, resulting in a net gain of $4,896, which are included in gain on sale of assets, net in the accompanying unaudited condensed consolidated statements of operations and comprehensive income. Contemporaneously with the closing of the sales, we entered into lease agreements for the properties for initial 20-year terms. For the sale-leaseback transactions consummated in the three months ended June 30, 2023, the cumulative initial annual rent for the properties was approximately $5,028, subject to annual escalations. These leases are accounted for as operating leases.</w:t>
      </w:r>
    </w:p>
    <w:p>
      <w:pPr>
        <w:spacing w:after="0" w:line="5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231F20"/>
        </w:rPr>
        <w:t>During the six months ended June 30, 2023, we completed 12 sale-leaseback transactions related to car wash locations with aggregate consideration of $89,255, resulting in a net gain of $5,226, which are included in gain on sale of assets, net in the accompanying unaudited condensed consolidated statements of operations and comprehensive income. Contemporaneously with the closing of the sales, we entered into lease agreements for the properties for initial 20-year terms. For the sale-leaseback transactions consummated in the six months ended June 30, 2023, the cumulative initial annual rent for the properties was approximately $5,587, subject to annual escalations. These leases are accounted for as operating leases.</w:t>
      </w:r>
    </w:p>
    <w:p>
      <w:pPr>
        <w:spacing w:after="0" w:line="5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During the three and six months ended June 30, 2022, we completed one sale-leaseback transaction related to car wash locations for $3,800, resulting in a net gain of $3,203, which was included in gain on sale of assets, net in the accompanying unaudited condensed consolidated statements of operations and comprehensive income.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Stockholders’ Equity</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As of June 30, 2023, there were 1,000,000,000 shares of common stock authorized, 314,932,557 shares of common stock issued, and 311,758,330 shares of common stock outstanding.</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231F20"/>
        </w:rPr>
        <w:t>As of December 31, 2022, there were 1,000,000,000 shares of common stock authorized, 309,800,757 shares of common stock issued, and 306,626,530 shares of common stock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231F20"/>
        </w:rPr>
        <w:t>As of June 30, 2023 and December 31, 2022, there were 5,000,000 shares of preferred stock authorized and none were issued or outstanding.</w:t>
      </w:r>
    </w:p>
    <w:p>
      <w:pPr>
        <w:spacing w:after="0" w:line="1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231F20"/>
        </w:rPr>
        <w:t xml:space="preserve">We use the cost method to account for treasury stock. As of June 30, 2023, and December 31, 2022, we had 3,174,227 shares of treasury stock. As of June 30, 2023 and December 31, 2022, the cost of treasury stock included in additional paid-in capital in </w:t>
      </w:r>
      <w:r>
        <w:rPr>
          <w:rFonts w:ascii="Arial" w:cs="Arial" w:eastAsia="Arial" w:hAnsi="Arial"/>
          <w:sz w:val="18"/>
          <w:szCs w:val="18"/>
          <w:color w:val="000000"/>
        </w:rPr>
        <w:t>the accompanying unaudited condensed consolidated</w:t>
      </w:r>
      <w:r>
        <w:rPr>
          <w:rFonts w:ascii="Arial" w:cs="Arial" w:eastAsia="Arial" w:hAnsi="Arial"/>
          <w:sz w:val="18"/>
          <w:szCs w:val="18"/>
          <w:color w:val="231F20"/>
        </w:rPr>
        <w:t xml:space="preserve"> </w:t>
      </w:r>
      <w:r>
        <w:rPr>
          <w:rFonts w:ascii="Arial" w:cs="Arial" w:eastAsia="Arial" w:hAnsi="Arial"/>
          <w:sz w:val="18"/>
          <w:szCs w:val="18"/>
          <w:color w:val="000000"/>
        </w:rPr>
        <w:t>balance sheets was $6,091.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2014 Plan</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231F20"/>
        </w:rPr>
        <w:t>Under the 2014 Stock Option Plan of Hotshine Holdings, Inc. (the “2014 Plan”), we may grant incentive stock options or nonqualified stock options to purchase shares of our common stock to our employees, directors, officers, outside advisors and non-employee consultants.</w:t>
      </w:r>
    </w:p>
    <w:p>
      <w:pPr>
        <w:spacing w:after="0" w:line="3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2" w:lineRule="exact"/>
        <w:rPr>
          <w:sz w:val="20"/>
          <w:szCs w:val="20"/>
          <w:color w:val="auto"/>
        </w:rPr>
      </w:pPr>
    </w:p>
    <w:p>
      <w:pPr>
        <w:ind w:firstLine="8"/>
        <w:spacing w:after="0" w:line="288" w:lineRule="auto"/>
        <w:tabs>
          <w:tab w:leader="none" w:pos="215" w:val="left"/>
        </w:tabs>
        <w:numPr>
          <w:ilvl w:val="0"/>
          <w:numId w:val="5"/>
        </w:numPr>
        <w:rPr>
          <w:rFonts w:ascii="Arial" w:cs="Arial" w:eastAsia="Arial" w:hAnsi="Arial"/>
          <w:sz w:val="16"/>
          <w:szCs w:val="16"/>
          <w:color w:val="231F20"/>
        </w:rPr>
      </w:pPr>
      <w:r>
        <w:rPr>
          <w:rFonts w:ascii="Arial" w:cs="Arial" w:eastAsia="Arial" w:hAnsi="Arial"/>
          <w:sz w:val="16"/>
          <w:szCs w:val="16"/>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In June 2021, we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Plan</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June 2021, the Board adopted the 2021 Incentive Award Plan (the “2021 Plan”), which was subsequently approved by our stockholders and became effective on June 25, 2021. Under the 2021 Plan, we </w:t>
      </w:r>
      <w:r>
        <w:rPr>
          <w:rFonts w:ascii="Arial" w:cs="Arial" w:eastAsia="Arial" w:hAnsi="Arial"/>
          <w:sz w:val="16"/>
          <w:szCs w:val="16"/>
          <w:color w:val="231F20"/>
        </w:rPr>
        <w:t>may grant incentive stock options, nonqualified stock options, restricted stock units ("RSUs"),</w:t>
      </w:r>
      <w:r>
        <w:rPr>
          <w:rFonts w:ascii="Arial" w:cs="Arial" w:eastAsia="Arial" w:hAnsi="Arial"/>
          <w:sz w:val="16"/>
          <w:szCs w:val="16"/>
          <w:color w:val="auto"/>
        </w:rPr>
        <w:t xml:space="preserve"> </w:t>
      </w:r>
      <w:r>
        <w:rPr>
          <w:rFonts w:ascii="Arial" w:cs="Arial" w:eastAsia="Arial" w:hAnsi="Arial"/>
          <w:sz w:val="16"/>
          <w:szCs w:val="16"/>
          <w:color w:val="231F20"/>
        </w:rPr>
        <w:t xml:space="preserve">restricted stock, and other stock- or cash-based awards to our employees, directors, officers, and non-employee consultants. </w:t>
      </w:r>
      <w:r>
        <w:rPr>
          <w:rFonts w:ascii="Arial" w:cs="Arial" w:eastAsia="Arial" w:hAnsi="Arial"/>
          <w:sz w:val="16"/>
          <w:szCs w:val="16"/>
          <w:color w:val="000000"/>
        </w:rPr>
        <w:t>Initially, the maximum number</w:t>
      </w:r>
      <w:r>
        <w:rPr>
          <w:rFonts w:ascii="Arial" w:cs="Arial" w:eastAsia="Arial" w:hAnsi="Arial"/>
          <w:sz w:val="16"/>
          <w:szCs w:val="16"/>
          <w:color w:val="231F20"/>
        </w:rPr>
        <w:t xml:space="preserve"> </w:t>
      </w:r>
      <w:r>
        <w:rPr>
          <w:rFonts w:ascii="Arial" w:cs="Arial" w:eastAsia="Arial" w:hAnsi="Arial"/>
          <w:sz w:val="16"/>
          <w:szCs w:val="16"/>
          <w:color w:val="000000"/>
        </w:rPr>
        <w:t>of shares of our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231F20"/>
        </w:rPr>
        <w:t>All stock options granted under the 2021 Plan are equity-classified and have a contractual life of ten years. Under the 2021 Plan, the stock options contain service-based vesting conditions and generally vest ratably over a three- or five-year period (collectively with stock options under the 2014 Plan, the “Time Vesting Options”). The exercise prices for stock options granted under the 2021 Plan were not less than the fair market value of the common stock of the Company on the date of grant.</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RSUs granted under the 2021 Plan </w:t>
      </w:r>
      <w:r>
        <w:rPr>
          <w:rFonts w:ascii="Arial" w:cs="Arial" w:eastAsia="Arial" w:hAnsi="Arial"/>
          <w:sz w:val="16"/>
          <w:szCs w:val="16"/>
          <w:color w:val="231F20"/>
        </w:rPr>
        <w:t>are equity-classified and</w:t>
      </w:r>
      <w:r>
        <w:rPr>
          <w:rFonts w:ascii="Arial" w:cs="Arial" w:eastAsia="Arial" w:hAnsi="Arial"/>
          <w:sz w:val="16"/>
          <w:szCs w:val="16"/>
          <w:color w:val="auto"/>
        </w:rPr>
        <w:t xml:space="preserve"> contain service-based conditions and generally vest ratably over one- to five-year periods. Each RSU represents the right to receive one share of our common stock upon vesting. The fair value is calculated based upon our closing stock price on the date of grant, and the stock-based compensation expense is recognized over the requisite service period, which is generally the vesting period.</w:t>
      </w:r>
    </w:p>
    <w:p>
      <w:pPr>
        <w:spacing w:after="0" w:line="5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2021 ESPP</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2021, the Board adopted the 2021 Employee Stock Purchase Plan (“2021 ESPP”), which was subsequently approved by our stockholders and became effective in June 2021. The 2021 ESPP authorizes the initial issuance of up to 5,000,000 shares of our common stock to eligible employees of the Company or, as designated by the Board, employees of a related company. The 2021 ESPP provides for offering periods not to exceed 27 months, and each offering period will include purchase periods. We determined that offering periods would commence at approximately the six-month period beginning with an enrollment date and ending with the next exercise date, except that the first offering period commenced on the effective date of our registration statement and ended on November 9, 2021.</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 The number of shares reserved and available for issuance under the 2021 ESPP as of January 1, 2023 is 7,322,350.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Share-Based Payment Valuation</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Arial" w:cs="Arial" w:eastAsia="Arial" w:hAnsi="Arial"/>
          <w:sz w:val="17"/>
          <w:szCs w:val="17"/>
          <w:color w:val="000000"/>
        </w:rPr>
        <w:t>stock purchase rights</w:t>
      </w:r>
      <w:r>
        <w:rPr>
          <w:rFonts w:ascii="Arial" w:cs="Arial" w:eastAsia="Arial" w:hAnsi="Arial"/>
          <w:sz w:val="17"/>
          <w:szCs w:val="17"/>
          <w:color w:val="231F20"/>
        </w:rPr>
        <w:t xml:space="preserve"> granted under the 2021 ESPP is determined using the Black-Scholes option-pricing model.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2021 ESPP Valuation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 xml:space="preserve">The following table presents, on a weighted-average basis, the assumptions used in the Black-Scholes option-pricing model to determine the grant date fair value of </w:t>
      </w:r>
      <w:r>
        <w:rPr>
          <w:rFonts w:ascii="Arial" w:cs="Arial" w:eastAsia="Arial" w:hAnsi="Arial"/>
          <w:sz w:val="18"/>
          <w:szCs w:val="18"/>
          <w:color w:val="000000"/>
        </w:rPr>
        <w:t>stock purchase rights granted under the 2021 ESPP</w:t>
      </w:r>
      <w:r>
        <w:rPr>
          <w:rFonts w:ascii="Arial" w:cs="Arial" w:eastAsia="Arial" w:hAnsi="Arial"/>
          <w:sz w:val="18"/>
          <w:szCs w:val="18"/>
          <w:color w:val="231F20"/>
        </w:rPr>
        <w:t xml:space="preserve"> during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tcBorders>
              <w:bottom w:val="single" w:sz="8" w:color="auto"/>
            </w:tcBorders>
          </w:tcPr>
          <w:p>
            <w:pPr>
              <w:spacing w:after="0"/>
              <w:rPr>
                <w:sz w:val="20"/>
                <w:szCs w:val="20"/>
                <w:color w:val="auto"/>
              </w:rPr>
            </w:pPr>
          </w:p>
        </w:tc>
      </w:tr>
      <w:tr>
        <w:trPr>
          <w:trHeight w:val="239"/>
        </w:trPr>
        <w:tc>
          <w:tcPr>
            <w:tcW w:w="6180" w:type="dxa"/>
            <w:vAlign w:val="bottom"/>
          </w:tcPr>
          <w:p>
            <w:pPr>
              <w:spacing w:after="0"/>
              <w:rPr>
                <w:sz w:val="20"/>
                <w:szCs w:val="20"/>
                <w:color w:val="auto"/>
              </w:rPr>
            </w:pPr>
          </w:p>
        </w:tc>
        <w:tc>
          <w:tcPr>
            <w:tcW w:w="240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2660" w:type="dxa"/>
            <w:vAlign w:val="bottom"/>
            <w:gridSpan w:val="3"/>
          </w:tcPr>
          <w:p>
            <w:pPr>
              <w:ind w:left="1280"/>
              <w:spacing w:after="0"/>
              <w:rPr>
                <w:sz w:val="20"/>
                <w:szCs w:val="20"/>
                <w:color w:val="auto"/>
              </w:rPr>
            </w:pPr>
            <w:r>
              <w:rPr>
                <w:rFonts w:ascii="Arial" w:cs="Arial" w:eastAsia="Arial" w:hAnsi="Arial"/>
                <w:sz w:val="18"/>
                <w:szCs w:val="18"/>
                <w:b w:val="1"/>
                <w:bCs w:val="1"/>
                <w:color w:val="auto"/>
              </w:rPr>
              <w:t>2022</w:t>
            </w:r>
          </w:p>
        </w:tc>
      </w:tr>
      <w:tr>
        <w:trPr>
          <w:trHeight w:val="241"/>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400" w:type="dxa"/>
            <w:vAlign w:val="bottom"/>
            <w:tcBorders>
              <w:top w:val="single" w:sz="8" w:color="auto"/>
            </w:tcBorders>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36.30% - 53.9%</w:t>
            </w:r>
          </w:p>
        </w:tc>
        <w:tc>
          <w:tcPr>
            <w:tcW w:w="28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w:t>
            </w:r>
          </w:p>
        </w:tc>
        <w:tc>
          <w:tcPr>
            <w:tcW w:w="1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- 52.72%</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4.53%</w:t>
            </w:r>
          </w:p>
        </w:tc>
        <w:tc>
          <w:tcPr>
            <w:tcW w:w="1260" w:type="dxa"/>
            <w:vAlign w:val="bottom"/>
          </w:tcPr>
          <w:p>
            <w:pPr>
              <w:ind w:left="20"/>
              <w:spacing w:after="0"/>
              <w:rPr>
                <w:sz w:val="20"/>
                <w:szCs w:val="20"/>
                <w:color w:val="auto"/>
              </w:rPr>
            </w:pPr>
            <w:r>
              <w:rPr>
                <w:rFonts w:ascii="Arial" w:cs="Arial" w:eastAsia="Arial" w:hAnsi="Arial"/>
                <w:sz w:val="18"/>
                <w:szCs w:val="18"/>
                <w:color w:val="auto"/>
              </w:rPr>
              <w:t>- 5.26%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240" w:type="dxa"/>
            <w:vAlign w:val="bottom"/>
          </w:tcPr>
          <w:p>
            <w:pPr>
              <w:ind w:left="20"/>
              <w:spacing w:after="0"/>
              <w:rPr>
                <w:sz w:val="20"/>
                <w:szCs w:val="20"/>
                <w:color w:val="auto"/>
              </w:rPr>
            </w:pPr>
            <w:r>
              <w:rPr>
                <w:rFonts w:ascii="Arial" w:cs="Arial" w:eastAsia="Arial" w:hAnsi="Arial"/>
                <w:sz w:val="18"/>
                <w:szCs w:val="18"/>
                <w:color w:val="auto"/>
              </w:rPr>
              <w:t>- 1.54%</w:t>
            </w:r>
          </w:p>
        </w:tc>
      </w:tr>
      <w:tr>
        <w:trPr>
          <w:trHeight w:val="249"/>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00" w:type="dxa"/>
            <w:vAlign w:val="bottom"/>
            <w:gridSpan w:val="2"/>
          </w:tcPr>
          <w:p>
            <w:pPr>
              <w:ind w:left="100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0"/>
                <w:szCs w:val="20"/>
                <w:color w:val="auto"/>
              </w:rPr>
            </w:pPr>
          </w:p>
        </w:tc>
        <w:tc>
          <w:tcPr>
            <w:tcW w:w="2380" w:type="dxa"/>
            <w:vAlign w:val="bottom"/>
            <w:gridSpan w:val="2"/>
          </w:tcPr>
          <w:p>
            <w:pPr>
              <w:ind w:left="980"/>
              <w:spacing w:after="0"/>
              <w:rPr>
                <w:sz w:val="20"/>
                <w:szCs w:val="20"/>
                <w:color w:val="auto"/>
              </w:rPr>
            </w:pPr>
            <w:r>
              <w:rPr>
                <w:rFonts w:ascii="Arial" w:cs="Arial" w:eastAsia="Arial" w:hAnsi="Arial"/>
                <w:sz w:val="18"/>
                <w:szCs w:val="18"/>
                <w:color w:val="auto"/>
              </w:rPr>
              <w:t>None</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Time Vesting Options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The following table presents, on a weighted-average basis, the assumptions used in the Black-Scholes option-pricing model to determine the grant date fair value of Time Vesting Options granted under the 2014 Plan and 2021 Plan during the periods presented: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9"/>
              </w:rPr>
              <w:t>Six Months Ended June 30,</w:t>
            </w:r>
          </w:p>
        </w:tc>
        <w:tc>
          <w:tcPr>
            <w:tcW w:w="1240" w:type="dxa"/>
            <w:vAlign w:val="bottom"/>
            <w:tcBorders>
              <w:bottom w:val="single" w:sz="8" w:color="auto"/>
            </w:tcBorders>
          </w:tcPr>
          <w:p>
            <w:pPr>
              <w:spacing w:after="0"/>
              <w:rPr>
                <w:sz w:val="20"/>
                <w:szCs w:val="20"/>
                <w:color w:val="auto"/>
              </w:rPr>
            </w:pPr>
          </w:p>
        </w:tc>
      </w:tr>
      <w:tr>
        <w:trPr>
          <w:trHeight w:val="239"/>
        </w:trPr>
        <w:tc>
          <w:tcPr>
            <w:tcW w:w="6180" w:type="dxa"/>
            <w:vAlign w:val="bottom"/>
          </w:tcPr>
          <w:p>
            <w:pPr>
              <w:spacing w:after="0"/>
              <w:rPr>
                <w:sz w:val="20"/>
                <w:szCs w:val="20"/>
                <w:color w:val="auto"/>
              </w:rPr>
            </w:pPr>
          </w:p>
        </w:tc>
        <w:tc>
          <w:tcPr>
            <w:tcW w:w="240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2023</w:t>
            </w:r>
          </w:p>
        </w:tc>
        <w:tc>
          <w:tcPr>
            <w:tcW w:w="266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2022</w:t>
            </w:r>
          </w:p>
        </w:tc>
      </w:tr>
      <w:tr>
        <w:trPr>
          <w:trHeight w:val="241"/>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1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- 44.68%</w:t>
            </w:r>
          </w:p>
        </w:tc>
        <w:tc>
          <w:tcPr>
            <w:tcW w:w="28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1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- 35.87%</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3.68%</w:t>
            </w:r>
          </w:p>
        </w:tc>
        <w:tc>
          <w:tcPr>
            <w:tcW w:w="1260" w:type="dxa"/>
            <w:vAlign w:val="bottom"/>
          </w:tcPr>
          <w:p>
            <w:pPr>
              <w:ind w:left="20"/>
              <w:spacing w:after="0"/>
              <w:rPr>
                <w:sz w:val="20"/>
                <w:szCs w:val="20"/>
                <w:color w:val="auto"/>
              </w:rPr>
            </w:pPr>
            <w:r>
              <w:rPr>
                <w:rFonts w:ascii="Arial" w:cs="Arial" w:eastAsia="Arial" w:hAnsi="Arial"/>
                <w:sz w:val="18"/>
                <w:szCs w:val="18"/>
                <w:color w:val="auto"/>
              </w:rPr>
              <w:t>- 4.21%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240" w:type="dxa"/>
            <w:vAlign w:val="bottom"/>
          </w:tcPr>
          <w:p>
            <w:pPr>
              <w:ind w:left="20"/>
              <w:spacing w:after="0"/>
              <w:rPr>
                <w:sz w:val="20"/>
                <w:szCs w:val="20"/>
                <w:color w:val="auto"/>
              </w:rPr>
            </w:pPr>
            <w:r>
              <w:rPr>
                <w:rFonts w:ascii="Arial" w:cs="Arial" w:eastAsia="Arial" w:hAnsi="Arial"/>
                <w:sz w:val="18"/>
                <w:szCs w:val="18"/>
                <w:color w:val="auto"/>
              </w:rPr>
              <w:t>- 3.34%</w:t>
            </w:r>
          </w:p>
        </w:tc>
      </w:tr>
      <w:tr>
        <w:trPr>
          <w:trHeight w:val="249"/>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40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6.0 - 6.26</w:t>
            </w:r>
          </w:p>
        </w:tc>
        <w:tc>
          <w:tcPr>
            <w:tcW w:w="2660" w:type="dxa"/>
            <w:vAlign w:val="bottom"/>
            <w:gridSpan w:val="3"/>
            <w:shd w:val="clear" w:color="auto" w:fill="CFF0FC"/>
          </w:tcPr>
          <w:p>
            <w:pPr>
              <w:jc w:val="right"/>
              <w:ind w:right="990"/>
              <w:spacing w:after="0"/>
              <w:rPr>
                <w:sz w:val="20"/>
                <w:szCs w:val="20"/>
                <w:color w:val="auto"/>
              </w:rPr>
            </w:pPr>
            <w:r>
              <w:rPr>
                <w:rFonts w:ascii="Arial" w:cs="Arial" w:eastAsia="Arial" w:hAnsi="Arial"/>
                <w:sz w:val="18"/>
                <w:szCs w:val="18"/>
                <w:color w:val="auto"/>
              </w:rPr>
              <w:t>6.0</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00" w:type="dxa"/>
            <w:vAlign w:val="bottom"/>
            <w:gridSpan w:val="2"/>
          </w:tcPr>
          <w:p>
            <w:pPr>
              <w:ind w:left="100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0"/>
                <w:szCs w:val="20"/>
                <w:color w:val="auto"/>
              </w:rPr>
            </w:pPr>
          </w:p>
        </w:tc>
        <w:tc>
          <w:tcPr>
            <w:tcW w:w="2380" w:type="dxa"/>
            <w:vAlign w:val="bottom"/>
            <w:gridSpan w:val="2"/>
          </w:tcPr>
          <w:p>
            <w:pPr>
              <w:ind w:left="980"/>
              <w:spacing w:after="0"/>
              <w:rPr>
                <w:sz w:val="20"/>
                <w:szCs w:val="20"/>
                <w:color w:val="auto"/>
              </w:rPr>
            </w:pPr>
            <w:r>
              <w:rPr>
                <w:rFonts w:ascii="Arial" w:cs="Arial" w:eastAsia="Arial" w:hAnsi="Arial"/>
                <w:sz w:val="18"/>
                <w:szCs w:val="18"/>
                <w:color w:val="auto"/>
              </w:rPr>
              <w:t>None</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A summary of our stock option activity during the period presented is as follows: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Time Vesting</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Performance</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Total Number of</w:t>
            </w: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Weighted-Average</w:t>
            </w:r>
          </w:p>
        </w:tc>
        <w:tc>
          <w:tcPr>
            <w:tcW w:w="140" w:type="dxa"/>
            <w:vAlign w:val="bottom"/>
          </w:tcPr>
          <w:p>
            <w:pPr>
              <w:spacing w:after="0"/>
              <w:rPr>
                <w:sz w:val="18"/>
                <w:szCs w:val="18"/>
                <w:color w:val="auto"/>
              </w:rPr>
            </w:pPr>
          </w:p>
        </w:tc>
      </w:tr>
      <w:tr>
        <w:trPr>
          <w:trHeight w:val="241"/>
        </w:trPr>
        <w:tc>
          <w:tcPr>
            <w:tcW w:w="4060" w:type="dxa"/>
            <w:vAlign w:val="bottom"/>
          </w:tcPr>
          <w:p>
            <w:pPr>
              <w:spacing w:after="0"/>
              <w:rPr>
                <w:sz w:val="20"/>
                <w:szCs w:val="20"/>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Options</w:t>
            </w:r>
          </w:p>
        </w:tc>
        <w:tc>
          <w:tcPr>
            <w:tcW w:w="1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Vesting Options</w:t>
            </w:r>
          </w:p>
        </w:tc>
        <w:tc>
          <w:tcPr>
            <w:tcW w:w="18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Exercise Price</w:t>
            </w:r>
          </w:p>
        </w:tc>
        <w:tc>
          <w:tcPr>
            <w:tcW w:w="140" w:type="dxa"/>
            <w:vAlign w:val="bottom"/>
          </w:tcPr>
          <w:p>
            <w:pPr>
              <w:spacing w:after="0"/>
              <w:rPr>
                <w:sz w:val="20"/>
                <w:szCs w:val="20"/>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15,651,622</w:t>
            </w:r>
          </w:p>
        </w:tc>
        <w:tc>
          <w:tcPr>
            <w:tcW w:w="26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9,882,278</w:t>
            </w:r>
          </w:p>
        </w:tc>
        <w:tc>
          <w:tcPr>
            <w:tcW w:w="28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25,533,900</w:t>
            </w:r>
          </w:p>
        </w:tc>
        <w:tc>
          <w:tcPr>
            <w:tcW w:w="3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21"/>
                <w:szCs w:val="21"/>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1,704,740</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1,704,740</w:t>
            </w:r>
          </w:p>
        </w:tc>
        <w:tc>
          <w:tcPr>
            <w:tcW w:w="3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20"/>
                <w:szCs w:val="20"/>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(2,682,782 )</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(1,420,216 )</w:t>
            </w: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(4,102,998 )</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FF0FC"/>
          </w:tcPr>
          <w:p>
            <w:pPr>
              <w:spacing w:after="0"/>
              <w:rPr>
                <w:sz w:val="21"/>
                <w:szCs w:val="21"/>
                <w:color w:val="auto"/>
              </w:rPr>
            </w:pPr>
          </w:p>
        </w:tc>
      </w:tr>
      <w:tr>
        <w:trPr>
          <w:trHeight w:val="243"/>
        </w:trPr>
        <w:tc>
          <w:tcPr>
            <w:tcW w:w="40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(127,713 )</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(127,715 )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21"/>
                <w:szCs w:val="21"/>
                <w:color w:val="auto"/>
              </w:rPr>
            </w:pPr>
          </w:p>
        </w:tc>
      </w:tr>
      <w:tr>
        <w:trPr>
          <w:trHeight w:val="277"/>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June 30,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14,545,867</w:t>
            </w:r>
          </w:p>
        </w:tc>
        <w:tc>
          <w:tcPr>
            <w:tcW w:w="26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8,462,060</w:t>
            </w:r>
          </w:p>
        </w:tc>
        <w:tc>
          <w:tcPr>
            <w:tcW w:w="28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23,007,927</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w w:val="91"/>
              </w:rPr>
              <w:t>Options vested or expected to vest as of June 30,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13,473,815</w:t>
            </w:r>
          </w:p>
        </w:tc>
        <w:tc>
          <w:tcPr>
            <w:tcW w:w="26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8,462,060</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21,935,875</w:t>
            </w:r>
          </w:p>
        </w:tc>
        <w:tc>
          <w:tcPr>
            <w:tcW w:w="3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as of June 30, 2023</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10,222,366</w:t>
            </w:r>
          </w:p>
        </w:tc>
        <w:tc>
          <w:tcPr>
            <w:tcW w:w="26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8,462,060</w:t>
            </w:r>
          </w:p>
        </w:tc>
        <w:tc>
          <w:tcPr>
            <w:tcW w:w="28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18,684,426</w:t>
            </w:r>
          </w:p>
        </w:tc>
        <w:tc>
          <w:tcPr>
            <w:tcW w:w="3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-385445</wp:posOffset>
            </wp:positionV>
            <wp:extent cx="241744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17445" cy="20574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-25400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231F20"/>
        </w:rPr>
        <w:t>The number and weighted-average grant date fair value of stock options during the period presented are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Weighted-Average</w:t>
            </w:r>
          </w:p>
        </w:tc>
        <w:tc>
          <w:tcPr>
            <w:tcW w:w="120" w:type="dxa"/>
            <w:vAlign w:val="bottom"/>
          </w:tcPr>
          <w:p>
            <w:pPr>
              <w:spacing w:after="0"/>
              <w:rPr>
                <w:sz w:val="18"/>
                <w:szCs w:val="18"/>
                <w:color w:val="auto"/>
              </w:rPr>
            </w:pPr>
          </w:p>
        </w:tc>
      </w:tr>
      <w:tr>
        <w:trPr>
          <w:trHeight w:val="241"/>
        </w:trPr>
        <w:tc>
          <w:tcPr>
            <w:tcW w:w="4020" w:type="dxa"/>
            <w:vAlign w:val="bottom"/>
          </w:tcPr>
          <w:p>
            <w:pPr>
              <w:spacing w:after="0"/>
              <w:rPr>
                <w:sz w:val="20"/>
                <w:szCs w:val="20"/>
                <w:color w:val="auto"/>
              </w:rPr>
            </w:pPr>
          </w:p>
        </w:tc>
        <w:tc>
          <w:tcPr>
            <w:tcW w:w="32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Number of Stock Options</w:t>
            </w: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Grant Date Fair Value</w:t>
            </w:r>
          </w:p>
        </w:tc>
        <w:tc>
          <w:tcPr>
            <w:tcW w:w="120" w:type="dxa"/>
            <w:vAlign w:val="bottom"/>
          </w:tcPr>
          <w:p>
            <w:pPr>
              <w:spacing w:after="0"/>
              <w:rPr>
                <w:sz w:val="20"/>
                <w:szCs w:val="20"/>
                <w:color w:val="auto"/>
              </w:rPr>
            </w:pPr>
          </w:p>
        </w:tc>
      </w:tr>
      <w:tr>
        <w:trPr>
          <w:trHeight w:val="211"/>
        </w:trPr>
        <w:tc>
          <w:tcPr>
            <w:tcW w:w="402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Time Vesting</w:t>
            </w:r>
          </w:p>
        </w:tc>
        <w:tc>
          <w:tcPr>
            <w:tcW w:w="2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Time Vesting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Performance</w:t>
            </w:r>
          </w:p>
        </w:tc>
        <w:tc>
          <w:tcPr>
            <w:tcW w:w="120" w:type="dxa"/>
            <w:vAlign w:val="bottom"/>
          </w:tcPr>
          <w:p>
            <w:pPr>
              <w:spacing w:after="0"/>
              <w:rPr>
                <w:sz w:val="18"/>
                <w:szCs w:val="18"/>
                <w:color w:val="auto"/>
              </w:rPr>
            </w:pPr>
          </w:p>
        </w:tc>
      </w:tr>
      <w:tr>
        <w:trPr>
          <w:trHeight w:val="241"/>
        </w:trPr>
        <w:tc>
          <w:tcPr>
            <w:tcW w:w="4020" w:type="dxa"/>
            <w:vAlign w:val="bottom"/>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14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6"/>
              </w:rPr>
              <w:t>Vesting Options</w:t>
            </w: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Vesting Options</w:t>
            </w:r>
          </w:p>
        </w:tc>
        <w:tc>
          <w:tcPr>
            <w:tcW w:w="120" w:type="dxa"/>
            <w:vAlign w:val="bottom"/>
          </w:tcPr>
          <w:p>
            <w:pPr>
              <w:spacing w:after="0"/>
              <w:rPr>
                <w:sz w:val="20"/>
                <w:szCs w:val="20"/>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as of December 31, 2022</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3,704,919</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Non-vested as of June 30, 2023</w:t>
            </w:r>
          </w:p>
        </w:tc>
        <w:tc>
          <w:tcPr>
            <w:tcW w:w="1540" w:type="dxa"/>
            <w:vAlign w:val="bottom"/>
          </w:tcPr>
          <w:p>
            <w:pPr>
              <w:jc w:val="right"/>
              <w:spacing w:after="0"/>
              <w:rPr>
                <w:sz w:val="20"/>
                <w:szCs w:val="20"/>
                <w:color w:val="auto"/>
              </w:rPr>
            </w:pPr>
            <w:r>
              <w:rPr>
                <w:rFonts w:ascii="Arial" w:cs="Arial" w:eastAsia="Arial" w:hAnsi="Arial"/>
                <w:sz w:val="18"/>
                <w:szCs w:val="18"/>
                <w:color w:val="auto"/>
              </w:rPr>
              <w:t>4,323,501</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 during the period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1,704,740</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Vested during the period</w:t>
            </w:r>
          </w:p>
        </w:tc>
        <w:tc>
          <w:tcPr>
            <w:tcW w:w="1540" w:type="dxa"/>
            <w:vAlign w:val="bottom"/>
          </w:tcPr>
          <w:p>
            <w:pPr>
              <w:jc w:val="right"/>
              <w:spacing w:after="0"/>
              <w:rPr>
                <w:sz w:val="20"/>
                <w:szCs w:val="20"/>
                <w:color w:val="auto"/>
              </w:rPr>
            </w:pPr>
            <w:r>
              <w:rPr>
                <w:rFonts w:ascii="Arial" w:cs="Arial" w:eastAsia="Arial" w:hAnsi="Arial"/>
                <w:sz w:val="18"/>
                <w:szCs w:val="18"/>
                <w:color w:val="auto"/>
              </w:rPr>
              <w:t>977,734</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4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Forfeited/canceled during the period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108,424</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bl>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We granted 1,704,740 Time Vesting Options with a grant date fair value of $7,425 during the six months ended June 30, 2023. There were no Performance Vesting Options granted during the six months ended June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shares attributable to stock options that vested during the six months ended June 30, 2023 was </w:t>
      </w:r>
      <w:r>
        <w:rPr>
          <w:rFonts w:ascii="Arial" w:cs="Arial" w:eastAsia="Arial" w:hAnsi="Arial"/>
          <w:sz w:val="18"/>
          <w:szCs w:val="18"/>
          <w:color w:val="000000"/>
        </w:rPr>
        <w:t>$8,483</w:t>
      </w:r>
      <w:r>
        <w:rPr>
          <w:rFonts w:ascii="Arial" w:cs="Arial" w:eastAsia="Arial" w:hAnsi="Arial"/>
          <w:sz w:val="18"/>
          <w:szCs w:val="18"/>
          <w:color w:val="231F20"/>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As of June 30, 2023, the weighted-average remaining contractual life of outstanding stock options was approximately 4.0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24"/>
        </w:trPr>
        <w:tc>
          <w:tcPr>
            <w:tcW w:w="6080" w:type="dxa"/>
            <w:vAlign w:val="bottom"/>
          </w:tcPr>
          <w:p>
            <w:pPr>
              <w:spacing w:after="0"/>
              <w:rPr>
                <w:sz w:val="20"/>
                <w:szCs w:val="20"/>
                <w:color w:val="auto"/>
              </w:rPr>
            </w:pPr>
            <w:r>
              <w:rPr>
                <w:rFonts w:ascii="Arial" w:cs="Arial" w:eastAsia="Arial" w:hAnsi="Arial"/>
                <w:sz w:val="18"/>
                <w:szCs w:val="18"/>
                <w:color w:val="231F20"/>
              </w:rPr>
              <w:t>The following table summarizes our RSU activity since December 31, 2022:</w:t>
            </w: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0"/>
        </w:trPr>
        <w:tc>
          <w:tcPr>
            <w:tcW w:w="6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Weighted-Average Grant</w:t>
            </w:r>
          </w:p>
        </w:tc>
        <w:tc>
          <w:tcPr>
            <w:tcW w:w="140" w:type="dxa"/>
            <w:vAlign w:val="bottom"/>
          </w:tcPr>
          <w:p>
            <w:pPr>
              <w:spacing w:after="0"/>
              <w:rPr>
                <w:sz w:val="24"/>
                <w:szCs w:val="24"/>
                <w:color w:val="auto"/>
              </w:rPr>
            </w:pPr>
          </w:p>
        </w:tc>
      </w:tr>
      <w:tr>
        <w:trPr>
          <w:trHeight w:val="241"/>
        </w:trPr>
        <w:tc>
          <w:tcPr>
            <w:tcW w:w="6080" w:type="dxa"/>
            <w:vAlign w:val="bottom"/>
          </w:tcPr>
          <w:p>
            <w:pPr>
              <w:spacing w:after="0"/>
              <w:rPr>
                <w:sz w:val="20"/>
                <w:szCs w:val="20"/>
                <w:color w:val="auto"/>
              </w:rPr>
            </w:pPr>
          </w:p>
        </w:tc>
        <w:tc>
          <w:tcPr>
            <w:tcW w:w="27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Restricted Stock Units</w:t>
            </w:r>
          </w:p>
        </w:tc>
        <w:tc>
          <w:tcPr>
            <w:tcW w:w="140" w:type="dxa"/>
            <w:vAlign w:val="bottom"/>
          </w:tcPr>
          <w:p>
            <w:pPr>
              <w:spacing w:after="0"/>
              <w:rPr>
                <w:sz w:val="20"/>
                <w:szCs w:val="20"/>
                <w:color w:val="auto"/>
              </w:rPr>
            </w:pPr>
          </w:p>
        </w:tc>
        <w:tc>
          <w:tcPr>
            <w:tcW w:w="2140" w:type="dxa"/>
            <w:vAlign w:val="bottom"/>
          </w:tcPr>
          <w:p>
            <w:pPr>
              <w:jc w:val="right"/>
              <w:ind w:right="450"/>
              <w:spacing w:after="0"/>
              <w:rPr>
                <w:sz w:val="20"/>
                <w:szCs w:val="20"/>
                <w:color w:val="auto"/>
              </w:rPr>
            </w:pPr>
            <w:r>
              <w:rPr>
                <w:rFonts w:ascii="Arial" w:cs="Arial" w:eastAsia="Arial" w:hAnsi="Arial"/>
                <w:sz w:val="18"/>
                <w:szCs w:val="18"/>
                <w:b w:val="1"/>
                <w:bCs w:val="1"/>
                <w:color w:val="auto"/>
              </w:rPr>
              <w:t>Date Fair Value</w:t>
            </w:r>
          </w:p>
        </w:tc>
        <w:tc>
          <w:tcPr>
            <w:tcW w:w="140" w:type="dxa"/>
            <w:vAlign w:val="bottom"/>
          </w:tcPr>
          <w:p>
            <w:pPr>
              <w:spacing w:after="0"/>
              <w:rPr>
                <w:sz w:val="20"/>
                <w:szCs w:val="20"/>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2022</w:t>
            </w:r>
          </w:p>
        </w:tc>
        <w:tc>
          <w:tcPr>
            <w:tcW w:w="2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2,075,859</w:t>
            </w:r>
          </w:p>
        </w:tc>
        <w:tc>
          <w:tcPr>
            <w:tcW w:w="4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FF0FC"/>
          </w:tcPr>
          <w:p>
            <w:pPr>
              <w:spacing w:after="0"/>
              <w:rPr>
                <w:sz w:val="21"/>
                <w:szCs w:val="21"/>
                <w:color w:val="auto"/>
              </w:rPr>
            </w:pPr>
          </w:p>
        </w:tc>
      </w:tr>
      <w:tr>
        <w:trPr>
          <w:trHeight w:val="237"/>
        </w:trPr>
        <w:tc>
          <w:tcPr>
            <w:tcW w:w="6080" w:type="dxa"/>
            <w:vAlign w:val="bottom"/>
          </w:tcPr>
          <w:p>
            <w:pPr>
              <w:ind w:left="12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spacing w:after="0"/>
              <w:rPr>
                <w:sz w:val="20"/>
                <w:szCs w:val="20"/>
                <w:color w:val="auto"/>
              </w:rPr>
            </w:pPr>
            <w:r>
              <w:rPr>
                <w:rFonts w:ascii="Arial" w:cs="Arial" w:eastAsia="Arial" w:hAnsi="Arial"/>
                <w:sz w:val="18"/>
                <w:szCs w:val="18"/>
                <w:color w:val="auto"/>
              </w:rPr>
              <w:t>2,488,793</w:t>
            </w: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20"/>
                <w:szCs w:val="20"/>
                <w:color w:val="auto"/>
              </w:rPr>
            </w:pPr>
          </w:p>
        </w:tc>
      </w:tr>
      <w:tr>
        <w:trPr>
          <w:trHeight w:val="249"/>
        </w:trPr>
        <w:tc>
          <w:tcPr>
            <w:tcW w:w="6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2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(638,365 )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40" w:type="dxa"/>
            <w:vAlign w:val="bottom"/>
            <w:shd w:val="clear" w:color="auto" w:fill="CFF0FC"/>
          </w:tcPr>
          <w:p>
            <w:pPr>
              <w:spacing w:after="0"/>
              <w:rPr>
                <w:sz w:val="21"/>
                <w:szCs w:val="21"/>
                <w:color w:val="auto"/>
              </w:rPr>
            </w:pPr>
          </w:p>
        </w:tc>
      </w:tr>
      <w:tr>
        <w:trPr>
          <w:trHeight w:val="243"/>
        </w:trPr>
        <w:tc>
          <w:tcPr>
            <w:tcW w:w="60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2740" w:type="dxa"/>
            <w:vAlign w:val="bottom"/>
            <w:gridSpan w:val="2"/>
          </w:tcPr>
          <w:p>
            <w:pPr>
              <w:jc w:val="right"/>
              <w:ind w:right="340"/>
              <w:spacing w:after="0"/>
              <w:rPr>
                <w:sz w:val="20"/>
                <w:szCs w:val="20"/>
                <w:color w:val="auto"/>
              </w:rPr>
            </w:pPr>
            <w:r>
              <w:rPr>
                <w:rFonts w:ascii="Arial" w:cs="Arial" w:eastAsia="Arial" w:hAnsi="Arial"/>
                <w:sz w:val="18"/>
                <w:szCs w:val="18"/>
                <w:color w:val="auto"/>
              </w:rPr>
              <w:t>(164,430 )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21"/>
                <w:szCs w:val="21"/>
                <w:color w:val="auto"/>
              </w:rPr>
            </w:pPr>
          </w:p>
        </w:tc>
      </w:tr>
      <w:tr>
        <w:trPr>
          <w:trHeight w:val="277"/>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June 30, 2023</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3,761,857</w:t>
            </w: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231F20"/>
        </w:rPr>
        <w:t>We granted 2,488,793 RSUs with a grant date fair value of $20,901 during the six months ended June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fair value of shares attributable to RSUs that vested during the </w:t>
      </w:r>
      <w:r>
        <w:rPr>
          <w:rFonts w:ascii="Arial" w:cs="Arial" w:eastAsia="Arial" w:hAnsi="Arial"/>
          <w:sz w:val="18"/>
          <w:szCs w:val="18"/>
          <w:color w:val="000000"/>
        </w:rPr>
        <w:t>six months ended June 30, 2023 was $5,348.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weighted-average remaining contractual life of outstanding RSUs was approximately 9.41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231F20"/>
        </w:rPr>
        <w:t>We estimated a forfeiture rate of 8.82% for awards with service-based vesting conditions based on historical experience and future expectations of the vesting of these share-based payments. We used this rate as an assumption in calculating stock-based compensation expense for Time Vesting Options, RSUs, and stock purchase rights granted under the 2021 ESPP.</w:t>
      </w:r>
    </w:p>
    <w:p>
      <w:pPr>
        <w:spacing w:after="0" w:line="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231F20"/>
        </w:rPr>
        <w:t>Total stock-based compensation expense, by caption, recorded in the unaudited condensed consolidated statements of operations and comprehensive income for the periods presented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r>
      <w:tr>
        <w:trPr>
          <w:trHeight w:val="239"/>
        </w:trPr>
        <w:tc>
          <w:tcPr>
            <w:tcW w:w="4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41"/>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2,029</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40" w:type="dxa"/>
            <w:vAlign w:val="bottom"/>
            <w:shd w:val="clear" w:color="auto" w:fill="CFF0FC"/>
          </w:tcPr>
          <w:p>
            <w:pPr>
              <w:spacing w:after="0"/>
              <w:rPr>
                <w:sz w:val="20"/>
                <w:szCs w:val="20"/>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3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3,950</w:t>
            </w: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w:t>
            </w:r>
          </w:p>
        </w:tc>
        <w:tc>
          <w:tcPr>
            <w:tcW w:w="140" w:type="dxa"/>
            <w:vAlign w:val="bottom"/>
          </w:tcPr>
          <w:p>
            <w:pPr>
              <w:spacing w:after="0"/>
              <w:rPr>
                <w:sz w:val="21"/>
                <w:szCs w:val="21"/>
                <w:color w:val="auto"/>
              </w:rPr>
            </w:pPr>
          </w:p>
        </w:tc>
      </w:tr>
      <w:tr>
        <w:trPr>
          <w:trHeight w:val="276"/>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5,979</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11,354</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3"/>
        </w:trPr>
        <w:tc>
          <w:tcPr>
            <w:tcW w:w="4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4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-376555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-359410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-376555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-359410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-376555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-359410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-359410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color w:val="231F20"/>
        </w:rPr>
        <w:t>Total stock-based compensation expense, by award type, recorded in the unaudited condensed consolidated statements of operations and comprehensive income for the periods presented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39"/>
        </w:trPr>
        <w:tc>
          <w:tcPr>
            <w:tcW w:w="4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41"/>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Time Vesting Options</w:t>
            </w: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231F20"/>
                <w:w w:val="79"/>
              </w:rPr>
              <w:t>$</w:t>
            </w:r>
          </w:p>
        </w:tc>
        <w:tc>
          <w:tcPr>
            <w:tcW w:w="6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231F20"/>
              </w:rPr>
              <w:t>1,774</w:t>
            </w:r>
          </w:p>
        </w:tc>
        <w:tc>
          <w:tcPr>
            <w:tcW w:w="1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231F20"/>
                <w:w w:val="79"/>
              </w:rPr>
              <w:t>$</w:t>
            </w:r>
          </w:p>
        </w:tc>
        <w:tc>
          <w:tcPr>
            <w:tcW w:w="6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w w:val="97"/>
              </w:rPr>
              <w:t>1,947</w:t>
            </w: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231F20"/>
                <w:w w:val="79"/>
              </w:rPr>
              <w:t>$</w:t>
            </w:r>
          </w:p>
        </w:tc>
        <w:tc>
          <w:tcPr>
            <w:tcW w:w="13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rPr>
              <w:t>3,370</w:t>
            </w:r>
          </w:p>
        </w:tc>
        <w:tc>
          <w:tcPr>
            <w:tcW w:w="2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231F20"/>
                <w:w w:val="79"/>
              </w:rPr>
              <w:t>$</w:t>
            </w:r>
          </w:p>
        </w:tc>
        <w:tc>
          <w:tcPr>
            <w:tcW w:w="13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rPr>
              <w:t>3,867</w:t>
            </w: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RSUs</w:t>
            </w:r>
          </w:p>
        </w:tc>
        <w:tc>
          <w:tcPr>
            <w:tcW w:w="100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231F20"/>
              </w:rPr>
              <w:t>3,961</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231F20"/>
                <w:w w:val="97"/>
              </w:rPr>
              <w:t>3,692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231F20"/>
              </w:rPr>
              <w:t>7,440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231F20"/>
              </w:rPr>
              <w:t>6,918</w:t>
            </w: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2021 ESPP</w:t>
            </w:r>
          </w:p>
        </w:tc>
        <w:tc>
          <w:tcPr>
            <w:tcW w:w="10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231F20"/>
              </w:rPr>
              <w:t>258</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rPr>
              <w:t>340</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rPr>
              <w:t>544</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231F20"/>
              </w:rPr>
              <w:t>713</w:t>
            </w: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5,993</w:t>
            </w:r>
          </w:p>
        </w:tc>
        <w:tc>
          <w:tcPr>
            <w:tcW w:w="122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5,979</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11,354</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11,498</w:t>
            </w:r>
          </w:p>
        </w:tc>
      </w:tr>
      <w:tr>
        <w:trPr>
          <w:trHeight w:val="20"/>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-187960</wp:posOffset>
            </wp:positionV>
            <wp:extent cx="12001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12001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20015"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 xml:space="preserve">As of June 30, 2023, total </w:t>
      </w:r>
      <w:r>
        <w:rPr>
          <w:rFonts w:ascii="Arial" w:cs="Arial" w:eastAsia="Arial" w:hAnsi="Arial"/>
          <w:sz w:val="18"/>
          <w:szCs w:val="18"/>
          <w:color w:val="000000"/>
        </w:rPr>
        <w:t>unrecognized</w:t>
      </w:r>
      <w:r>
        <w:rPr>
          <w:rFonts w:ascii="Arial" w:cs="Arial" w:eastAsia="Arial" w:hAnsi="Arial"/>
          <w:sz w:val="18"/>
          <w:szCs w:val="18"/>
          <w:color w:val="231F20"/>
        </w:rPr>
        <w:t xml:space="preserve"> compensation expense related to unvested Time Vesting Options was </w:t>
      </w:r>
      <w:r>
        <w:rPr>
          <w:rFonts w:ascii="Arial" w:cs="Arial" w:eastAsia="Arial" w:hAnsi="Arial"/>
          <w:sz w:val="18"/>
          <w:szCs w:val="18"/>
          <w:color w:val="000000"/>
        </w:rPr>
        <w:t>$10,732</w:t>
      </w:r>
      <w:r>
        <w:rPr>
          <w:rFonts w:ascii="Arial" w:cs="Arial" w:eastAsia="Arial" w:hAnsi="Arial"/>
          <w:sz w:val="18"/>
          <w:szCs w:val="18"/>
          <w:color w:val="231F20"/>
        </w:rPr>
        <w:t>, which is expected to be recognized over a weighted-average period of 2.72 years.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 xml:space="preserve">As of June 30, 2023, </w:t>
      </w:r>
      <w:r>
        <w:rPr>
          <w:rFonts w:ascii="Arial" w:cs="Arial" w:eastAsia="Arial" w:hAnsi="Arial"/>
          <w:sz w:val="18"/>
          <w:szCs w:val="18"/>
          <w:color w:val="000000"/>
        </w:rPr>
        <w:t>there was no unrecognized compensation expense related to unvested</w:t>
      </w:r>
      <w:r>
        <w:rPr>
          <w:rFonts w:ascii="Arial" w:cs="Arial" w:eastAsia="Arial" w:hAnsi="Arial"/>
          <w:sz w:val="18"/>
          <w:szCs w:val="18"/>
          <w:color w:val="231F20"/>
        </w:rPr>
        <w:t xml:space="preserve"> Performance Vesting Options </w:t>
      </w:r>
      <w:r>
        <w:rPr>
          <w:rFonts w:ascii="Arial" w:cs="Arial" w:eastAsia="Arial" w:hAnsi="Arial"/>
          <w:sz w:val="18"/>
          <w:szCs w:val="18"/>
          <w:color w:val="000000"/>
        </w:rPr>
        <w:t>as the completion of the IPO</w:t>
      </w:r>
      <w:r>
        <w:rPr>
          <w:rFonts w:ascii="Arial" w:cs="Arial" w:eastAsia="Arial" w:hAnsi="Arial"/>
          <w:sz w:val="18"/>
          <w:szCs w:val="18"/>
          <w:color w:val="231F20"/>
        </w:rPr>
        <w:t xml:space="preserve"> </w:t>
      </w:r>
      <w:r>
        <w:rPr>
          <w:rFonts w:ascii="Arial" w:cs="Arial" w:eastAsia="Arial" w:hAnsi="Arial"/>
          <w:sz w:val="18"/>
          <w:szCs w:val="18"/>
          <w:color w:val="000000"/>
        </w:rPr>
        <w:t xml:space="preserve">satisfied the performance condition and as a result, all outstanding </w:t>
      </w:r>
      <w:r>
        <w:rPr>
          <w:rFonts w:ascii="Arial" w:cs="Arial" w:eastAsia="Arial" w:hAnsi="Arial"/>
          <w:sz w:val="18"/>
          <w:szCs w:val="18"/>
          <w:color w:val="231F20"/>
        </w:rPr>
        <w:t>Performance Vesting Options vested.</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 xml:space="preserve">As of June 30, 2023, total unrecognized compensation expense related to unvested RSUs was </w:t>
      </w:r>
      <w:r>
        <w:rPr>
          <w:rFonts w:ascii="Arial" w:cs="Arial" w:eastAsia="Arial" w:hAnsi="Arial"/>
          <w:sz w:val="18"/>
          <w:szCs w:val="18"/>
          <w:color w:val="000000"/>
        </w:rPr>
        <w:t>$28,753</w:t>
      </w:r>
      <w:r>
        <w:rPr>
          <w:rFonts w:ascii="Arial" w:cs="Arial" w:eastAsia="Arial" w:hAnsi="Arial"/>
          <w:sz w:val="18"/>
          <w:szCs w:val="18"/>
          <w:color w:val="231F20"/>
        </w:rPr>
        <w:t>, which is expected to be recognized over a weighted-average period of 2.73 years.</w:t>
      </w:r>
    </w:p>
    <w:p>
      <w:pPr>
        <w:spacing w:after="0" w:line="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231F20"/>
        </w:rPr>
        <w:t xml:space="preserve">As of June 30, 2023, total unrecognized compensation expense related to unvested stock purchase rights under the 2021 ESPP was </w:t>
      </w:r>
      <w:r>
        <w:rPr>
          <w:rFonts w:ascii="Arial" w:cs="Arial" w:eastAsia="Arial" w:hAnsi="Arial"/>
          <w:sz w:val="18"/>
          <w:szCs w:val="18"/>
          <w:color w:val="000000"/>
        </w:rPr>
        <w:t>$329</w:t>
      </w:r>
      <w:r>
        <w:rPr>
          <w:rFonts w:ascii="Arial" w:cs="Arial" w:eastAsia="Arial" w:hAnsi="Arial"/>
          <w:sz w:val="18"/>
          <w:szCs w:val="18"/>
          <w:color w:val="231F20"/>
        </w:rPr>
        <w:t>, which is expected to be recognized over a weighted-average period of 0.38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Business Combinations</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31F20"/>
        </w:rPr>
        <w:t>From time to time, we may pursue acquisitions of conveyorized car washes that either strategically fit with the business or expand our presence in new and attractive markets.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The unaudited condensed consolidated financial statements reflect the operations of an acquired business starting from the effective date of the acquisition. We expensed $33 and $306 of acquisition-related costs for the three months ended June 30, 2023 and 2022, respectively. We expensed $33 and $435 of acquisition-related costs for the six months ended June 30, 2023 and 2022, respectively. These acquisition-related costs are expensed as incurred and are included in general and administrative expenses in the accompanying unaudited condensed consolidated statements of operations and comprehensive income.</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231F20"/>
        </w:rPr>
        <w:t>For the three and six months ended June 30, 2023, no goodwill was recorded. For the three and six months ended June 30, 2022, the amount of acquired goodwill not deductible for income tax purposes was $386.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2023 Acquisition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During the three and six months ended June 30, 2023, we acquired the assets and liabilities of one conveyorized car wash in one acquisition for total consideration of $4,985, which was paid in cash. This acquisition resulted in the preliminary recognition of $5,369 of property and equipment, $130 of intangible assets, $137 of other net liabilities and $376 of a bargain purchase gain. The bargain purchase gain is not material and is recorded within Gain on sale of assets, net on the condensed consolidated statements of operations and comprehensive income. We do not believe this acquisition is material to our overall consolidated financial statements.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231F20"/>
              </w:rPr>
              <w:t>The acquisition was located in the following market:</w:t>
            </w: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1"/>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3560" w:type="dxa"/>
            <w:vAlign w:val="bottom"/>
            <w:tcBorders>
              <w:bottom w:val="single" w:sz="8" w:color="auto"/>
            </w:tcBorders>
          </w:tcPr>
          <w:p>
            <w:pPr>
              <w:jc w:val="center"/>
              <w:ind w:left="1750"/>
              <w:spacing w:after="0"/>
              <w:rPr>
                <w:sz w:val="20"/>
                <w:szCs w:val="20"/>
                <w:color w:val="auto"/>
              </w:rPr>
            </w:pPr>
            <w:r>
              <w:rPr>
                <w:rFonts w:ascii="Arial" w:cs="Arial" w:eastAsia="Arial" w:hAnsi="Arial"/>
                <w:sz w:val="18"/>
                <w:szCs w:val="18"/>
                <w:b w:val="1"/>
                <w:bCs w:val="1"/>
                <w:color w:val="auto"/>
                <w:w w:val="88"/>
              </w:rPr>
              <w:t>Number of Washes</w:t>
            </w:r>
          </w:p>
        </w:tc>
        <w:tc>
          <w:tcPr>
            <w:tcW w:w="2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Month Acquired</w:t>
            </w: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Arizona (Dynamite Car Wash)</w:t>
            </w:r>
          </w:p>
        </w:tc>
        <w:tc>
          <w:tcPr>
            <w:tcW w:w="356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April</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2022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For the year ended December 31, 2022, we acquired the assets and liabilities of 11 conveyorized car washes in four acquisitions for total consideration of approximately $98,548, which was paid in cash. These acquisitions resulted in the preliminary recognition of $57,856 of goodwill, $37,174 of property and equipment, $1,540 of intangible assets related to covenant not to compete, $1,978 of other assets and liabilities. There were no adjustments related to 2022 acquisitions in the current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231F20"/>
        </w:rPr>
        <w:t>The weighted-average amortization period for the acquired covenants not to compete is 5.0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231F20"/>
              </w:rPr>
              <w:t>The acquisitions were located in the following markets:</w:t>
            </w: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95"/>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 (Seller)</w:t>
            </w:r>
          </w:p>
        </w:tc>
        <w:tc>
          <w:tcPr>
            <w:tcW w:w="3460" w:type="dxa"/>
            <w:vAlign w:val="bottom"/>
            <w:tcBorders>
              <w:bottom w:val="single" w:sz="8" w:color="auto"/>
            </w:tcBorders>
          </w:tcPr>
          <w:p>
            <w:pPr>
              <w:jc w:val="center"/>
              <w:ind w:left="1650"/>
              <w:spacing w:after="0"/>
              <w:rPr>
                <w:sz w:val="20"/>
                <w:szCs w:val="20"/>
                <w:color w:val="auto"/>
              </w:rPr>
            </w:pPr>
            <w:r>
              <w:rPr>
                <w:rFonts w:ascii="Arial" w:cs="Arial" w:eastAsia="Arial" w:hAnsi="Arial"/>
                <w:sz w:val="18"/>
                <w:szCs w:val="18"/>
                <w:b w:val="1"/>
                <w:bCs w:val="1"/>
                <w:color w:val="auto"/>
                <w:w w:val="88"/>
              </w:rPr>
              <w:t>Number of Washes</w:t>
            </w:r>
          </w:p>
        </w:tc>
        <w:tc>
          <w:tcPr>
            <w:tcW w:w="2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Month Acquired</w:t>
            </w:r>
          </w:p>
        </w:tc>
      </w:tr>
      <w:tr>
        <w:trPr>
          <w:trHeight w:val="24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Georgia (Bamboo Carwash)</w:t>
            </w:r>
          </w:p>
        </w:tc>
        <w:tc>
          <w:tcPr>
            <w:tcW w:w="3460" w:type="dxa"/>
            <w:vAlign w:val="bottom"/>
            <w:shd w:val="clear" w:color="auto" w:fill="CFF0FC"/>
          </w:tcPr>
          <w:p>
            <w:pPr>
              <w:jc w:val="center"/>
              <w:ind w:left="1650"/>
              <w:spacing w:after="0"/>
              <w:rPr>
                <w:sz w:val="20"/>
                <w:szCs w:val="20"/>
                <w:color w:val="auto"/>
              </w:rPr>
            </w:pPr>
            <w:r>
              <w:rPr>
                <w:rFonts w:ascii="Arial" w:cs="Arial" w:eastAsia="Arial" w:hAnsi="Arial"/>
                <w:sz w:val="18"/>
                <w:szCs w:val="18"/>
                <w:color w:val="auto"/>
                <w:w w:val="79"/>
              </w:rPr>
              <w:t>1</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April</w:t>
            </w: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California (Speedwash)</w:t>
            </w:r>
          </w:p>
        </w:tc>
        <w:tc>
          <w:tcPr>
            <w:tcW w:w="3460" w:type="dxa"/>
            <w:vAlign w:val="bottom"/>
          </w:tcPr>
          <w:p>
            <w:pPr>
              <w:jc w:val="center"/>
              <w:ind w:left="1650"/>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April</w:t>
            </w:r>
          </w:p>
        </w:tc>
      </w:tr>
      <w:tr>
        <w:trPr>
          <w:trHeight w:val="24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Minnesota (Top Wash)</w:t>
            </w:r>
          </w:p>
        </w:tc>
        <w:tc>
          <w:tcPr>
            <w:tcW w:w="3460" w:type="dxa"/>
            <w:vAlign w:val="bottom"/>
            <w:shd w:val="clear" w:color="auto" w:fill="CFF0FC"/>
          </w:tcPr>
          <w:p>
            <w:pPr>
              <w:jc w:val="center"/>
              <w:ind w:left="1650"/>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August</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California (Rapid Xpress)</w:t>
            </w:r>
          </w:p>
        </w:tc>
        <w:tc>
          <w:tcPr>
            <w:tcW w:w="3460" w:type="dxa"/>
            <w:vAlign w:val="bottom"/>
          </w:tcPr>
          <w:p>
            <w:pPr>
              <w:jc w:val="center"/>
              <w:ind w:left="165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December</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15.  Commitments and Contingencies</w:t>
      </w:r>
    </w:p>
    <w:p>
      <w:pPr>
        <w:spacing w:after="0" w:line="12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231F20"/>
        </w:rPr>
        <w:t>From time to time, we are party to pending or threatened lawsuits arising out of or incident to the ordinary course of business. We carry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Class Action Litigation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14, 2023, a plaintiff filed a purported class action lawsuit in the Stanislaus County Superior Court, California, on behalf of all non-exempt employees employed by Defendants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The mediation is currently scheduled for October 19, 2023. Management believes, based on currently available information, that the ultimate outcome of the proceeding described above will not have a material adverse effect on the Company’s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Insurance</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231F20"/>
        </w:rPr>
        <w:t xml:space="preserve">We carry a broad range of insurance coverage, including general and business auto liability, commercial property, workers’ compensation, cyber risk, and general umbrella policies. As of June 30, 2023 and December 31, 2022, we accrued </w:t>
      </w:r>
      <w:r>
        <w:rPr>
          <w:rFonts w:ascii="Arial" w:cs="Arial" w:eastAsia="Arial" w:hAnsi="Arial"/>
          <w:sz w:val="17"/>
          <w:szCs w:val="17"/>
          <w:color w:val="000000"/>
        </w:rPr>
        <w:t>$3,257 and</w:t>
      </w:r>
      <w:r>
        <w:rPr>
          <w:rFonts w:ascii="Arial" w:cs="Arial" w:eastAsia="Arial" w:hAnsi="Arial"/>
          <w:sz w:val="17"/>
          <w:szCs w:val="17"/>
          <w:color w:val="231F20"/>
        </w:rPr>
        <w:t xml:space="preserve"> $3,230, respectively, for assessments on insurance claims filed, which are included in other accrued expenses in the accompanying unaudited condensed consolidated balance sheets. As of June 30, 2023 and December 31, 2022, we recorded </w:t>
      </w:r>
      <w:r>
        <w:rPr>
          <w:rFonts w:ascii="Arial" w:cs="Arial" w:eastAsia="Arial" w:hAnsi="Arial"/>
          <w:sz w:val="17"/>
          <w:szCs w:val="17"/>
          <w:color w:val="000000"/>
        </w:rPr>
        <w:t>$2,651 and</w:t>
      </w:r>
      <w:r>
        <w:rPr>
          <w:rFonts w:ascii="Arial" w:cs="Arial" w:eastAsia="Arial" w:hAnsi="Arial"/>
          <w:sz w:val="17"/>
          <w:szCs w:val="17"/>
          <w:color w:val="231F20"/>
        </w:rPr>
        <w:t xml:space="preserve"> $2,627, respectively, in receivables from its non-healthcare insurance carriers related to these insurance claims, which are included in other receivables in the accompanying unaudited condensed consolidated balance sheets. The receivables are paid when the claim is finalized and the reserved amounts on these claims are expected to be paid within one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Environmental Matters</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Operations at certain facilities currently or previously owned or leased by us utilize, or in the past have utilized, hazardous substances generally in compliance with applicable law. Periodically, we have had minor claims asserted against it by regulatory agencies or private parties for environmental matters relating to the handling of hazardous substances by us, and it has incurred obligations for 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June 30, 2023.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our unaudited condensed consolidated financial statements.</w:t>
      </w:r>
    </w:p>
    <w:p>
      <w:pPr>
        <w:spacing w:after="0" w:line="7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June 30, 2023 and December 31, 2022, we recorded an environmental remediation accrual of $10 and $12, which is included in other accrued expenses in the accompanying unaudited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231F20"/>
        </w:rPr>
        <w:t>16.  Subsequent Events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July 18, 2023, we acquired 100 percent of the outstanding assets of Cruizers Express Car Wash ("Cruizers"), which consisted of five express car wash locations in Los Angeles, CA. Due to the timing of this acquisition, the initial accounting, including estimating the fair value of assets acquired, has not yet been completed.</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and the audited consolidated financial statements and related notes included in our 2022 Form 10-K. This discussion contains forward-looking statements based upon our current plans, expectations and beliefs. These forward-looking statements involve risks and uncertainties, and our actual results may differ materially from those anticipated in these forward-looking statements as a result of various factors, including those set forth in other parts of this Quarterly Report on Form 10-Q and in Part I, Item 1A. “Risk Factors” and in Part II. Item 7. “Management’s Discussion and Analysis of Financial Condition and Results of Operations” of our 2022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Mister Car Wash, Inc. is the largest national car wash brand, primarily offering express exterior cleaning services, with interior cleaning services at select locations, across 449 car washes in 21 states as of June 30, 2023. Founded in 1996, we employ an efficient, repeatable, and scalable process, which we call the “Mister Experience,” to deliver a clean, dry, and shiny car every time. The core pillars of the “Mister Experience” are greeting every customer with a wave and smile, providing the highest quality car wash, and delivering the experience quickly and conveniently. We offer a monthly subscription program, which we call the Unlimited Wash Club</w:t>
      </w:r>
      <w:r>
        <w:rPr>
          <w:rFonts w:ascii="Arial" w:cs="Arial" w:eastAsia="Arial" w:hAnsi="Arial"/>
          <w:sz w:val="13"/>
          <w:szCs w:val="13"/>
          <w:color w:val="auto"/>
        </w:rPr>
        <w:t>®</w:t>
      </w:r>
      <w:r>
        <w:rPr>
          <w:rFonts w:ascii="Arial" w:cs="Arial" w:eastAsia="Arial" w:hAnsi="Arial"/>
          <w:sz w:val="17"/>
          <w:szCs w:val="17"/>
          <w:color w:val="auto"/>
        </w:rPr>
        <w:t xml:space="preserve"> (“UWC”), as a flexible, quick, and convenient option for customers to keep their cars clean. Our scale and over 25 years of innovation allow us to drive operating efficiencies and invest in training, infrastructure, and technology that improve speed of service, quality, and sustainability, which we believe help us to realize strong financial performance.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Trends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believe that our business and growth depend on a number of factors that present significant opportunities for us and may pose risks and challenges, including those discussed below and in Part I, Item 1A. “Risk Factors” of our 2022 Form 10-K.</w:t>
      </w:r>
    </w:p>
    <w:p>
      <w:pPr>
        <w:spacing w:after="0" w:line="116" w:lineRule="exact"/>
        <w:rPr>
          <w:sz w:val="20"/>
          <w:szCs w:val="20"/>
          <w:color w:val="auto"/>
        </w:rPr>
      </w:pPr>
    </w:p>
    <w:p>
      <w:pPr>
        <w:ind w:left="540" w:right="140" w:hanging="381"/>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Growth in comparable store sales. </w:t>
      </w:r>
      <w:r>
        <w:rPr>
          <w:rFonts w:ascii="Arial" w:cs="Arial" w:eastAsia="Arial" w:hAnsi="Arial"/>
          <w:sz w:val="18"/>
          <w:szCs w:val="18"/>
          <w:color w:val="auto"/>
        </w:rPr>
        <w:t>Comparable store sales have been a driver of our net revenue growth and we expect it to continue to play a key</w:t>
      </w:r>
      <w:r>
        <w:rPr>
          <w:rFonts w:ascii="Arial" w:cs="Arial" w:eastAsia="Arial" w:hAnsi="Arial"/>
          <w:sz w:val="18"/>
          <w:szCs w:val="18"/>
          <w:i w:val="1"/>
          <w:iCs w:val="1"/>
          <w:color w:val="auto"/>
        </w:rPr>
        <w:t xml:space="preserve"> </w:t>
      </w:r>
      <w:r>
        <w:rPr>
          <w:rFonts w:ascii="Arial" w:cs="Arial" w:eastAsia="Arial" w:hAnsi="Arial"/>
          <w:sz w:val="18"/>
          <w:szCs w:val="18"/>
          <w:color w:val="auto"/>
        </w:rPr>
        <w:t>role in our future growth and profitability. We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146" w:lineRule="exact"/>
        <w:rPr>
          <w:rFonts w:ascii="Arial" w:cs="Arial" w:eastAsia="Arial" w:hAnsi="Arial"/>
          <w:sz w:val="18"/>
          <w:szCs w:val="18"/>
          <w:color w:val="auto"/>
        </w:rPr>
      </w:pPr>
    </w:p>
    <w:p>
      <w:pPr>
        <w:ind w:left="540" w:right="140" w:hanging="381"/>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Number and loyalty of UWC Members</w:t>
      </w:r>
      <w:r>
        <w:rPr>
          <w:rFonts w:ascii="Arial" w:cs="Arial" w:eastAsia="Arial" w:hAnsi="Arial"/>
          <w:sz w:val="18"/>
          <w:szCs w:val="18"/>
          <w:color w:val="auto"/>
        </w:rPr>
        <w:t>. Members of our monthly subscription service are known as Unlimited Wash Club Members, or UWC</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The UWC program is a critical element of our business. UWC Members contribute a significant portion of our net revenue and provide recurring revenue through their monthly membership fees.</w:t>
      </w:r>
    </w:p>
    <w:p>
      <w:pPr>
        <w:spacing w:after="0" w:line="143" w:lineRule="exact"/>
        <w:rPr>
          <w:rFonts w:ascii="Arial" w:cs="Arial" w:eastAsia="Arial" w:hAnsi="Arial"/>
          <w:sz w:val="18"/>
          <w:szCs w:val="18"/>
          <w:color w:val="auto"/>
        </w:rPr>
      </w:pPr>
    </w:p>
    <w:p>
      <w:pPr>
        <w:ind w:left="540" w:hanging="381"/>
        <w:spacing w:after="0" w:line="25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Labor management. </w:t>
      </w:r>
      <w:r>
        <w:rPr>
          <w:rFonts w:ascii="Arial" w:cs="Arial" w:eastAsia="Arial" w:hAnsi="Arial"/>
          <w:sz w:val="18"/>
          <w:szCs w:val="18"/>
          <w:color w:val="auto"/>
        </w:rPr>
        <w:t>Hiring and retaining skilled team members and experienced management represents one of our largest costs. We believe people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results have been and may in the future be, affected by the following factors, which must be understood in order to assess the comparability of our period-to-period financial performance and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Greenfield Location Development</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More recently, a component of our growth strategy has been to grow through greenfield development of Mister Car Wash locations, with particular focus on Express Exterior Locations, and we anticipate further pursuit of this strategy in the future. In the three and six months ended June 30, 2023, we successfully opened nine and 13 greenfield locations, respectively, with the expectation of driving the majority of our future location growth through greenfield development. We believe such a strategy will drive a more controllable pipeline of comparable store sales growth and unit growth for future locations in existing and adjacent markets.</w:t>
      </w:r>
    </w:p>
    <w:p>
      <w:pPr>
        <w:spacing w:after="0" w:line="80"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comparability of our results may be impacted by the inclusion of the financial performance of greenfield locations that have not delivered a full fiscal year of financial results nor matured to average unit volumes, which we typically expect after approximately three full years of operation.</w:t>
      </w: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June 30, 2023, we completed one acquisition of one property that operated as a conveyorized car wash.</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Following an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modernized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14 Business Combinations to our unaudited condensed consolidated financial statements included elsewhere in this Quarterly Report on Form 10-Q for additional discussion.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three and six months ended June 30, 2023 and 2022.</w:t>
      </w: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5"/>
              </w:rPr>
              <w:t>Three Months Ended June 30,</w:t>
            </w:r>
          </w:p>
        </w:tc>
        <w:tc>
          <w:tcPr>
            <w:tcW w:w="30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8"/>
                <w:szCs w:val="18"/>
                <w:b w:val="1"/>
                <w:bCs w:val="1"/>
                <w:color w:val="auto"/>
              </w:rPr>
              <w:t>Six Months Ended June 30,</w:t>
            </w:r>
          </w:p>
        </w:tc>
      </w:tr>
      <w:tr>
        <w:trPr>
          <w:trHeight w:val="243"/>
        </w:trPr>
        <w:tc>
          <w:tcPr>
            <w:tcW w:w="4040" w:type="dxa"/>
            <w:vAlign w:val="bottom"/>
          </w:tcPr>
          <w:p>
            <w:pPr>
              <w:ind w:left="118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and Operating Data</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Location count (end of period)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Comparable store sales growth</w:t>
            </w:r>
          </w:p>
        </w:tc>
        <w:tc>
          <w:tcPr>
            <w:tcW w:w="2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0.3 %</w:t>
            </w:r>
          </w:p>
        </w:tc>
        <w:tc>
          <w:tcPr>
            <w:tcW w:w="3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2 %</w:t>
            </w:r>
          </w:p>
        </w:tc>
        <w:tc>
          <w:tcPr>
            <w:tcW w:w="3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22"/>
                <w:szCs w:val="22"/>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UWC Members (in thousands, end of period)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2,065</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2,065</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UWC sales as a percentage of total wash sales</w:t>
            </w:r>
          </w:p>
        </w:tc>
        <w:tc>
          <w:tcPr>
            <w:tcW w:w="2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69 %</w:t>
            </w:r>
          </w:p>
        </w:tc>
        <w:tc>
          <w:tcPr>
            <w:tcW w:w="3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66 %</w:t>
            </w:r>
          </w:p>
        </w:tc>
        <w:tc>
          <w:tcPr>
            <w:tcW w:w="3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20" w:type="dxa"/>
            <w:vAlign w:val="bottom"/>
          </w:tcPr>
          <w:p>
            <w:pPr>
              <w:spacing w:after="0"/>
              <w:rPr>
                <w:sz w:val="22"/>
                <w:szCs w:val="22"/>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27,132</w:t>
            </w:r>
          </w:p>
        </w:tc>
        <w:tc>
          <w:tcPr>
            <w:tcW w:w="3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35,659</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48,268</w:t>
            </w:r>
          </w:p>
        </w:tc>
        <w:tc>
          <w:tcPr>
            <w:tcW w:w="3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71,147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income margin</w:t>
            </w:r>
          </w:p>
        </w:tc>
        <w:tc>
          <w:tcPr>
            <w:tcW w:w="2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11.5 %</w:t>
            </w:r>
          </w:p>
        </w:tc>
        <w:tc>
          <w:tcPr>
            <w:tcW w:w="3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15.8 %</w:t>
            </w:r>
          </w:p>
        </w:tc>
        <w:tc>
          <w:tcPr>
            <w:tcW w:w="30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16.0 %</w:t>
            </w:r>
          </w:p>
        </w:tc>
        <w:tc>
          <w:tcPr>
            <w:tcW w:w="20" w:type="dxa"/>
            <w:vAlign w:val="bottom"/>
          </w:tcPr>
          <w:p>
            <w:pPr>
              <w:spacing w:after="0"/>
              <w:rPr>
                <w:sz w:val="22"/>
                <w:szCs w:val="22"/>
                <w:color w:val="auto"/>
              </w:rPr>
            </w:pPr>
          </w:p>
        </w:tc>
      </w:tr>
      <w:tr>
        <w:trPr>
          <w:trHeight w:val="243"/>
        </w:trPr>
        <w:tc>
          <w:tcPr>
            <w:tcW w:w="4040" w:type="dxa"/>
            <w:vAlign w:val="bottom"/>
          </w:tcPr>
          <w:p>
            <w:pPr>
              <w:spacing w:after="0" w:line="243"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73,860</w:t>
            </w:r>
          </w:p>
        </w:tc>
        <w:tc>
          <w:tcPr>
            <w:tcW w:w="3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74,476</w:t>
            </w:r>
          </w:p>
        </w:tc>
        <w:tc>
          <w:tcPr>
            <w:tcW w:w="3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144,836</w:t>
            </w:r>
          </w:p>
        </w:tc>
        <w:tc>
          <w:tcPr>
            <w:tcW w:w="3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149,325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4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4"/>
                <w:szCs w:val="24"/>
                <w:color w:val="auto"/>
                <w:vertAlign w:val="superscript"/>
              </w:rPr>
              <w:t>(1)</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31.2 %</w:t>
            </w: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33.1 %</w:t>
            </w:r>
          </w:p>
        </w:tc>
        <w:tc>
          <w:tcPr>
            <w:tcW w:w="3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33.6 %</w:t>
            </w:r>
          </w:p>
        </w:tc>
        <w:tc>
          <w:tcPr>
            <w:tcW w:w="20" w:type="dxa"/>
            <w:vAlign w:val="bottom"/>
          </w:tcPr>
          <w:p>
            <w:pPr>
              <w:spacing w:after="0"/>
              <w:rPr>
                <w:sz w:val="21"/>
                <w:szCs w:val="21"/>
                <w:color w:val="auto"/>
              </w:rPr>
            </w:pPr>
          </w:p>
        </w:tc>
      </w:tr>
    </w:tbl>
    <w:p>
      <w:pPr>
        <w:spacing w:after="0" w:line="89" w:lineRule="exact"/>
        <w:rPr>
          <w:sz w:val="20"/>
          <w:szCs w:val="20"/>
          <w:color w:val="auto"/>
        </w:rPr>
      </w:pPr>
    </w:p>
    <w:p>
      <w:pPr>
        <w:ind w:left="520" w:right="320" w:hanging="3"/>
        <w:spacing w:after="0" w:line="253" w:lineRule="auto"/>
        <w:tabs>
          <w:tab w:leader="none" w:pos="808"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“Adjusted EBITDA and Adjusted EBITDA Margin” below for more information and for a reconciliation of these measures to Net income and Net income margin, the most directly comparable financial measures calculated and presented in accordance with U.S. GAAP.</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Count (end of period)</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location count refers to the total number of car wash locations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the three and six months ended June 30, 2023, we increased our location count by the nine and 13 greenfield locations noted above, respectively, and one acquisition, offset by one location that was closed during the first quarter.</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Express Exterior Locations, which offer express exterior cleaning services, comprise 375 of our current locations and our Interior Cleaning Locations, which offer both express exterior cleaning services and interior cleaning services, comprise 74 of our current locations.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 Growth</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consider a location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Opening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For the three months ended June 30, 2023, comparable store sales increased 0.3% compared to an increase of 2% in the three months ended June 30, 2022.</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UWC Members (end of period)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2.1 million and approximately 1.8 million UWC Members as of June 30, 2023 and June 30, 2022, respectively. There were approximately 1.9 million UWC Members as of December 31, 2022.</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UWC Members grew by approximately 12% from June 30, 2022 through June 30, 2023 and approximately 10% from December 31, 2022 through June 30,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UWC Sales as a Percentage of Total Wash Sales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UWC sales as a percentage of total wash sales represents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We have consistently grown this measure over time as we educate customers as to the value of our subscription offering. UWC sales were 69% and 66% of our total wash sales for the three months ended June 30, 2023 and 2022, respectively. UWC sales were 69% and 65% of our total wash sales for the six months ended June 30, 2023 and 2022,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expenses associated with the completion of our initial public offering, or IPO, in June 2021, and other nonrecurring charges. Adjusted EBITDA margin is defined as Adjusted EBITDA divided by net revenues for a given period.</w:t>
      </w:r>
    </w:p>
    <w:p>
      <w:pPr>
        <w:spacing w:after="0" w:line="8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5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Amended First Lien Credit Agreement uses measures similar to Adjusted EBITDA to measure our compliance with certain covenants.</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116" w:lineRule="exact"/>
        <w:rPr>
          <w:sz w:val="20"/>
          <w:szCs w:val="20"/>
          <w:color w:val="auto"/>
        </w:rPr>
      </w:pPr>
    </w:p>
    <w:p>
      <w:pPr>
        <w:ind w:left="540" w:hanging="381"/>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 or future requirements for capital expenditures or contractual commitments;</w:t>
      </w:r>
    </w:p>
    <w:p>
      <w:pPr>
        <w:spacing w:after="0" w:line="211" w:lineRule="exact"/>
        <w:rPr>
          <w:rFonts w:ascii="Arial" w:cs="Arial" w:eastAsia="Arial" w:hAnsi="Arial"/>
          <w:sz w:val="18"/>
          <w:szCs w:val="18"/>
          <w:color w:val="auto"/>
        </w:rPr>
      </w:pPr>
    </w:p>
    <w:p>
      <w:pPr>
        <w:ind w:left="540" w:hanging="381"/>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changes in our cash requirements for our working capital needs;</w:t>
      </w:r>
    </w:p>
    <w:p>
      <w:pPr>
        <w:spacing w:after="0" w:line="184" w:lineRule="exact"/>
        <w:rPr>
          <w:rFonts w:ascii="Arial" w:cs="Arial" w:eastAsia="Arial" w:hAnsi="Arial"/>
          <w:sz w:val="18"/>
          <w:szCs w:val="18"/>
          <w:color w:val="auto"/>
        </w:rPr>
      </w:pPr>
    </w:p>
    <w:p>
      <w:pPr>
        <w:ind w:left="540" w:hanging="381"/>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and the cash requirements necessary to service interest or principal payments on our debt;</w:t>
      </w:r>
    </w:p>
    <w:p>
      <w:pPr>
        <w:spacing w:after="0" w:line="207" w:lineRule="exact"/>
        <w:rPr>
          <w:rFonts w:ascii="Arial" w:cs="Arial" w:eastAsia="Arial" w:hAnsi="Arial"/>
          <w:sz w:val="16"/>
          <w:szCs w:val="16"/>
          <w:color w:val="auto"/>
        </w:rPr>
      </w:pPr>
    </w:p>
    <w:p>
      <w:pPr>
        <w:ind w:left="540" w:hanging="381"/>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replacement of assets that are being depreciated and amortized;</w:t>
      </w:r>
    </w:p>
    <w:p>
      <w:pPr>
        <w:spacing w:after="0" w:line="184" w:lineRule="exact"/>
        <w:rPr>
          <w:rFonts w:ascii="Arial" w:cs="Arial" w:eastAsia="Arial" w:hAnsi="Arial"/>
          <w:sz w:val="18"/>
          <w:szCs w:val="18"/>
          <w:color w:val="auto"/>
        </w:rPr>
      </w:pPr>
    </w:p>
    <w:p>
      <w:pPr>
        <w:ind w:left="540" w:hanging="381"/>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non-cash compensation, which is a key element of our overall long-term compensation;</w:t>
      </w:r>
    </w:p>
    <w:p>
      <w:pPr>
        <w:spacing w:after="0" w:line="184" w:lineRule="exact"/>
        <w:rPr>
          <w:rFonts w:ascii="Arial" w:cs="Arial" w:eastAsia="Arial" w:hAnsi="Arial"/>
          <w:sz w:val="18"/>
          <w:szCs w:val="18"/>
          <w:color w:val="auto"/>
        </w:rPr>
      </w:pPr>
    </w:p>
    <w:p>
      <w:pPr>
        <w:ind w:left="540" w:right="580" w:hanging="381"/>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does not reflect the impact of certain cash charges or cash receipts resulting from matters we do not find indicative of our ongoing operations; and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left="540" w:hanging="381"/>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w:t>
      </w:r>
    </w:p>
    <w:p>
      <w:pPr>
        <w:spacing w:after="0" w:line="13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Adjusted EBITDA was approximately $73.9 million and $74.5 million in the three months ended June 30, 2023 and 2022, respectively. Our Adjusted EBITDA margin was 31.2% and 33.1% in the three months ended June 30, 2023 and 2022, respectively. The Adjusted EBITDA and Adjusted EBITDA margin results in the three months ended June 30, 2023 compared to the prior year period are primarily attributable to the increase in Other store operating expenses during the three months ended June 30, 2023. Adjusted EBITDA was approximately $144.8 million and $149.3 million in the six months ended June 30, 2023 and 2022, respectively. Our Adjusted EBITDA margin was 31.3% and 33.6% in the six months ended June 30, 2023 and 2022, respectively. The Adjusted EBITDA and Adjusted EBITDA margin results in the six months ended June 30, 2023 compared to the prior year period are primarily attributable to the increase in Other store operating expenses during the six months ended June 30, 2023. The following is a reconciliation of our net income to Adjusted EBITDA for the periods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5"/>
              </w:rPr>
              <w:t>Three Months Ended June 30,</w:t>
            </w:r>
          </w:p>
        </w:tc>
        <w:tc>
          <w:tcPr>
            <w:tcW w:w="280" w:type="dxa"/>
            <w:vAlign w:val="bottom"/>
          </w:tcPr>
          <w:p>
            <w:pPr>
              <w:spacing w:after="0"/>
              <w:rPr>
                <w:sz w:val="20"/>
                <w:szCs w:val="20"/>
                <w:color w:val="auto"/>
              </w:rPr>
            </w:pPr>
          </w:p>
        </w:tc>
        <w:tc>
          <w:tcPr>
            <w:tcW w:w="294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43"/>
        </w:trPr>
        <w:tc>
          <w:tcPr>
            <w:tcW w:w="4620" w:type="dxa"/>
            <w:vAlign w:val="bottom"/>
          </w:tcPr>
          <w:p>
            <w:pPr>
              <w:ind w:left="140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of net income to Adjusted EBITDA:</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6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27,132</w:t>
            </w:r>
          </w:p>
        </w:tc>
        <w:tc>
          <w:tcPr>
            <w:tcW w:w="3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35,659</w:t>
            </w:r>
          </w:p>
        </w:tc>
        <w:tc>
          <w:tcPr>
            <w:tcW w:w="3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48,268</w:t>
            </w:r>
          </w:p>
        </w:tc>
        <w:tc>
          <w:tcPr>
            <w:tcW w:w="3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71,147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18,295</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8,762</w:t>
            </w: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36,043</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2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7,205</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9,894</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16,512</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15,136</w:t>
            </w: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33,819</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20" w:type="dxa"/>
            <w:vAlign w:val="bottom"/>
          </w:tcPr>
          <w:p>
            <w:pPr>
              <w:ind w:left="120"/>
              <w:spacing w:after="0"/>
              <w:rPr>
                <w:sz w:val="20"/>
                <w:szCs w:val="20"/>
                <w:color w:val="auto"/>
              </w:rPr>
            </w:pPr>
            <w:r>
              <w:rPr>
                <w:rFonts w:ascii="Arial" w:cs="Arial" w:eastAsia="Arial" w:hAnsi="Arial"/>
                <w:sz w:val="18"/>
                <w:szCs w:val="18"/>
                <w:color w:val="auto"/>
              </w:rPr>
              <w:t>Gain on sale of assets, net (a)</w:t>
            </w:r>
          </w:p>
        </w:tc>
        <w:tc>
          <w:tcPr>
            <w:tcW w:w="2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(4,728 )</w:t>
            </w:r>
          </w:p>
        </w:tc>
        <w:tc>
          <w:tcPr>
            <w:tcW w:w="30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(3,146 )</w:t>
            </w: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(4,791 )</w:t>
            </w: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(2,687 )</w:t>
            </w:r>
          </w:p>
        </w:tc>
        <w:tc>
          <w:tcPr>
            <w:tcW w:w="20" w:type="dxa"/>
            <w:vAlign w:val="bottom"/>
          </w:tcPr>
          <w:p>
            <w:pPr>
              <w:spacing w:after="0"/>
              <w:rPr>
                <w:sz w:val="20"/>
                <w:szCs w:val="20"/>
                <w:color w:val="auto"/>
              </w:rPr>
            </w:pPr>
          </w:p>
        </w:tc>
      </w:tr>
      <w:tr>
        <w:trPr>
          <w:trHeight w:val="249"/>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Stock-based compensation expense (b)</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20" w:type="dxa"/>
            <w:vAlign w:val="bottom"/>
          </w:tcPr>
          <w:p>
            <w:pPr>
              <w:ind w:left="120"/>
              <w:spacing w:after="0"/>
              <w:rPr>
                <w:sz w:val="20"/>
                <w:szCs w:val="20"/>
                <w:color w:val="auto"/>
              </w:rPr>
            </w:pPr>
            <w:r>
              <w:rPr>
                <w:rFonts w:ascii="Arial" w:cs="Arial" w:eastAsia="Arial" w:hAnsi="Arial"/>
                <w:sz w:val="18"/>
                <w:szCs w:val="18"/>
                <w:color w:val="auto"/>
              </w:rPr>
              <w:t>Acquisition expenses (c)</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Non-cash rent expense (d)</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20" w:type="dxa"/>
            <w:vAlign w:val="bottom"/>
          </w:tcPr>
          <w:p>
            <w:pPr>
              <w:ind w:left="120"/>
              <w:spacing w:after="0"/>
              <w:rPr>
                <w:sz w:val="20"/>
                <w:szCs w:val="20"/>
                <w:color w:val="auto"/>
              </w:rPr>
            </w:pPr>
            <w:r>
              <w:rPr>
                <w:rFonts w:ascii="Arial" w:cs="Arial" w:eastAsia="Arial" w:hAnsi="Arial"/>
                <w:sz w:val="18"/>
                <w:szCs w:val="18"/>
                <w:color w:val="auto"/>
              </w:rPr>
              <w:t>Expenses associated with initial public offering (e)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(14 )</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 (f)</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3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3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73,860</w:t>
            </w:r>
          </w:p>
        </w:tc>
        <w:tc>
          <w:tcPr>
            <w:tcW w:w="3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74,476</w:t>
            </w:r>
          </w:p>
        </w:tc>
        <w:tc>
          <w:tcPr>
            <w:tcW w:w="3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144,836</w:t>
            </w:r>
          </w:p>
        </w:tc>
        <w:tc>
          <w:tcPr>
            <w:tcW w:w="3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236,894</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225,159</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462,854</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444,578</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31.2 %</w:t>
            </w:r>
          </w:p>
        </w:tc>
        <w:tc>
          <w:tcPr>
            <w:tcW w:w="3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33.1 %</w:t>
            </w:r>
          </w:p>
        </w:tc>
        <w:tc>
          <w:tcPr>
            <w:tcW w:w="2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31.3 %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33.6 %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-488315</wp:posOffset>
            </wp:positionV>
            <wp:extent cx="85725"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-488315</wp:posOffset>
            </wp:positionV>
            <wp:extent cx="8572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-488315</wp:posOffset>
            </wp:positionV>
            <wp:extent cx="8572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6" w:lineRule="exact"/>
        <w:rPr>
          <w:sz w:val="20"/>
          <w:szCs w:val="20"/>
          <w:color w:val="auto"/>
        </w:rPr>
      </w:pPr>
    </w:p>
    <w:p>
      <w:pPr>
        <w:ind w:left="1020" w:right="28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(gains) and losses on the disposition of assets associated with sale-leaseback transactions, store closures or the sale of property and equipment.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non-cash expense associated with our share-based payments.</w:t>
      </w:r>
    </w:p>
    <w:p>
      <w:pPr>
        <w:spacing w:after="0" w:line="117" w:lineRule="exact"/>
        <w:rPr>
          <w:rFonts w:ascii="Arial" w:cs="Arial" w:eastAsia="Arial" w:hAnsi="Arial"/>
          <w:sz w:val="18"/>
          <w:szCs w:val="18"/>
          <w:color w:val="auto"/>
        </w:rPr>
      </w:pPr>
    </w:p>
    <w:p>
      <w:pPr>
        <w:ind w:left="1020" w:right="100" w:hanging="503"/>
        <w:spacing w:after="0" w:line="286"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difference between cash paid for rent expense and U.S. GAAP rent expense.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nonrecurring expenses associated with the consummation of our IPO in June 2021.</w:t>
      </w:r>
    </w:p>
    <w:p>
      <w:pPr>
        <w:spacing w:after="0" w:line="117" w:lineRule="exact"/>
        <w:rPr>
          <w:rFonts w:ascii="Arial" w:cs="Arial" w:eastAsia="Arial" w:hAnsi="Arial"/>
          <w:sz w:val="18"/>
          <w:szCs w:val="18"/>
          <w:color w:val="auto"/>
        </w:rPr>
      </w:pPr>
    </w:p>
    <w:p>
      <w:pPr>
        <w:ind w:left="1020" w:right="34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other items as determined by management not to be reflective of our ongoing operating performance, such as costs associated with severance pay, non-deferred legal fees and other expenses related to credit agreement amendments, legal settlements and legal fees related to contract terminations, and nonrecurring strategic project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2023 and 2022 (Unaudited)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unaudited results of operations data for the three months ended June 30, 2023 and 2022 have been derived from the unaudited condensed consolidated financial statements included elsewhere in this Quarterly Report on Form 10-Q.</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b w:val="1"/>
                <w:bCs w:val="1"/>
                <w:color w:val="auto"/>
                <w:w w:val="90"/>
              </w:rPr>
              <w:t>Three Months Ended June 30,</w:t>
            </w:r>
          </w:p>
        </w:tc>
        <w:tc>
          <w:tcPr>
            <w:tcW w:w="1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 of</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(Dollars in thousands)</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Amount</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 of Revenue</w:t>
            </w: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236,894</w:t>
            </w:r>
          </w:p>
        </w:tc>
        <w:tc>
          <w:tcPr>
            <w:tcW w:w="420" w:type="dxa"/>
            <w:vAlign w:val="bottom"/>
            <w:shd w:val="clear" w:color="auto" w:fill="CFF0FC"/>
          </w:tcPr>
          <w:p>
            <w:pPr>
              <w:spacing w:after="0"/>
              <w:rPr>
                <w:sz w:val="20"/>
                <w:szCs w:val="20"/>
                <w:color w:val="auto"/>
              </w:rPr>
            </w:pP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225,159</w:t>
            </w:r>
          </w:p>
        </w:tc>
        <w:tc>
          <w:tcPr>
            <w:tcW w:w="420" w:type="dxa"/>
            <w:vAlign w:val="bottom"/>
            <w:tcBorders>
              <w:right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374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70,824</w:t>
            </w:r>
          </w:p>
        </w:tc>
        <w:tc>
          <w:tcPr>
            <w:tcW w:w="4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69,351</w:t>
            </w:r>
          </w:p>
        </w:tc>
        <w:tc>
          <w:tcPr>
            <w:tcW w:w="420" w:type="dxa"/>
            <w:vAlign w:val="bottom"/>
            <w:tcBorders>
              <w:right w:val="single" w:sz="8" w:color="CFF0FC"/>
            </w:tcBorders>
            <w:shd w:val="clear" w:color="auto" w:fill="CFF0FC"/>
          </w:tcPr>
          <w:p>
            <w:pPr>
              <w:spacing w:after="0"/>
              <w:rPr>
                <w:sz w:val="22"/>
                <w:szCs w:val="22"/>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90,337</w:t>
            </w:r>
          </w:p>
        </w:tc>
        <w:tc>
          <w:tcPr>
            <w:tcW w:w="42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38 %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79,029</w:t>
            </w:r>
          </w:p>
        </w:tc>
        <w:tc>
          <w:tcPr>
            <w:tcW w:w="4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27,829</w:t>
            </w:r>
          </w:p>
        </w:tc>
        <w:tc>
          <w:tcPr>
            <w:tcW w:w="4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25,610</w:t>
            </w:r>
          </w:p>
        </w:tc>
        <w:tc>
          <w:tcPr>
            <w:tcW w:w="420" w:type="dxa"/>
            <w:vAlign w:val="bottom"/>
            <w:tcBorders>
              <w:right w:val="single" w:sz="8" w:color="CFF0FC"/>
            </w:tcBorders>
            <w:shd w:val="clear" w:color="auto" w:fill="CFF0FC"/>
          </w:tcPr>
          <w:p>
            <w:pPr>
              <w:spacing w:after="0"/>
              <w:rPr>
                <w:sz w:val="22"/>
                <w:szCs w:val="22"/>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Gain on sale of assets, net</w:t>
            </w: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w w:val="90"/>
              </w:rPr>
              <w:t>(4,728 )</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(3,146 )</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184,262</w:t>
            </w:r>
          </w:p>
        </w:tc>
        <w:tc>
          <w:tcPr>
            <w:tcW w:w="4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170,844</w:t>
            </w:r>
          </w:p>
        </w:tc>
        <w:tc>
          <w:tcPr>
            <w:tcW w:w="420" w:type="dxa"/>
            <w:vAlign w:val="bottom"/>
            <w:tcBorders>
              <w:bottom w:val="single" w:sz="8" w:color="CFF0FC"/>
              <w:right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4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52,632</w:t>
            </w:r>
          </w:p>
        </w:tc>
        <w:tc>
          <w:tcPr>
            <w:tcW w:w="42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54,315</w:t>
            </w:r>
          </w:p>
        </w:tc>
        <w:tc>
          <w:tcPr>
            <w:tcW w:w="4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color w:val="auto"/>
                <w:highlight w:val="white"/>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9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tcBorders>
              <w:top w:val="single" w:sz="8" w:color="auto"/>
              <w:right w:val="single" w:sz="8" w:color="CFF0FC"/>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right w:val="single" w:sz="8" w:color="CFF0FC"/>
            </w:tcBorders>
            <w:shd w:val="clear" w:color="auto" w:fill="CFF0FC"/>
          </w:tcPr>
          <w:p>
            <w:pPr>
              <w:spacing w:after="0"/>
              <w:rPr>
                <w:sz w:val="20"/>
                <w:szCs w:val="20"/>
                <w:color w:val="auto"/>
              </w:rPr>
            </w:pPr>
          </w:p>
        </w:tc>
        <w:tc>
          <w:tcPr>
            <w:tcW w:w="420" w:type="dxa"/>
            <w:vAlign w:val="bottom"/>
            <w:tcBorders>
              <w:right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18,295</w:t>
            </w:r>
          </w:p>
        </w:tc>
        <w:tc>
          <w:tcPr>
            <w:tcW w:w="42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8,762</w:t>
            </w:r>
          </w:p>
        </w:tc>
        <w:tc>
          <w:tcPr>
            <w:tcW w:w="4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9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18,295</w:t>
            </w:r>
          </w:p>
        </w:tc>
        <w:tc>
          <w:tcPr>
            <w:tcW w:w="420" w:type="dxa"/>
            <w:vAlign w:val="bottom"/>
            <w:tcBorders>
              <w:top w:val="single" w:sz="8" w:color="CFF0FC"/>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8,762</w:t>
            </w:r>
          </w:p>
        </w:tc>
        <w:tc>
          <w:tcPr>
            <w:tcW w:w="420" w:type="dxa"/>
            <w:vAlign w:val="bottom"/>
            <w:tcBorders>
              <w:top w:val="single" w:sz="8" w:color="CFF0FC"/>
              <w:bottom w:val="single" w:sz="8" w:color="CFF0FC"/>
              <w:right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7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34,337</w:t>
            </w:r>
          </w:p>
        </w:tc>
        <w:tc>
          <w:tcPr>
            <w:tcW w:w="420" w:type="dxa"/>
            <w:vAlign w:val="bottom"/>
          </w:tcPr>
          <w:p>
            <w:pPr>
              <w:spacing w:after="0"/>
              <w:rPr>
                <w:sz w:val="19"/>
                <w:szCs w:val="19"/>
                <w:color w:val="auto"/>
              </w:rPr>
            </w:pP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14 %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45,553</w:t>
            </w:r>
          </w:p>
        </w:tc>
        <w:tc>
          <w:tcPr>
            <w:tcW w:w="4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7,205</w:t>
            </w:r>
          </w:p>
        </w:tc>
        <w:tc>
          <w:tcPr>
            <w:tcW w:w="4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9,894</w:t>
            </w:r>
          </w:p>
        </w:tc>
        <w:tc>
          <w:tcPr>
            <w:tcW w:w="420" w:type="dxa"/>
            <w:vAlign w:val="bottom"/>
            <w:tcBorders>
              <w:right w:val="single" w:sz="8" w:color="CFF0FC"/>
            </w:tcBorders>
            <w:shd w:val="clear" w:color="auto" w:fill="CFF0FC"/>
          </w:tcPr>
          <w:p>
            <w:pPr>
              <w:spacing w:after="0"/>
              <w:rPr>
                <w:sz w:val="22"/>
                <w:szCs w:val="22"/>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27,132</w:t>
            </w:r>
          </w:p>
        </w:tc>
        <w:tc>
          <w:tcPr>
            <w:tcW w:w="420" w:type="dxa"/>
            <w:vAlign w:val="bottom"/>
          </w:tcPr>
          <w:p>
            <w:pPr>
              <w:spacing w:after="0"/>
              <w:rPr>
                <w:sz w:val="20"/>
                <w:szCs w:val="20"/>
                <w:color w:val="auto"/>
              </w:rPr>
            </w:pP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35,659</w:t>
            </w:r>
          </w:p>
        </w:tc>
        <w:tc>
          <w:tcPr>
            <w:tcW w:w="42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color w:val="auto"/>
                <w:highlight w:val="white"/>
              </w:rPr>
              <w:t>%</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740" w:type="dxa"/>
            <w:vAlign w:val="bottom"/>
          </w:tcPr>
          <w:p>
            <w:pPr>
              <w:spacing w:after="0"/>
              <w:rPr>
                <w:sz w:val="24"/>
                <w:szCs w:val="24"/>
                <w:color w:val="auto"/>
              </w:rPr>
            </w:pPr>
          </w:p>
        </w:tc>
        <w:tc>
          <w:tcPr>
            <w:tcW w:w="4080" w:type="dxa"/>
            <w:vAlign w:val="bottom"/>
            <w:gridSpan w:val="8"/>
          </w:tcPr>
          <w:p>
            <w:pPr>
              <w:jc w:val="right"/>
              <w:ind w:right="95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90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96"/>
              </w:rPr>
              <w:t>$ Change</w:t>
            </w:r>
          </w:p>
        </w:tc>
        <w:tc>
          <w:tcPr>
            <w:tcW w:w="15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236,894</w:t>
            </w:r>
          </w:p>
        </w:tc>
        <w:tc>
          <w:tcPr>
            <w:tcW w:w="3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225,159</w:t>
            </w: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11,735</w:t>
            </w:r>
          </w:p>
        </w:tc>
        <w:tc>
          <w:tcPr>
            <w:tcW w:w="420" w:type="dxa"/>
            <w:vAlign w:val="bottom"/>
            <w:tcBorders>
              <w:right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-2159635</wp:posOffset>
            </wp:positionV>
            <wp:extent cx="8572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-2159635</wp:posOffset>
            </wp:positionV>
            <wp:extent cx="8572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-1692275</wp:posOffset>
            </wp:positionV>
            <wp:extent cx="7145020" cy="3384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-1199515</wp:posOffset>
            </wp:positionV>
            <wp:extent cx="85725"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-1199515</wp:posOffset>
            </wp:positionV>
            <wp:extent cx="857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increase in net revenues was primarily attributable to the increase in car wash sales due to growth in UWC Members and the year-over-year addition of 40 locations.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Labor and Chemicals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820" w:type="dxa"/>
            <w:vAlign w:val="bottom"/>
          </w:tcPr>
          <w:p>
            <w:pPr>
              <w:ind w:left="92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 Change</w:t>
            </w:r>
          </w:p>
        </w:tc>
        <w:tc>
          <w:tcPr>
            <w:tcW w:w="380" w:type="dxa"/>
            <w:vAlign w:val="bottom"/>
          </w:tcPr>
          <w:p>
            <w:pPr>
              <w:spacing w:after="0"/>
              <w:rPr>
                <w:sz w:val="21"/>
                <w:szCs w:val="21"/>
                <w:color w:val="auto"/>
              </w:rPr>
            </w:pPr>
          </w:p>
        </w:tc>
        <w:tc>
          <w:tcPr>
            <w:tcW w:w="1520" w:type="dxa"/>
            <w:vAlign w:val="bottom"/>
            <w:gridSpan w:val="3"/>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70,824</w:t>
            </w:r>
          </w:p>
        </w:tc>
        <w:tc>
          <w:tcPr>
            <w:tcW w:w="48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69,351</w:t>
            </w:r>
          </w:p>
        </w:tc>
        <w:tc>
          <w:tcPr>
            <w:tcW w:w="4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38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30 %</w:t>
            </w:r>
          </w:p>
        </w:tc>
        <w:tc>
          <w:tcPr>
            <w:tcW w:w="11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31 %</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4" w:lineRule="exact"/>
        <w:rPr>
          <w:sz w:val="20"/>
          <w:szCs w:val="20"/>
          <w:color w:val="auto"/>
        </w:rPr>
      </w:pPr>
    </w:p>
    <w:p>
      <w:pPr>
        <w:jc w:val="both"/>
        <w:ind w:right="780" w:firstLine="509"/>
        <w:spacing w:after="0" w:line="311" w:lineRule="auto"/>
        <w:rPr>
          <w:sz w:val="20"/>
          <w:szCs w:val="20"/>
          <w:color w:val="auto"/>
        </w:rPr>
      </w:pPr>
      <w:r>
        <w:rPr>
          <w:rFonts w:ascii="Arial" w:cs="Arial" w:eastAsia="Arial" w:hAnsi="Arial"/>
          <w:sz w:val="16"/>
          <w:szCs w:val="16"/>
          <w:color w:val="auto"/>
        </w:rPr>
        <w:t>The increase in the cost of labor and chemicals is primarily attributable to the year-over-year addition of 40 locations and some inflationary pressures on our wash chemicals and supplies. The increase from additional stores and inflationary pressures were partially offset by a decrease of approximately $1.9 million in store labor costs from optimized scheduling guidelines implemented in the second half of fiscal year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Other Store Operating Expenses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6"/>
        </w:trPr>
        <w:tc>
          <w:tcPr>
            <w:tcW w:w="3600" w:type="dxa"/>
            <w:vAlign w:val="bottom"/>
          </w:tcPr>
          <w:p>
            <w:pPr>
              <w:spacing w:after="0"/>
              <w:rPr>
                <w:sz w:val="24"/>
                <w:szCs w:val="24"/>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60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380" w:type="dxa"/>
            <w:vAlign w:val="bottom"/>
          </w:tcPr>
          <w:p>
            <w:pPr>
              <w:spacing w:after="0"/>
              <w:rPr>
                <w:sz w:val="21"/>
                <w:szCs w:val="21"/>
                <w:color w:val="auto"/>
              </w:rPr>
            </w:pPr>
          </w:p>
        </w:tc>
        <w:tc>
          <w:tcPr>
            <w:tcW w:w="1780" w:type="dxa"/>
            <w:vAlign w:val="bottom"/>
            <w:gridSpan w:val="3"/>
          </w:tcPr>
          <w:p>
            <w:pPr>
              <w:ind w:left="42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90,337</w:t>
            </w:r>
          </w:p>
        </w:tc>
        <w:tc>
          <w:tcPr>
            <w:tcW w:w="38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79,029</w:t>
            </w:r>
          </w:p>
        </w:tc>
        <w:tc>
          <w:tcPr>
            <w:tcW w:w="4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11,308</w:t>
            </w:r>
          </w:p>
        </w:tc>
        <w:tc>
          <w:tcPr>
            <w:tcW w:w="38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9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38 %</w:t>
            </w:r>
          </w:p>
        </w:tc>
        <w:tc>
          <w:tcPr>
            <w:tcW w:w="10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35 %</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41"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The increase in other store operating expenses was attributable to the year-over-year addition of 40 locations and some inflationary pressures on our utilities and maintenance expenses. Rent expense increased approximately $4.0 million primarily due to the addition of 54 new car wash leases.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78"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296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1"/>
              </w:rPr>
              <w:t>Three Months Ended June 30,</w:t>
            </w:r>
          </w:p>
        </w:tc>
        <w:tc>
          <w:tcPr>
            <w:tcW w:w="5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58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Pr>
          <w:p>
            <w:pPr>
              <w:ind w:left="580"/>
              <w:spacing w:after="0"/>
              <w:rPr>
                <w:sz w:val="20"/>
                <w:szCs w:val="20"/>
                <w:color w:val="auto"/>
              </w:rPr>
            </w:pPr>
            <w:r>
              <w:rPr>
                <w:rFonts w:ascii="Arial" w:cs="Arial" w:eastAsia="Arial" w:hAnsi="Arial"/>
                <w:sz w:val="18"/>
                <w:szCs w:val="18"/>
                <w:b w:val="1"/>
                <w:bCs w:val="1"/>
                <w:color w:val="auto"/>
                <w:w w:val="89"/>
              </w:rPr>
              <w:t>2023</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1"/>
                <w:szCs w:val="21"/>
                <w:color w:val="auto"/>
              </w:rPr>
            </w:pPr>
          </w:p>
        </w:tc>
        <w:tc>
          <w:tcPr>
            <w:tcW w:w="1820" w:type="dxa"/>
            <w:vAlign w:val="bottom"/>
            <w:gridSpan w:val="3"/>
          </w:tcPr>
          <w:p>
            <w:pPr>
              <w:ind w:left="420"/>
              <w:spacing w:after="0"/>
              <w:rPr>
                <w:sz w:val="20"/>
                <w:szCs w:val="20"/>
                <w:color w:val="auto"/>
              </w:rPr>
            </w:pPr>
            <w:r>
              <w:rPr>
                <w:rFonts w:ascii="Arial" w:cs="Arial" w:eastAsia="Arial" w:hAnsi="Arial"/>
                <w:sz w:val="18"/>
                <w:szCs w:val="18"/>
                <w:b w:val="1"/>
                <w:bCs w:val="1"/>
                <w:color w:val="auto"/>
              </w:rPr>
              <w:t>% Change</w:t>
            </w:r>
          </w:p>
        </w:tc>
      </w:tr>
      <w:tr>
        <w:trPr>
          <w:trHeight w:val="236"/>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27,829</w:t>
            </w:r>
          </w:p>
        </w:tc>
        <w:tc>
          <w:tcPr>
            <w:tcW w:w="40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25,610</w:t>
            </w:r>
          </w:p>
        </w:tc>
        <w:tc>
          <w:tcPr>
            <w:tcW w:w="3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36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9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12 %</w:t>
            </w:r>
          </w:p>
        </w:tc>
        <w:tc>
          <w:tcPr>
            <w:tcW w:w="10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41"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7"/>
          <w:szCs w:val="17"/>
          <w:color w:val="auto"/>
        </w:rPr>
        <w:t>The increase in general and administrative expenses was primarily driven by an increase of approximately $1.0 million in salaries and benefits, an increase of approximately $1.0 million in marketing expenses, and an increase of approximately $0.6 million in other corporate initiatives to support our growth, partially offset by a decrease of approximately $0.6 million in corporate insurances. As a percentage of net revenues, general and administrative expenses for the three months ended June 30, 2023 remained consistent to the prior year period.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Gain on Sale of Assets, Net</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3620" w:type="dxa"/>
            <w:vAlign w:val="bottom"/>
          </w:tcPr>
          <w:p>
            <w:pPr>
              <w:spacing w:after="0"/>
              <w:rPr>
                <w:sz w:val="24"/>
                <w:szCs w:val="24"/>
                <w:color w:val="auto"/>
              </w:rPr>
            </w:pPr>
          </w:p>
        </w:tc>
        <w:tc>
          <w:tcPr>
            <w:tcW w:w="29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2"/>
              </w:rPr>
              <w:t>Three Months Ended June 30,</w:t>
            </w:r>
          </w:p>
        </w:tc>
        <w:tc>
          <w:tcPr>
            <w:tcW w:w="5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1000" w:type="dxa"/>
            <w:vAlign w:val="bottom"/>
          </w:tcPr>
          <w:p>
            <w:pPr>
              <w:ind w:left="580"/>
              <w:spacing w:after="0"/>
              <w:rPr>
                <w:sz w:val="20"/>
                <w:szCs w:val="20"/>
                <w:color w:val="auto"/>
              </w:rPr>
            </w:pPr>
            <w:r>
              <w:rPr>
                <w:rFonts w:ascii="Arial" w:cs="Arial" w:eastAsia="Arial" w:hAnsi="Arial"/>
                <w:sz w:val="18"/>
                <w:szCs w:val="18"/>
                <w:b w:val="1"/>
                <w:bCs w:val="1"/>
                <w:color w:val="auto"/>
                <w:w w:val="99"/>
              </w:rPr>
              <w:t>2023</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701"/>
              <w:spacing w:after="0"/>
              <w:rPr>
                <w:sz w:val="20"/>
                <w:szCs w:val="20"/>
                <w:color w:val="auto"/>
              </w:rPr>
            </w:pPr>
            <w:r>
              <w:rPr>
                <w:rFonts w:ascii="Arial" w:cs="Arial" w:eastAsia="Arial" w:hAnsi="Arial"/>
                <w:sz w:val="18"/>
                <w:szCs w:val="18"/>
                <w:b w:val="1"/>
                <w:bCs w:val="1"/>
                <w:color w:val="auto"/>
              </w:rPr>
              <w:t>$ Change</w:t>
            </w:r>
          </w:p>
        </w:tc>
        <w:tc>
          <w:tcPr>
            <w:tcW w:w="1740" w:type="dxa"/>
            <w:vAlign w:val="bottom"/>
            <w:gridSpan w:val="3"/>
          </w:tcPr>
          <w:p>
            <w:pPr>
              <w:ind w:left="380"/>
              <w:spacing w:after="0"/>
              <w:rPr>
                <w:sz w:val="20"/>
                <w:szCs w:val="20"/>
                <w:color w:val="auto"/>
              </w:rPr>
            </w:pPr>
            <w:r>
              <w:rPr>
                <w:rFonts w:ascii="Arial" w:cs="Arial" w:eastAsia="Arial" w:hAnsi="Arial"/>
                <w:sz w:val="18"/>
                <w:szCs w:val="18"/>
                <w:b w:val="1"/>
                <w:bCs w:val="1"/>
                <w:color w:val="auto"/>
              </w:rPr>
              <w:t>% Change</w:t>
            </w:r>
          </w:p>
        </w:tc>
      </w:tr>
      <w:tr>
        <w:trPr>
          <w:trHeight w:val="23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sale of assets, net</w:t>
            </w:r>
          </w:p>
        </w:tc>
        <w:tc>
          <w:tcPr>
            <w:tcW w:w="100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(4,728</w:t>
            </w:r>
          </w:p>
        </w:tc>
        <w:tc>
          <w:tcPr>
            <w:tcW w:w="3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(3,146</w:t>
            </w:r>
          </w:p>
        </w:tc>
        <w:tc>
          <w:tcPr>
            <w:tcW w:w="4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360" w:type="dxa"/>
            <w:vAlign w:val="bottom"/>
            <w:shd w:val="clear" w:color="auto" w:fill="CFF0FC"/>
          </w:tcPr>
          <w:p>
            <w:pPr>
              <w:jc w:val="right"/>
              <w:ind w:right="221"/>
              <w:spacing w:after="0"/>
              <w:rPr>
                <w:sz w:val="20"/>
                <w:szCs w:val="20"/>
                <w:color w:val="auto"/>
              </w:rPr>
            </w:pPr>
            <w:r>
              <w:rPr>
                <w:rFonts w:ascii="Arial" w:cs="Arial" w:eastAsia="Arial" w:hAnsi="Arial"/>
                <w:sz w:val="16"/>
                <w:szCs w:val="16"/>
                <w:color w:val="auto"/>
                <w:w w:val="74"/>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0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(2 )%</w:t>
            </w:r>
          </w:p>
        </w:tc>
        <w:tc>
          <w:tcPr>
            <w:tcW w:w="108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 in gain on sale of assets, net was primarily driven by gains associated with our sale-leaseback transactions in the current year.</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6"/>
        </w:trPr>
        <w:tc>
          <w:tcPr>
            <w:tcW w:w="3540" w:type="dxa"/>
            <w:vAlign w:val="bottom"/>
          </w:tcPr>
          <w:p>
            <w:pPr>
              <w:spacing w:after="0"/>
              <w:rPr>
                <w:sz w:val="24"/>
                <w:szCs w:val="24"/>
                <w:color w:val="auto"/>
              </w:rPr>
            </w:pPr>
          </w:p>
        </w:tc>
        <w:tc>
          <w:tcPr>
            <w:tcW w:w="294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w w:val="92"/>
              </w:rPr>
              <w:t>Three Months Ended June 30,</w:t>
            </w:r>
          </w:p>
        </w:tc>
        <w:tc>
          <w:tcPr>
            <w:tcW w:w="5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540" w:type="dxa"/>
            <w:vAlign w:val="bottom"/>
          </w:tcPr>
          <w:p>
            <w:pPr>
              <w:ind w:left="800"/>
              <w:spacing w:after="0"/>
              <w:rPr>
                <w:sz w:val="20"/>
                <w:szCs w:val="20"/>
                <w:color w:val="auto"/>
              </w:rPr>
            </w:pPr>
            <w:r>
              <w:rPr>
                <w:rFonts w:ascii="Arial" w:cs="Arial" w:eastAsia="Arial" w:hAnsi="Arial"/>
                <w:sz w:val="18"/>
                <w:szCs w:val="18"/>
                <w:b w:val="1"/>
                <w:bCs w:val="1"/>
                <w:color w:val="auto"/>
              </w:rPr>
              <w:t>(Dollars in thousands)</w:t>
            </w:r>
          </w:p>
        </w:tc>
        <w:tc>
          <w:tcPr>
            <w:tcW w:w="940" w:type="dxa"/>
            <w:vAlign w:val="bottom"/>
          </w:tcPr>
          <w:p>
            <w:pPr>
              <w:ind w:left="540"/>
              <w:spacing w:after="0"/>
              <w:rPr>
                <w:sz w:val="20"/>
                <w:szCs w:val="20"/>
                <w:color w:val="auto"/>
              </w:rPr>
            </w:pPr>
            <w:r>
              <w:rPr>
                <w:rFonts w:ascii="Arial" w:cs="Arial" w:eastAsia="Arial" w:hAnsi="Arial"/>
                <w:sz w:val="18"/>
                <w:szCs w:val="18"/>
                <w:b w:val="1"/>
                <w:bCs w:val="1"/>
                <w:color w:val="auto"/>
                <w:w w:val="94"/>
              </w:rPr>
              <w:t>2023</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21"/>
                <w:szCs w:val="21"/>
                <w:color w:val="auto"/>
              </w:rPr>
            </w:pPr>
          </w:p>
        </w:tc>
        <w:tc>
          <w:tcPr>
            <w:tcW w:w="1880" w:type="dxa"/>
            <w:vAlign w:val="bottom"/>
            <w:gridSpan w:val="3"/>
          </w:tcPr>
          <w:p>
            <w:pPr>
              <w:ind w:left="46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18,295</w:t>
            </w:r>
          </w:p>
        </w:tc>
        <w:tc>
          <w:tcPr>
            <w:tcW w:w="40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8,762</w:t>
            </w:r>
          </w:p>
        </w:tc>
        <w:tc>
          <w:tcPr>
            <w:tcW w:w="3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9,533</w:t>
            </w:r>
          </w:p>
        </w:tc>
        <w:tc>
          <w:tcPr>
            <w:tcW w:w="36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9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8 %</w:t>
            </w:r>
          </w:p>
        </w:tc>
        <w:tc>
          <w:tcPr>
            <w:tcW w:w="10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4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increase in other expense was primarily driven by an increase in interest expense due to higher average interest rates as compared to the prior year period and the expiration of our interest rate hedge in October 2022.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06"/>
        </w:trPr>
        <w:tc>
          <w:tcPr>
            <w:tcW w:w="362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3"/>
        </w:trPr>
        <w:tc>
          <w:tcPr>
            <w:tcW w:w="3620" w:type="dxa"/>
            <w:vAlign w:val="bottom"/>
          </w:tcPr>
          <w:p>
            <w:pPr>
              <w:ind w:left="84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701"/>
              <w:spacing w:after="0"/>
              <w:rPr>
                <w:sz w:val="20"/>
                <w:szCs w:val="20"/>
                <w:color w:val="auto"/>
              </w:rPr>
            </w:pPr>
            <w:r>
              <w:rPr>
                <w:rFonts w:ascii="Arial" w:cs="Arial" w:eastAsia="Arial" w:hAnsi="Arial"/>
                <w:sz w:val="18"/>
                <w:szCs w:val="18"/>
                <w:b w:val="1"/>
                <w:bCs w:val="1"/>
                <w:color w:val="auto"/>
              </w:rPr>
              <w:t>$ Change</w:t>
            </w:r>
          </w:p>
        </w:tc>
        <w:tc>
          <w:tcPr>
            <w:tcW w:w="18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 Change</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400" w:type="dxa"/>
            <w:vAlign w:val="bottom"/>
          </w:tcPr>
          <w:p>
            <w:pPr>
              <w:spacing w:after="0"/>
              <w:rPr>
                <w:sz w:val="19"/>
                <w:szCs w:val="19"/>
                <w:color w:val="auto"/>
              </w:rPr>
            </w:pP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4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r>
      <w:tr>
        <w:trPr>
          <w:trHeight w:val="242"/>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3 %</w:t>
            </w:r>
          </w:p>
        </w:tc>
        <w:tc>
          <w:tcPr>
            <w:tcW w:w="11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decrease in income tax provision was primarily driven by reduced pre-tax income, net of the reduced impact of income tax benefits from equity awards in the current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2023 and 2022 (Unaudited)</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unaudited results of operations data for the six months ended June 30, 2023 and 2022 have been derived from the unaudited condensed consolidated financial statements included elsewhere in this Quarterly Report on Form 10-Q.</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78"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Six Months Ended June 30,</w:t>
            </w: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660" w:type="dxa"/>
            <w:vAlign w:val="bottom"/>
          </w:tcPr>
          <w:p>
            <w:pPr>
              <w:ind w:left="136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Pr>
          <w:p>
            <w:pPr>
              <w:spacing w:after="0"/>
              <w:rPr>
                <w:sz w:val="21"/>
                <w:szCs w:val="21"/>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Amount</w:t>
            </w:r>
          </w:p>
        </w:tc>
        <w:tc>
          <w:tcPr>
            <w:tcW w:w="1760" w:type="dxa"/>
            <w:vAlign w:val="bottom"/>
            <w:gridSpan w:val="3"/>
          </w:tcPr>
          <w:p>
            <w:pPr>
              <w:jc w:val="center"/>
              <w:ind w:right="587"/>
              <w:spacing w:after="0"/>
              <w:rPr>
                <w:sz w:val="20"/>
                <w:szCs w:val="20"/>
                <w:color w:val="auto"/>
              </w:rPr>
            </w:pPr>
            <w:r>
              <w:rPr>
                <w:rFonts w:ascii="Arial" w:cs="Arial" w:eastAsia="Arial" w:hAnsi="Arial"/>
                <w:sz w:val="18"/>
                <w:szCs w:val="18"/>
                <w:b w:val="1"/>
                <w:bCs w:val="1"/>
                <w:color w:val="auto"/>
                <w:w w:val="87"/>
              </w:rPr>
              <w:t>Revenue</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 of Revenue</w:t>
            </w: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462,854</w:t>
            </w:r>
          </w:p>
        </w:tc>
        <w:tc>
          <w:tcPr>
            <w:tcW w:w="28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444,578</w:t>
            </w:r>
          </w:p>
        </w:tc>
        <w:tc>
          <w:tcPr>
            <w:tcW w:w="2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660" w:type="dxa"/>
            <w:vAlign w:val="bottom"/>
          </w:tcPr>
          <w:p>
            <w:pPr>
              <w:ind w:left="20"/>
              <w:spacing w:after="0"/>
              <w:rPr>
                <w:sz w:val="20"/>
                <w:szCs w:val="20"/>
                <w:color w:val="auto"/>
              </w:rPr>
            </w:pPr>
            <w:r>
              <w:rPr>
                <w:rFonts w:ascii="Arial" w:cs="Arial" w:eastAsia="Arial" w:hAnsi="Arial"/>
                <w:sz w:val="18"/>
                <w:szCs w:val="18"/>
                <w:color w:val="auto"/>
              </w:rPr>
              <w:t>Store operating costs: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2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137,616</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30 %</w:t>
            </w:r>
          </w:p>
        </w:tc>
        <w:tc>
          <w:tcPr>
            <w:tcW w:w="26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134,889</w:t>
            </w:r>
          </w:p>
        </w:tc>
        <w:tc>
          <w:tcPr>
            <w:tcW w:w="2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store operating expenses</w:t>
            </w:r>
          </w:p>
        </w:tc>
        <w:tc>
          <w:tcPr>
            <w:tcW w:w="24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179,803</w:t>
            </w:r>
          </w:p>
        </w:tc>
        <w:tc>
          <w:tcPr>
            <w:tcW w:w="2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39 %</w:t>
            </w:r>
          </w:p>
        </w:tc>
        <w:tc>
          <w:tcPr>
            <w:tcW w:w="26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156,830</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52,012</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11 %</w:t>
            </w:r>
          </w:p>
        </w:tc>
        <w:tc>
          <w:tcPr>
            <w:tcW w:w="26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49,297</w:t>
            </w:r>
          </w:p>
        </w:tc>
        <w:tc>
          <w:tcPr>
            <w:tcW w:w="2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Gain on sale of assets, net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(4,791 )</w:t>
            </w:r>
          </w:p>
        </w:tc>
        <w:tc>
          <w:tcPr>
            <w:tcW w:w="28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(2,687 )</w:t>
            </w:r>
          </w:p>
        </w:tc>
        <w:tc>
          <w:tcPr>
            <w:tcW w:w="2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364,640</w:t>
            </w:r>
          </w:p>
        </w:tc>
        <w:tc>
          <w:tcPr>
            <w:tcW w:w="2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79 %</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338,329</w:t>
            </w:r>
          </w:p>
        </w:tc>
        <w:tc>
          <w:tcPr>
            <w:tcW w:w="2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98,214</w:t>
            </w:r>
          </w:p>
        </w:tc>
        <w:tc>
          <w:tcPr>
            <w:tcW w:w="2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21 %</w:t>
            </w:r>
          </w:p>
        </w:tc>
        <w:tc>
          <w:tcPr>
            <w:tcW w:w="26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106,249</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36,043</w:t>
            </w:r>
          </w:p>
        </w:tc>
        <w:tc>
          <w:tcPr>
            <w:tcW w:w="2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8 %</w:t>
            </w:r>
          </w:p>
        </w:tc>
        <w:tc>
          <w:tcPr>
            <w:tcW w:w="26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16,928</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36,043</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16,928</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62,171</w:t>
            </w:r>
          </w:p>
        </w:tc>
        <w:tc>
          <w:tcPr>
            <w:tcW w:w="2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13 %</w:t>
            </w:r>
          </w:p>
        </w:tc>
        <w:tc>
          <w:tcPr>
            <w:tcW w:w="26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89,321</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13,903</w:t>
            </w:r>
          </w:p>
        </w:tc>
        <w:tc>
          <w:tcPr>
            <w:tcW w:w="2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18,174</w:t>
            </w:r>
          </w:p>
        </w:tc>
        <w:tc>
          <w:tcPr>
            <w:tcW w:w="28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48,268</w:t>
            </w:r>
          </w:p>
        </w:tc>
        <w:tc>
          <w:tcPr>
            <w:tcW w:w="2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10 %</w:t>
            </w:r>
          </w:p>
        </w:tc>
        <w:tc>
          <w:tcPr>
            <w:tcW w:w="26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71,147</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-1148080</wp:posOffset>
            </wp:positionV>
            <wp:extent cx="17970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-1148080</wp:posOffset>
            </wp:positionV>
            <wp:extent cx="17145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-1148080</wp:posOffset>
            </wp:positionV>
            <wp:extent cx="18034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034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3384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3384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-187960</wp:posOffset>
            </wp:positionV>
            <wp:extent cx="17970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9705" cy="18859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17145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18034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0340" cy="18859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372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720" w:type="dxa"/>
            <w:vAlign w:val="bottom"/>
          </w:tcPr>
          <w:p>
            <w:pPr>
              <w:ind w:left="88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 Change</w:t>
            </w:r>
          </w:p>
        </w:tc>
        <w:tc>
          <w:tcPr>
            <w:tcW w:w="280" w:type="dxa"/>
            <w:vAlign w:val="bottom"/>
          </w:tcPr>
          <w:p>
            <w:pPr>
              <w:spacing w:after="0"/>
              <w:rPr>
                <w:sz w:val="21"/>
                <w:szCs w:val="21"/>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2"/>
              </w:rPr>
              <w:t>462,854</w:t>
            </w:r>
          </w:p>
        </w:tc>
        <w:tc>
          <w:tcPr>
            <w:tcW w:w="2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2"/>
              </w:rPr>
              <w:t>444,578</w:t>
            </w:r>
          </w:p>
        </w:tc>
        <w:tc>
          <w:tcPr>
            <w:tcW w:w="3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18,276</w:t>
            </w:r>
          </w:p>
        </w:tc>
        <w:tc>
          <w:tcPr>
            <w:tcW w:w="28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0"/>
                <w:szCs w:val="20"/>
                <w:color w:val="auto"/>
              </w:rPr>
            </w:pPr>
          </w:p>
        </w:tc>
      </w:tr>
    </w:tbl>
    <w:p>
      <w:pPr>
        <w:spacing w:after="0" w:line="20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increase in net revenues was primarily attributable to the increase in car wash sales due to growth in UWC Members and the year-over-year addition of 40 locations.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Labor and Chemicals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780" w:type="dxa"/>
            <w:vAlign w:val="bottom"/>
          </w:tcPr>
          <w:p>
            <w:pPr>
              <w:ind w:left="900"/>
              <w:spacing w:after="0"/>
              <w:rPr>
                <w:sz w:val="20"/>
                <w:szCs w:val="20"/>
                <w:color w:val="auto"/>
              </w:rPr>
            </w:pPr>
            <w:r>
              <w:rPr>
                <w:rFonts w:ascii="Arial" w:cs="Arial" w:eastAsia="Arial" w:hAnsi="Arial"/>
                <w:sz w:val="18"/>
                <w:szCs w:val="18"/>
                <w:b w:val="1"/>
                <w:b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 Change</w:t>
            </w:r>
          </w:p>
        </w:tc>
        <w:tc>
          <w:tcPr>
            <w:tcW w:w="220" w:type="dxa"/>
            <w:vAlign w:val="bottom"/>
          </w:tcPr>
          <w:p>
            <w:pPr>
              <w:spacing w:after="0"/>
              <w:rPr>
                <w:sz w:val="21"/>
                <w:szCs w:val="21"/>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3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labor and chemicals</w:t>
            </w: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2"/>
              </w:rPr>
              <w:t>137,616</w:t>
            </w:r>
          </w:p>
        </w:tc>
        <w:tc>
          <w:tcPr>
            <w:tcW w:w="34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2"/>
              </w:rPr>
              <w:t>134,889</w:t>
            </w: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2,727</w:t>
            </w:r>
          </w:p>
        </w:tc>
        <w:tc>
          <w:tcPr>
            <w:tcW w:w="22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0"/>
                <w:szCs w:val="20"/>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30 %</w:t>
            </w:r>
          </w:p>
        </w:tc>
        <w:tc>
          <w:tcPr>
            <w:tcW w:w="1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30 %</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4" w:lineRule="exact"/>
        <w:rPr>
          <w:sz w:val="20"/>
          <w:szCs w:val="20"/>
          <w:color w:val="auto"/>
        </w:rPr>
      </w:pPr>
    </w:p>
    <w:p>
      <w:pPr>
        <w:jc w:val="both"/>
        <w:ind w:right="780" w:firstLine="509"/>
        <w:spacing w:after="0" w:line="311" w:lineRule="auto"/>
        <w:rPr>
          <w:sz w:val="20"/>
          <w:szCs w:val="20"/>
          <w:color w:val="auto"/>
        </w:rPr>
      </w:pPr>
      <w:r>
        <w:rPr>
          <w:rFonts w:ascii="Arial" w:cs="Arial" w:eastAsia="Arial" w:hAnsi="Arial"/>
          <w:sz w:val="16"/>
          <w:szCs w:val="16"/>
          <w:color w:val="auto"/>
        </w:rPr>
        <w:t>The increase in the cost of labor and chemicals is primarily attributable to the year-over-year addition of 40 locations and some inflationary pressures on our wash chemicals and supplies. The increase from additional stores and inflationary pressures were partially offset by a decrease of approximately $4.8 million in store labor costs from optimized scheduling guidelines implemented in the second half of fiscal year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Other Store Operating Expenses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35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540" w:type="dxa"/>
            <w:vAlign w:val="bottom"/>
          </w:tcPr>
          <w:p>
            <w:pPr>
              <w:ind w:left="800"/>
              <w:spacing w:after="0"/>
              <w:rPr>
                <w:sz w:val="20"/>
                <w:szCs w:val="20"/>
                <w:color w:val="auto"/>
              </w:rPr>
            </w:pPr>
            <w:r>
              <w:rPr>
                <w:rFonts w:ascii="Arial" w:cs="Arial" w:eastAsia="Arial" w:hAnsi="Arial"/>
                <w:sz w:val="18"/>
                <w:szCs w:val="18"/>
                <w:b w:val="1"/>
                <w:bCs w:val="1"/>
                <w:color w:val="auto"/>
              </w:rPr>
              <w:t>(Dollars in thousands)</w:t>
            </w:r>
          </w:p>
        </w:tc>
        <w:tc>
          <w:tcPr>
            <w:tcW w:w="340" w:type="dxa"/>
            <w:vAlign w:val="bottom"/>
          </w:tcPr>
          <w:p>
            <w:pPr>
              <w:spacing w:after="0"/>
              <w:rPr>
                <w:sz w:val="21"/>
                <w:szCs w:val="21"/>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1"/>
                <w:szCs w:val="21"/>
                <w:color w:val="auto"/>
              </w:rPr>
            </w:pPr>
          </w:p>
        </w:tc>
        <w:tc>
          <w:tcPr>
            <w:tcW w:w="1760" w:type="dxa"/>
            <w:vAlign w:val="bottom"/>
            <w:gridSpan w:val="2"/>
          </w:tcPr>
          <w:p>
            <w:pPr>
              <w:ind w:left="40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store operating expenses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179,803</w:t>
            </w:r>
          </w:p>
        </w:tc>
        <w:tc>
          <w:tcPr>
            <w:tcW w:w="30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2"/>
              </w:rPr>
              <w:t>156,830</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22,973</w:t>
            </w:r>
          </w:p>
        </w:tc>
        <w:tc>
          <w:tcPr>
            <w:tcW w:w="24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0"/>
                <w:szCs w:val="20"/>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34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39 %</w:t>
            </w:r>
          </w:p>
        </w:tc>
        <w:tc>
          <w:tcPr>
            <w:tcW w:w="10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35 %</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The increase in other store operating expenses was attributable to the year-over-year addition of 40 locations and some inflationary pressures on our utilities and maintenance expenses. Rent expense increased approximately $7.2 million primarily due to the addition of 54 new car wash leases.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78"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540" w:type="dxa"/>
            <w:vAlign w:val="bottom"/>
          </w:tcPr>
          <w:p>
            <w:pPr>
              <w:ind w:left="80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1"/>
                <w:szCs w:val="21"/>
                <w:color w:val="auto"/>
              </w:rPr>
            </w:pPr>
          </w:p>
        </w:tc>
        <w:tc>
          <w:tcPr>
            <w:tcW w:w="1820" w:type="dxa"/>
            <w:vAlign w:val="bottom"/>
            <w:gridSpan w:val="2"/>
          </w:tcPr>
          <w:p>
            <w:pPr>
              <w:ind w:left="420"/>
              <w:spacing w:after="0"/>
              <w:rPr>
                <w:sz w:val="20"/>
                <w:szCs w:val="20"/>
                <w:color w:val="auto"/>
              </w:rPr>
            </w:pPr>
            <w:r>
              <w:rPr>
                <w:rFonts w:ascii="Arial" w:cs="Arial" w:eastAsia="Arial" w:hAnsi="Arial"/>
                <w:sz w:val="18"/>
                <w:szCs w:val="18"/>
                <w:b w:val="1"/>
                <w:bCs w:val="1"/>
                <w:color w:val="auto"/>
              </w:rPr>
              <w:t>% Change</w:t>
            </w:r>
          </w:p>
        </w:tc>
      </w:tr>
      <w:tr>
        <w:trPr>
          <w:trHeight w:val="23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4"/>
              </w:rPr>
              <w:t>52,012</w:t>
            </w:r>
          </w:p>
        </w:tc>
        <w:tc>
          <w:tcPr>
            <w:tcW w:w="28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49,297</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2,715</w:t>
            </w:r>
          </w:p>
        </w:tc>
        <w:tc>
          <w:tcPr>
            <w:tcW w:w="20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0"/>
                <w:szCs w:val="20"/>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9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11 %</w:t>
            </w:r>
          </w:p>
        </w:tc>
        <w:tc>
          <w:tcPr>
            <w:tcW w:w="10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11 %</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The increase in general and administrative expenses was primarily driven by an increase of approximately $1.9 million in salaries and benefits and an increase of approximately $1.5 million in marketing expenses, offset by a decrease of approximately $0.8 million in corporate insurances and $0.4 million in stock-based compensation costs. As a percentage of net revenues, general and administrative expenses for the six months ended June 30, 2023 remained consistent to the prior year period.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Gain on Sale of Assets, Net</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3620" w:type="dxa"/>
            <w:vAlign w:val="bottom"/>
          </w:tcPr>
          <w:p>
            <w:pPr>
              <w:spacing w:after="0"/>
              <w:rPr>
                <w:sz w:val="24"/>
                <w:szCs w:val="24"/>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620" w:type="dxa"/>
            <w:vAlign w:val="bottom"/>
          </w:tcPr>
          <w:p>
            <w:pPr>
              <w:ind w:left="820"/>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1"/>
                <w:szCs w:val="21"/>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sale of assets, net</w:t>
            </w: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(4,791 )</w:t>
            </w:r>
          </w:p>
        </w:tc>
        <w:tc>
          <w:tcPr>
            <w:tcW w:w="26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(2,687 )</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(2,104 )</w:t>
            </w:r>
          </w:p>
        </w:tc>
        <w:tc>
          <w:tcPr>
            <w:tcW w:w="200" w:type="dxa"/>
            <w:vAlign w:val="bottom"/>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78 %</w:t>
            </w:r>
          </w:p>
        </w:tc>
        <w:tc>
          <w:tcPr>
            <w:tcW w:w="20" w:type="dxa"/>
            <w:vAlign w:val="bottom"/>
          </w:tcPr>
          <w:p>
            <w:pPr>
              <w:spacing w:after="0"/>
              <w:rPr>
                <w:sz w:val="20"/>
                <w:szCs w:val="20"/>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9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1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 in gain on sale of assets, net was primarily driven by gains associated with our sale-leaseback transactions in the current year.</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w:t>
            </w: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348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480" w:type="dxa"/>
            <w:vAlign w:val="bottom"/>
          </w:tcPr>
          <w:p>
            <w:pPr>
              <w:ind w:left="760"/>
              <w:spacing w:after="0"/>
              <w:rPr>
                <w:sz w:val="20"/>
                <w:szCs w:val="20"/>
                <w:color w:val="auto"/>
              </w:rPr>
            </w:pPr>
            <w:r>
              <w:rPr>
                <w:rFonts w:ascii="Arial" w:cs="Arial" w:eastAsia="Arial" w:hAnsi="Arial"/>
                <w:sz w:val="18"/>
                <w:szCs w:val="18"/>
                <w:b w:val="1"/>
                <w:bCs w:val="1"/>
                <w:color w:val="auto"/>
              </w:rPr>
              <w:t>(Dollars in thousands)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1"/>
                <w:szCs w:val="21"/>
                <w:color w:val="auto"/>
              </w:rPr>
            </w:pPr>
          </w:p>
        </w:tc>
        <w:tc>
          <w:tcPr>
            <w:tcW w:w="1900" w:type="dxa"/>
            <w:vAlign w:val="bottom"/>
            <w:gridSpan w:val="2"/>
          </w:tcPr>
          <w:p>
            <w:pPr>
              <w:ind w:left="46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4"/>
              </w:rPr>
              <w:t>36,043</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4"/>
              </w:rPr>
              <w:t>16,928</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19,115</w:t>
            </w:r>
          </w:p>
        </w:tc>
        <w:tc>
          <w:tcPr>
            <w:tcW w:w="200" w:type="dxa"/>
            <w:vAlign w:val="bottom"/>
            <w:shd w:val="clear" w:color="auto" w:fill="CFF0FC"/>
          </w:tcPr>
          <w:p>
            <w:pPr>
              <w:spacing w:after="0"/>
              <w:rPr>
                <w:sz w:val="20"/>
                <w:szCs w:val="20"/>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20" w:type="dxa"/>
            <w:vAlign w:val="bottom"/>
          </w:tcPr>
          <w:p>
            <w:pPr>
              <w:spacing w:after="0"/>
              <w:rPr>
                <w:sz w:val="20"/>
                <w:szCs w:val="20"/>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9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8 %</w:t>
            </w:r>
          </w:p>
        </w:tc>
        <w:tc>
          <w:tcPr>
            <w:tcW w:w="10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4 %</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increase in other expense was primarily driven by an increase in interest expense due to higher average interest rates as compared to the prior year period and the expiration of our interest rate hedge in October 2022.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6"/>
        </w:trPr>
        <w:tc>
          <w:tcPr>
            <w:tcW w:w="3580" w:type="dxa"/>
            <w:vAlign w:val="bottom"/>
          </w:tcPr>
          <w:p>
            <w:pPr>
              <w:spacing w:after="0"/>
              <w:rPr>
                <w:sz w:val="24"/>
                <w:szCs w:val="24"/>
                <w:color w:val="auto"/>
              </w:rPr>
            </w:pPr>
          </w:p>
        </w:tc>
        <w:tc>
          <w:tcPr>
            <w:tcW w:w="30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3580" w:type="dxa"/>
            <w:vAlign w:val="bottom"/>
          </w:tcPr>
          <w:p>
            <w:pPr>
              <w:ind w:left="80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1"/>
                <w:szCs w:val="21"/>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 Change</w:t>
            </w:r>
          </w:p>
        </w:tc>
        <w:tc>
          <w:tcPr>
            <w:tcW w:w="80" w:type="dxa"/>
            <w:vAlign w:val="bottom"/>
          </w:tcPr>
          <w:p>
            <w:pPr>
              <w:spacing w:after="0"/>
              <w:rPr>
                <w:sz w:val="21"/>
                <w:szCs w:val="21"/>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13,903</w:t>
            </w:r>
          </w:p>
        </w:tc>
        <w:tc>
          <w:tcPr>
            <w:tcW w:w="26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18,174</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(4,271 )</w:t>
            </w:r>
          </w:p>
        </w:tc>
        <w:tc>
          <w:tcPr>
            <w:tcW w:w="2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42"/>
        </w:trPr>
        <w:tc>
          <w:tcPr>
            <w:tcW w:w="35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9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10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decrease in income tax provision was primarily driven by reduced pre-tax income, net of the reduced impact of income tax benefits from equity awards in the current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Our primary requirements for liquidity and capital are to fund our investments in our core business, which includes lease payments, pursue greenfield expansion,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w:t>
      </w:r>
    </w:p>
    <w:p>
      <w:pPr>
        <w:spacing w:after="0" w:line="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2023 and December 31, 2022, we had cash and cash equivalents of $136.1 million and $65.2 million, respectively, and $148.1 million and $148.6 million, respectivel</w:t>
      </w:r>
      <w:r>
        <w:rPr>
          <w:rFonts w:ascii="Arial" w:cs="Arial" w:eastAsia="Arial" w:hAnsi="Arial"/>
          <w:sz w:val="18"/>
          <w:szCs w:val="18"/>
          <w:color w:val="231F20"/>
        </w:rPr>
        <w:t>y,</w:t>
      </w:r>
      <w:r>
        <w:rPr>
          <w:rFonts w:ascii="Arial" w:cs="Arial" w:eastAsia="Arial" w:hAnsi="Arial"/>
          <w:sz w:val="18"/>
          <w:szCs w:val="18"/>
          <w:color w:val="auto"/>
        </w:rPr>
        <w:t xml:space="preserve"> of available borrowing capacity under our Revolving Commitment.</w:t>
      </w:r>
    </w:p>
    <w:p>
      <w:pPr>
        <w:spacing w:after="0" w:line="6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 a description of our Credit Facilities, please see Note 8 Debt in the consolidated financial statements included elsewhere in this Quarterly Report on Form 10-Q. As of June 30, 2023, we were in compliance with the covenants under the Amended and Restated First Lien Credit Agreement.</w:t>
      </w:r>
    </w:p>
    <w:p>
      <w:pPr>
        <w:spacing w:after="0" w:line="16"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We believe that our sources of liquidity and capital will be sufficient to finance our growth strategy and resulting operations, as well as planned capital expenditures, for the foreseeable future. However, we cannot assure you that cash provided by operating activities or cash and cash equivalents will be sufficient to meet our future needs. If we are unable to generate sufficient cash flows from</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78" w:right="259" w:bottom="1440" w:gutter="0" w:footer="0" w:header="0"/>
        </w:sectPr>
      </w:pPr>
    </w:p>
    <w:bookmarkStart w:id="30" w:name="page31"/>
    <w:bookmarkEnd w:id="30"/>
    <w:p>
      <w:pPr>
        <w:jc w:val="both"/>
        <w:ind w:right="720"/>
        <w:spacing w:after="0" w:line="311" w:lineRule="auto"/>
        <w:rPr>
          <w:sz w:val="20"/>
          <w:szCs w:val="20"/>
          <w:color w:val="auto"/>
        </w:rPr>
      </w:pPr>
      <w:r>
        <w:rPr>
          <w:rFonts w:ascii="Arial" w:cs="Arial" w:eastAsia="Arial" w:hAnsi="Arial"/>
          <w:sz w:val="16"/>
          <w:szCs w:val="16"/>
          <w:color w:val="auto"/>
        </w:rPr>
        <w:t>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2023 and 2022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summary cash flow information for the six months ended June 30, 2023 and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600" w:type="dxa"/>
            <w:vAlign w:val="bottom"/>
          </w:tcPr>
          <w:p>
            <w:pPr>
              <w:ind w:left="2340"/>
              <w:spacing w:after="0"/>
              <w:rPr>
                <w:sz w:val="20"/>
                <w:szCs w:val="20"/>
                <w:color w:val="auto"/>
              </w:rPr>
            </w:pPr>
            <w:r>
              <w:rPr>
                <w:rFonts w:ascii="Arial" w:cs="Arial" w:eastAsia="Arial" w:hAnsi="Arial"/>
                <w:sz w:val="18"/>
                <w:szCs w:val="18"/>
                <w:b w:val="1"/>
                <w:bCs w:val="1"/>
                <w:color w:val="auto"/>
              </w:rPr>
              <w:t>(Dollars in thousands)</w:t>
            </w:r>
          </w:p>
        </w:tc>
        <w:tc>
          <w:tcPr>
            <w:tcW w:w="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Pr>
          <w:p>
            <w:pPr>
              <w:spacing w:after="0"/>
              <w:rPr>
                <w:sz w:val="21"/>
                <w:szCs w:val="2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117,122</w:t>
            </w:r>
          </w:p>
        </w:tc>
        <w:tc>
          <w:tcPr>
            <w:tcW w:w="5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134,615</w:t>
            </w:r>
          </w:p>
        </w:tc>
        <w:tc>
          <w:tcPr>
            <w:tcW w:w="140" w:type="dxa"/>
            <w:vAlign w:val="bottom"/>
            <w:shd w:val="clear" w:color="auto" w:fill="CFF0FC"/>
          </w:tcPr>
          <w:p>
            <w:pPr>
              <w:spacing w:after="0"/>
              <w:rPr>
                <w:sz w:val="20"/>
                <w:szCs w:val="20"/>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0"/>
                <w:szCs w:val="20"/>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(50,231 )</w:t>
            </w:r>
          </w:p>
        </w:tc>
        <w:tc>
          <w:tcPr>
            <w:tcW w:w="8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(119,766 )</w:t>
            </w: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4,120</w:t>
            </w: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60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 and restricted cash</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71,011</w:t>
            </w:r>
          </w:p>
        </w:tc>
        <w:tc>
          <w:tcPr>
            <w:tcW w:w="520" w:type="dxa"/>
            <w:vAlign w:val="bottom"/>
          </w:tcPr>
          <w:p>
            <w:pPr>
              <w:spacing w:after="0"/>
              <w:rPr>
                <w:sz w:val="20"/>
                <w:szCs w:val="20"/>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17,911</w:t>
            </w:r>
          </w:p>
        </w:tc>
        <w:tc>
          <w:tcPr>
            <w:tcW w:w="14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-187960</wp:posOffset>
            </wp:positionV>
            <wp:extent cx="857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consists of net income adjusted for certain non-cash items,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depreciation of property and equipment, gains on sale of assets, net, amortization of leased assets and deferred income taxes, as well as the effect of changes in other working capital amounts.</w:t>
      </w:r>
    </w:p>
    <w:p>
      <w:pPr>
        <w:spacing w:after="0" w:line="184" w:lineRule="exact"/>
        <w:rPr>
          <w:sz w:val="20"/>
          <w:szCs w:val="20"/>
          <w:color w:val="auto"/>
        </w:rPr>
      </w:pPr>
    </w:p>
    <w:p>
      <w:pPr>
        <w:ind w:right="300" w:firstLine="509"/>
        <w:spacing w:after="0" w:line="275" w:lineRule="auto"/>
        <w:rPr>
          <w:sz w:val="20"/>
          <w:szCs w:val="20"/>
          <w:color w:val="auto"/>
        </w:rPr>
      </w:pPr>
      <w:r>
        <w:rPr>
          <w:rFonts w:ascii="Arial" w:cs="Arial" w:eastAsia="Arial" w:hAnsi="Arial"/>
          <w:sz w:val="17"/>
          <w:szCs w:val="17"/>
          <w:color w:val="auto"/>
        </w:rPr>
        <w:t>For the six months ended June 30, 2023, net cash provided by operating activities was $117.1 million and was comprised of net income of $48.3 million, increased by $74.1 million as a result of non-cash adjustments comprised primarily of depreciation and amortization expense, stock-based compensation expense, non-cash lease expense, deferred income taxes, a gain on sale of assets, net, and amortization of debt issuance costs. Changes in working capital balances decreased cash provided by operating activities by $5.3 million and were primarily driven by operating lease payments and increases in other receivables, accounts payable, accrued expense, and deferred revenue.</w:t>
      </w:r>
    </w:p>
    <w:p>
      <w:pPr>
        <w:spacing w:after="0" w:line="17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For the six months ended June 30, 2022, net cash provided by operating activities was $134.6 million and was comprised of net income of $71.1 million, increased by $73.2 million as a result of non-cash adjustments comprised primarily of stock-based compensation expense, depreciation and amortization expense, non-cash lease expense, deferred income taxes, a gain on sale of assets, and amortization of deferred financing costs. Changes in working capital balances decreased cash provided by operating activities by $9.7 million and were primarily driven by increases in the operating lease liability, other noncurrent assets and liabilities and prepaid expenses and other current assets, offset by a decrease in other receivables, accounts payable and accrued expenses.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net cash used in investing activities primarily consists of purchases and sale of property and equipment.</w:t>
      </w:r>
    </w:p>
    <w:p>
      <w:pPr>
        <w:spacing w:after="0" w:line="225" w:lineRule="exact"/>
        <w:rPr>
          <w:sz w:val="20"/>
          <w:szCs w:val="20"/>
          <w:color w:val="auto"/>
        </w:rPr>
      </w:pPr>
    </w:p>
    <w:p>
      <w:pPr>
        <w:jc w:val="both"/>
        <w:ind w:right="460" w:firstLine="509"/>
        <w:spacing w:after="0" w:line="342" w:lineRule="auto"/>
        <w:rPr>
          <w:sz w:val="20"/>
          <w:szCs w:val="20"/>
          <w:color w:val="auto"/>
        </w:rPr>
      </w:pPr>
      <w:r>
        <w:rPr>
          <w:rFonts w:ascii="Arial" w:cs="Arial" w:eastAsia="Arial" w:hAnsi="Arial"/>
          <w:sz w:val="16"/>
          <w:szCs w:val="16"/>
          <w:color w:val="auto"/>
        </w:rPr>
        <w:t>For the six months ended June 30, 2023, net cash used in investing activities was $50.2 million and was primarily comprised of investments in property and equipment to support our greenfield development and other initiatives and one acquisition, offset by the sale of property and equipment.</w:t>
      </w:r>
    </w:p>
    <w:p>
      <w:pPr>
        <w:spacing w:after="0" w:line="124"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For the six months ended June 30, 2022, net cash used in investing activities was $119.8 million and was primarily comprised of investment in property and equipment to support our greenfield development and other initiatives and two acquisitions, partially offset by the sale of property and equipment.</w:t>
      </w:r>
    </w:p>
    <w:p>
      <w:pPr>
        <w:spacing w:after="0" w:line="211"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provided by financing activities primarily consists of payments on our First Lien Term Loan and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payments on finance lease obligations, as well as issuance of common stock under employee plans.</w:t>
      </w:r>
    </w:p>
    <w:p>
      <w:pPr>
        <w:spacing w:after="0" w:line="17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For the six months ended June 30, 2023, net cash provided by financing activities was $4.1 million and was primarily comprised of proceeds from exercise of stock options, partially offset by payments on finance lease obligations.</w:t>
      </w:r>
    </w:p>
    <w:p>
      <w:pPr>
        <w:spacing w:after="0" w:line="170" w:lineRule="exact"/>
        <w:rPr>
          <w:sz w:val="20"/>
          <w:szCs w:val="20"/>
          <w:color w:val="auto"/>
        </w:rPr>
      </w:pPr>
    </w:p>
    <w:p>
      <w:pPr>
        <w:ind w:right="180" w:firstLine="509"/>
        <w:spacing w:after="0" w:line="308" w:lineRule="auto"/>
        <w:rPr>
          <w:sz w:val="20"/>
          <w:szCs w:val="20"/>
          <w:color w:val="auto"/>
        </w:rPr>
      </w:pPr>
      <w:r>
        <w:rPr>
          <w:rFonts w:ascii="Arial" w:cs="Arial" w:eastAsia="Arial" w:hAnsi="Arial"/>
          <w:sz w:val="17"/>
          <w:szCs w:val="17"/>
          <w:color w:val="auto"/>
        </w:rPr>
        <w:t>For the six months ended June 30, 2022, net cash provided by financing activities was $3.1 million and was primarily comprised of proceeds from exercise of stock options, partially offset by repayments of our First Lien Term Loan and principal payments on finance lease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unaudited condensed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100"/>
        <w:spacing w:after="0" w:line="301" w:lineRule="auto"/>
        <w:rPr>
          <w:sz w:val="20"/>
          <w:szCs w:val="20"/>
          <w:color w:val="auto"/>
        </w:rPr>
      </w:pPr>
      <w:r>
        <w:rPr>
          <w:rFonts w:ascii="Arial" w:cs="Arial" w:eastAsia="Arial" w:hAnsi="Arial"/>
          <w:sz w:val="16"/>
          <w:szCs w:val="16"/>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4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significant accounting policies and estimates used in preparation of the unaudited condensed consolidated financial statements are described in our 2022 Form 10-K. There have been no material changes to our significant accounting policies during the three and six months ended June 30, 2023.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See the section titled “Summary of Significant Accounting Policies—Recently Adopted Accounting Pronouncements” in Note 2 to our unaudited condensed consolidated financial statements included elsewhere in this Quarterly Report on Form 10-Q for a discussion of recent accounting pronouncements.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June 30, 2023 and December 31, 2022, we had $901.2 million of variable rate debt outstanding under our First Lien Term Loan. Based on the balance outstanding under our First Lien Term Loan as of June 30, 2023, an increase or decrease of 100 basis points in the effective interest rate on the First Lien Term Loan would cause an increase or decrease in interest expense of approximately $9 million over the next 12 months.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ensure that the information we must disclose in our filings with the Securities and Exchange Commission (the "SEC") is recorded, processed, summarized and reported on a timely basis, we have developed and implemented disclosure controls and procedures. Our management, with the participation of our President and Chief Executive Officer and Chief Financial Officer, has evaluated the effectiveness of our disclosure controls and procedures (as such term is defined in Rules 13a-15(e) and 15d-15(e) under the Exchange Act as of June 30, 2023. Based on that evaluation, our management, including the President and Chief Executive Officer and Chief Financial Officer, has concluded that our disclosure controls and procedures were effective as of June 30, 2023 in ensuring that information required to be disclosed in the reports that we file or submit under the Exchange Act is recorded, processed, summarized and reported within the time periods specified in the SEC's rules and forms and is accumulated and communicated to our management, including the President and Chief Executive Officer and Chief Financial Officer, as appropriate to allow timely decisions regarding required disclosure.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2023 that have materially affected, or are reasonably likely to materially affect, our internal control over financial reporting.</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any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Class Action Litigation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14, 2023, a plaintiff filed a purported class action lawsuit in the Stanislaus County Superior Court, California, on behalf of all non-exempt employees employed by Defendants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The mediation is currently scheduled for October 19, 2023. Management believes, based on currently available information, that the ultimate outcome of the proceeding described above will not have a material adverse effect on the Company’s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risk factors disclosed in Part I. Item 1A. "Risk Factors” and in Part II. Item 7. “Management’s Discussion and Analysis of Financial Condition and Results of Operations” of our 2022 Form 10-K,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 There have been no material changes to the risk factors described in Part I. Item 1A. "Risk Factors" of our 2022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 Elections</w:t>
      </w:r>
    </w:p>
    <w:p>
      <w:pPr>
        <w:spacing w:after="0" w:line="121" w:lineRule="exact"/>
        <w:rPr>
          <w:sz w:val="20"/>
          <w:szCs w:val="20"/>
          <w:color w:val="auto"/>
        </w:rPr>
      </w:pPr>
    </w:p>
    <w:p>
      <w:pPr>
        <w:ind w:right="60" w:firstLine="855"/>
        <w:spacing w:after="0" w:line="253" w:lineRule="auto"/>
        <w:rPr>
          <w:sz w:val="20"/>
          <w:szCs w:val="20"/>
          <w:color w:val="auto"/>
        </w:rPr>
      </w:pPr>
      <w:r>
        <w:rPr>
          <w:rFonts w:ascii="Arial" w:cs="Arial" w:eastAsia="Arial" w:hAnsi="Arial"/>
          <w:sz w:val="18"/>
          <w:szCs w:val="18"/>
          <w:color w:val="auto"/>
        </w:rPr>
        <w:t>On June 5, 2023, Jed Gold, Chief Financial Officer, modified a Rule 10b5-1 trading arrangement, originally adopted on September 12, 2022, to change the amount of shares to be sold under the plan, the price limits for sales under the plan, and the timing of sales under the plan. The modified trading arrangement was entered into during an open window period under the Company’s Insider Trading Compliance Policy. The original and the modified trading arrangement are intended to satisfy the affirmative defense of Rule 10b5-1(c) and provides for the potential sale of up to 778,525 shares of the Company’s common stock until August 23, 2024.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10"/>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0"/>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Arial" w:cs="Arial" w:eastAsia="Arial" w:hAnsi="Arial"/>
                <w:sz w:val="16"/>
                <w:szCs w:val="16"/>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bottom w:val="single" w:sz="8" w:color="0000FF"/>
            </w:tcBorders>
            <w:gridSpan w:val="9"/>
          </w:tcPr>
          <w:p>
            <w:pPr>
              <w:spacing w:after="0" w:line="169" w:lineRule="exact"/>
              <w:rPr>
                <w:rFonts w:ascii="Arial" w:cs="Arial" w:eastAsia="Arial" w:hAnsi="Arial"/>
                <w:sz w:val="16"/>
                <w:szCs w:val="16"/>
                <w:color w:val="0000FF"/>
                <w:w w:val="92"/>
              </w:rPr>
            </w:pPr>
            <w:hyperlink r:id="rId218">
              <w:r>
                <w:rPr>
                  <w:rFonts w:ascii="Arial" w:cs="Arial" w:eastAsia="Arial" w:hAnsi="Arial"/>
                  <w:sz w:val="16"/>
                  <w:szCs w:val="16"/>
                  <w:color w:val="0000FF"/>
                  <w:w w:val="92"/>
                </w:rPr>
                <w:t>Amended and Restated Certificate of Incorporation of the Company</w:t>
              </w:r>
            </w:hyperlink>
          </w:p>
        </w:tc>
        <w:tc>
          <w:tcPr>
            <w:tcW w:w="340" w:type="dxa"/>
            <w:vAlign w:val="bottom"/>
            <w:gridSpan w:val="4"/>
          </w:tcPr>
          <w:p>
            <w:pPr>
              <w:spacing w:after="0"/>
              <w:rPr>
                <w:sz w:val="14"/>
                <w:szCs w:val="14"/>
                <w:color w:val="auto"/>
              </w:rPr>
            </w:pPr>
          </w:p>
        </w:tc>
        <w:tc>
          <w:tcPr>
            <w:tcW w:w="84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140" w:type="dxa"/>
            <w:vAlign w:val="bottom"/>
          </w:tcPr>
          <w:p>
            <w:pPr>
              <w:jc w:val="center"/>
              <w:spacing w:after="0" w:line="169" w:lineRule="exact"/>
              <w:rPr>
                <w:sz w:val="20"/>
                <w:szCs w:val="20"/>
                <w:color w:val="auto"/>
              </w:rPr>
            </w:pPr>
            <w:r>
              <w:rPr>
                <w:rFonts w:ascii="Arial" w:cs="Arial" w:eastAsia="Arial" w:hAnsi="Arial"/>
                <w:sz w:val="16"/>
                <w:szCs w:val="16"/>
                <w:color w:val="auto"/>
                <w:w w:val="91"/>
              </w:rPr>
              <w:t>001-40542</w:t>
            </w:r>
          </w:p>
        </w:tc>
        <w:tc>
          <w:tcPr>
            <w:tcW w:w="920" w:type="dxa"/>
            <w:vAlign w:val="bottom"/>
          </w:tcPr>
          <w:p>
            <w:pPr>
              <w:jc w:val="center"/>
              <w:spacing w:after="0" w:line="169" w:lineRule="exact"/>
              <w:rPr>
                <w:sz w:val="20"/>
                <w:szCs w:val="20"/>
                <w:color w:val="auto"/>
              </w:rPr>
            </w:pPr>
            <w:r>
              <w:rPr>
                <w:rFonts w:ascii="Arial" w:cs="Arial" w:eastAsia="Arial" w:hAnsi="Arial"/>
                <w:sz w:val="16"/>
                <w:szCs w:val="16"/>
                <w:color w:val="auto"/>
                <w:w w:val="89"/>
              </w:rPr>
              <w:t>3.2</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w w:val="92"/>
              </w:rPr>
              <w:t>06/01/2022</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Borders>
              <w:bottom w:val="single" w:sz="8" w:color="0000FF"/>
            </w:tcBorders>
            <w:gridSpan w:val="8"/>
          </w:tcPr>
          <w:p>
            <w:pPr>
              <w:spacing w:after="0"/>
              <w:rPr>
                <w:rFonts w:ascii="Arial" w:cs="Arial" w:eastAsia="Arial" w:hAnsi="Arial"/>
                <w:sz w:val="16"/>
                <w:szCs w:val="16"/>
                <w:color w:val="0000FF"/>
                <w:w w:val="92"/>
              </w:rPr>
            </w:pPr>
            <w:hyperlink r:id="rId219">
              <w:r>
                <w:rPr>
                  <w:rFonts w:ascii="Arial" w:cs="Arial" w:eastAsia="Arial" w:hAnsi="Arial"/>
                  <w:sz w:val="16"/>
                  <w:szCs w:val="16"/>
                  <w:color w:val="0000FF"/>
                  <w:w w:val="92"/>
                </w:rPr>
                <w:t>Certificate of Amendment of Amended and Restated Certificate of</w:t>
              </w:r>
            </w:hyperlink>
          </w:p>
        </w:tc>
        <w:tc>
          <w:tcPr>
            <w:tcW w:w="420" w:type="dxa"/>
            <w:vAlign w:val="bottom"/>
            <w:gridSpan w:val="5"/>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001-40542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06/01/2023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219">
              <w:r>
                <w:rPr>
                  <w:rFonts w:ascii="Arial" w:cs="Arial" w:eastAsia="Arial" w:hAnsi="Arial"/>
                  <w:sz w:val="16"/>
                  <w:szCs w:val="16"/>
                  <w:color w:val="0000FF"/>
                  <w:w w:val="92"/>
                </w:rPr>
                <w:t>Incorporation of the Company</w:t>
              </w:r>
            </w:hyperlink>
          </w:p>
        </w:tc>
        <w:tc>
          <w:tcPr>
            <w:tcW w:w="20" w:type="dxa"/>
            <w:vAlign w:val="bottom"/>
            <w:tcBorders>
              <w:bottom w:val="single" w:sz="8" w:color="0000EE"/>
            </w:tcBorders>
          </w:tcPr>
          <w:p>
            <w:pPr>
              <w:spacing w:after="0"/>
              <w:rPr>
                <w:sz w:val="15"/>
                <w:szCs w:val="15"/>
                <w:color w:val="auto"/>
              </w:rPr>
            </w:pPr>
          </w:p>
        </w:tc>
        <w:tc>
          <w:tcPr>
            <w:tcW w:w="276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13"/>
          </w:tcPr>
          <w:p>
            <w:pPr>
              <w:spacing w:after="0"/>
              <w:rPr>
                <w:rFonts w:ascii="Arial" w:cs="Arial" w:eastAsia="Arial" w:hAnsi="Arial"/>
                <w:sz w:val="16"/>
                <w:szCs w:val="16"/>
                <w:color w:val="0000FF"/>
              </w:rPr>
            </w:pPr>
            <w:hyperlink r:id="rId220">
              <w:r>
                <w:rPr>
                  <w:rFonts w:ascii="Arial" w:cs="Arial" w:eastAsia="Arial" w:hAnsi="Arial"/>
                  <w:sz w:val="16"/>
                  <w:szCs w:val="16"/>
                  <w:color w:val="0000FF"/>
                </w:rPr>
                <w:t>Amended and Restated Bylaws of the Company</w:t>
              </w:r>
            </w:hyperlink>
          </w:p>
        </w:tc>
        <w:tc>
          <w:tcPr>
            <w:tcW w:w="84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001-40542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07/02/2021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4"/>
              </w:rPr>
              <w:t>Certification of Principal Executive Officer Pursuant to Rules 13a-14(a)</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bottom w:val="single" w:sz="8" w:color="0000FF"/>
            </w:tcBorders>
            <w:gridSpan w:val="10"/>
          </w:tcPr>
          <w:p>
            <w:pPr>
              <w:spacing w:after="0" w:line="183" w:lineRule="exact"/>
              <w:rPr>
                <w:sz w:val="20"/>
                <w:szCs w:val="20"/>
                <w:color w:val="auto"/>
              </w:rPr>
            </w:pPr>
            <w:r>
              <w:rPr>
                <w:rFonts w:ascii="Arial" w:cs="Arial" w:eastAsia="Arial" w:hAnsi="Arial"/>
                <w:sz w:val="16"/>
                <w:szCs w:val="16"/>
                <w:color w:val="0000FF"/>
                <w:w w:val="91"/>
              </w:rPr>
              <w:t>and 15d-14(a) under the Securities Exchange Act of 1934, as Adopted</w:t>
            </w:r>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3"/>
          </w:tcPr>
          <w:p>
            <w:pPr>
              <w:spacing w:after="0" w:line="183" w:lineRule="exact"/>
              <w:rPr>
                <w:sz w:val="20"/>
                <w:szCs w:val="20"/>
                <w:color w:val="auto"/>
              </w:rPr>
            </w:pPr>
            <w:r>
              <w:rPr>
                <w:rFonts w:ascii="Arial" w:cs="Arial" w:eastAsia="Arial" w:hAnsi="Arial"/>
                <w:sz w:val="16"/>
                <w:szCs w:val="16"/>
                <w:color w:val="0000FF"/>
              </w:rPr>
              <w:t>Pursuant to Section 302 of the Sarbanes-Oxley Act of 2002.</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4"/>
              </w:rPr>
              <w:t>Certification of Principal Financial Officer Pursuant to Rules 13a-14(a)</w:t>
            </w:r>
          </w:p>
        </w:tc>
        <w:tc>
          <w:tcPr>
            <w:tcW w:w="1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bottom w:val="single" w:sz="8" w:color="0000FF"/>
            </w:tcBorders>
            <w:gridSpan w:val="10"/>
          </w:tcPr>
          <w:p>
            <w:pPr>
              <w:spacing w:after="0" w:line="183" w:lineRule="exact"/>
              <w:rPr>
                <w:sz w:val="20"/>
                <w:szCs w:val="20"/>
                <w:color w:val="auto"/>
              </w:rPr>
            </w:pPr>
            <w:r>
              <w:rPr>
                <w:rFonts w:ascii="Arial" w:cs="Arial" w:eastAsia="Arial" w:hAnsi="Arial"/>
                <w:sz w:val="16"/>
                <w:szCs w:val="16"/>
                <w:color w:val="0000FF"/>
                <w:w w:val="91"/>
              </w:rPr>
              <w:t>and 15d-14(a) under the Securities Exchange Act of 1934, as Adopted</w:t>
            </w:r>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3"/>
          </w:tcPr>
          <w:p>
            <w:pPr>
              <w:spacing w:after="0" w:line="183" w:lineRule="exact"/>
              <w:rPr>
                <w:sz w:val="20"/>
                <w:szCs w:val="20"/>
                <w:color w:val="auto"/>
              </w:rPr>
            </w:pPr>
            <w:r>
              <w:rPr>
                <w:rFonts w:ascii="Arial" w:cs="Arial" w:eastAsia="Arial" w:hAnsi="Arial"/>
                <w:sz w:val="16"/>
                <w:szCs w:val="16"/>
                <w:color w:val="0000FF"/>
              </w:rPr>
              <w:t>Pursuant to Section 302 of the Sarbanes-Oxley Act of 2002.</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4"/>
              </w:rPr>
              <w:t>Certification of Principal Executive Officer Pursuant to 18 U.S.C.</w:t>
            </w:r>
          </w:p>
        </w:tc>
        <w:tc>
          <w:tcPr>
            <w:tcW w:w="44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bottom w:val="single" w:sz="8" w:color="0000FF"/>
            </w:tcBorders>
            <w:gridSpan w:val="13"/>
          </w:tcPr>
          <w:p>
            <w:pPr>
              <w:spacing w:after="0" w:line="183" w:lineRule="exact"/>
              <w:rPr>
                <w:sz w:val="20"/>
                <w:szCs w:val="20"/>
                <w:color w:val="auto"/>
              </w:rPr>
            </w:pPr>
            <w:r>
              <w:rPr>
                <w:rFonts w:ascii="Arial" w:cs="Arial" w:eastAsia="Arial" w:hAnsi="Arial"/>
                <w:sz w:val="16"/>
                <w:szCs w:val="16"/>
                <w:color w:val="0000FF"/>
                <w:w w:val="90"/>
              </w:rPr>
              <w:t>Section 1350, as Adopted Pursuant to Section 906 of the Sarbanes-Oxley</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3"/>
          </w:tcPr>
          <w:p>
            <w:pPr>
              <w:spacing w:after="0" w:line="183" w:lineRule="exact"/>
              <w:rPr>
                <w:sz w:val="20"/>
                <w:szCs w:val="20"/>
                <w:color w:val="auto"/>
              </w:rPr>
            </w:pPr>
            <w:r>
              <w:rPr>
                <w:rFonts w:ascii="Arial" w:cs="Arial" w:eastAsia="Arial" w:hAnsi="Arial"/>
                <w:sz w:val="16"/>
                <w:szCs w:val="16"/>
                <w:color w:val="0000FF"/>
              </w:rPr>
              <w:t>Act of 2002.</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4"/>
              </w:rPr>
              <w:t>Certification of Principal Financial Officer Pursuant to 18 U.S.C.</w:t>
            </w:r>
          </w:p>
        </w:tc>
        <w:tc>
          <w:tcPr>
            <w:tcW w:w="50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bottom w:val="single" w:sz="8" w:color="0000FF"/>
            </w:tcBorders>
            <w:gridSpan w:val="13"/>
          </w:tcPr>
          <w:p>
            <w:pPr>
              <w:spacing w:after="0" w:line="183" w:lineRule="exact"/>
              <w:rPr>
                <w:sz w:val="20"/>
                <w:szCs w:val="20"/>
                <w:color w:val="auto"/>
              </w:rPr>
            </w:pPr>
            <w:r>
              <w:rPr>
                <w:rFonts w:ascii="Arial" w:cs="Arial" w:eastAsia="Arial" w:hAnsi="Arial"/>
                <w:sz w:val="16"/>
                <w:szCs w:val="16"/>
                <w:color w:val="0000FF"/>
                <w:w w:val="90"/>
              </w:rPr>
              <w:t>Section 1350, as Adopted Pursuant to Section 906 of the Sarbanes-Oxley</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gridSpan w:val="13"/>
          </w:tcPr>
          <w:p>
            <w:pPr>
              <w:spacing w:after="0" w:line="183" w:lineRule="exact"/>
              <w:rPr>
                <w:sz w:val="20"/>
                <w:szCs w:val="20"/>
                <w:color w:val="auto"/>
              </w:rPr>
            </w:pPr>
            <w:r>
              <w:rPr>
                <w:rFonts w:ascii="Arial" w:cs="Arial" w:eastAsia="Arial" w:hAnsi="Arial"/>
                <w:sz w:val="16"/>
                <w:szCs w:val="16"/>
                <w:color w:val="0000FF"/>
              </w:rPr>
              <w:t>Act of 2002.</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39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40" w:type="dxa"/>
            <w:vAlign w:val="bottom"/>
          </w:tcPr>
          <w:p>
            <w:pPr>
              <w:ind w:left="20"/>
              <w:spacing w:after="0"/>
              <w:rPr>
                <w:sz w:val="20"/>
                <w:szCs w:val="20"/>
                <w:color w:val="auto"/>
              </w:rPr>
            </w:pPr>
            <w:r>
              <w:rPr>
                <w:rFonts w:ascii="Arial" w:cs="Arial" w:eastAsia="Arial" w:hAnsi="Arial"/>
                <w:sz w:val="16"/>
                <w:szCs w:val="16"/>
                <w:color w:val="auto"/>
              </w:rPr>
              <w:t>101.INS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rPr>
              <w:t>Inline XBRL Instance Document – the instance document does not</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w w:val="96"/>
              </w:rPr>
              <w:t>appear in the Interactive Data File because XBRL tags are embedded</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rPr>
              <w:t>within the Inline XBRL document.</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sz w:val="20"/>
                <w:szCs w:val="20"/>
                <w:color w:val="auto"/>
              </w:rPr>
            </w:pPr>
            <w:r>
              <w:rPr>
                <w:rFonts w:ascii="Arial" w:cs="Arial" w:eastAsia="Arial" w:hAnsi="Arial"/>
                <w:sz w:val="16"/>
                <w:szCs w:val="16"/>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6"/>
                <w:szCs w:val="16"/>
                <w:color w:val="auto"/>
              </w:rPr>
              <w:t>101.CAL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40" w:type="dxa"/>
            <w:vAlign w:val="bottom"/>
          </w:tcPr>
          <w:p>
            <w:pPr>
              <w:ind w:left="20"/>
              <w:spacing w:after="0"/>
              <w:rPr>
                <w:sz w:val="20"/>
                <w:szCs w:val="20"/>
                <w:color w:val="auto"/>
              </w:rPr>
            </w:pPr>
            <w:r>
              <w:rPr>
                <w:rFonts w:ascii="Arial" w:cs="Arial" w:eastAsia="Arial" w:hAnsi="Arial"/>
                <w:sz w:val="16"/>
                <w:szCs w:val="16"/>
                <w:color w:val="auto"/>
              </w:rPr>
              <w:t>101.DEF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sz w:val="20"/>
                <w:szCs w:val="20"/>
                <w:color w:val="auto"/>
              </w:rPr>
            </w:pPr>
            <w:r>
              <w:rPr>
                <w:rFonts w:ascii="Arial" w:cs="Arial" w:eastAsia="Arial" w:hAnsi="Arial"/>
                <w:sz w:val="16"/>
                <w:szCs w:val="16"/>
                <w:color w:val="auto"/>
              </w:rPr>
              <w:t>101.LAB</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w w:val="99"/>
              </w:rPr>
              <w:t>Inline XBRL Taxonomy Extension Presentation Linkbase Document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w w:val="99"/>
              </w:rPr>
              <w:t>Cover Page Interactive Data File (embedded within the Inline XBRL</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13"/>
          </w:tcPr>
          <w:p>
            <w:pPr>
              <w:spacing w:after="0"/>
              <w:rPr>
                <w:sz w:val="20"/>
                <w:szCs w:val="20"/>
                <w:color w:val="auto"/>
              </w:rPr>
            </w:pPr>
            <w:r>
              <w:rPr>
                <w:rFonts w:ascii="Arial" w:cs="Arial" w:eastAsia="Arial" w:hAnsi="Arial"/>
                <w:sz w:val="16"/>
                <w:szCs w:val="16"/>
                <w:color w:val="auto"/>
              </w:rPr>
              <w:t>document)</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9512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ind w:left="520" w:right="360" w:hanging="512"/>
        <w:spacing w:after="0" w:line="277" w:lineRule="auto"/>
        <w:tabs>
          <w:tab w:leader="none" w:pos="3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Company undertakes to furnish supplemental copies of any of the omitted schedules upon request by the SEC.</w:t>
      </w:r>
    </w:p>
    <w:p>
      <w:pPr>
        <w:spacing w:after="0" w:line="62" w:lineRule="exact"/>
        <w:rPr>
          <w:sz w:val="20"/>
          <w:szCs w:val="20"/>
          <w:color w:val="auto"/>
        </w:rPr>
      </w:pPr>
    </w:p>
    <w:p>
      <w:pPr>
        <w:ind w:left="5540" w:right="4200" w:hanging="5532"/>
        <w:spacing w:after="0" w:line="440" w:lineRule="auto"/>
        <w:tabs>
          <w:tab w:leader="none" w:pos="3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Item 601(b)(10)(iv) of Regulation S-K.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80"/>
          </w:cols>
          <w:pgMar w:left="320" w:top="337"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4, 2023</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Mister Car Wash, Inc.</w:t>
      </w:r>
    </w:p>
    <w:p>
      <w:pPr>
        <w:spacing w:after="0" w:line="279" w:lineRule="exact"/>
        <w:rPr>
          <w:sz w:val="20"/>
          <w:szCs w:val="20"/>
          <w:color w:val="auto"/>
        </w:rPr>
      </w:pPr>
    </w:p>
    <w:p>
      <w:pPr>
        <w:ind w:left="160"/>
        <w:spacing w:after="0"/>
        <w:tabs>
          <w:tab w:leader="none" w:pos="2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23495</wp:posOffset>
            </wp:positionV>
            <wp:extent cx="33007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John Lai</w:t>
      </w:r>
    </w:p>
    <w:p>
      <w:pPr>
        <w:spacing w:after="0" w:line="36"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Chairperson, President and Chief Executive Officer</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16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23495</wp:posOffset>
            </wp:positionV>
            <wp:extent cx="33007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Jedidiah Gold</w:t>
      </w:r>
    </w:p>
    <w:p>
      <w:pPr>
        <w:spacing w:after="0" w:line="3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240"/>
          </w:cols>
          <w:pgMar w:left="320" w:top="337" w:right="799" w:bottom="1440" w:gutter="0" w:footer="0" w:header="0"/>
          <w:type w:val="continuous"/>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Lai,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Mister Car Wash,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80" w:hanging="839"/>
        <w:spacing w:after="0"/>
        <w:tabs>
          <w:tab w:leader="none" w:pos="13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0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1020" w:right="80" w:hanging="479"/>
        <w:spacing w:after="0" w:line="263"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right="180" w:hanging="479"/>
        <w:spacing w:after="0" w:line="34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20" w:hanging="479"/>
        <w:spacing w:after="0" w:line="263"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380" w:hanging="479"/>
        <w:spacing w:after="0" w:line="308" w:lineRule="auto"/>
        <w:tabs>
          <w:tab w:leader="none" w:pos="13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80" w:hanging="479"/>
        <w:spacing w:after="0" w:line="27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John Lai</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Chairperson, President and 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Jedidiah Gold,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Mister Car Wash,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80" w:hanging="839"/>
        <w:spacing w:after="0"/>
        <w:tabs>
          <w:tab w:leader="none" w:pos="13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w:t>
      </w:r>
    </w:p>
    <w:p>
      <w:pPr>
        <w:spacing w:after="0" w:line="34" w:lineRule="exact"/>
        <w:rPr>
          <w:rFonts w:ascii="Arial" w:cs="Arial" w:eastAsia="Arial" w:hAnsi="Arial"/>
          <w:sz w:val="17"/>
          <w:szCs w:val="17"/>
          <w:color w:val="auto"/>
        </w:rPr>
      </w:pPr>
    </w:p>
    <w:p>
      <w:pPr>
        <w:ind w:left="1020" w:right="400"/>
        <w:spacing w:after="0" w:line="260" w:lineRule="auto"/>
        <w:rPr>
          <w:rFonts w:ascii="Arial" w:cs="Arial" w:eastAsia="Arial" w:hAnsi="Arial"/>
          <w:sz w:val="17"/>
          <w:szCs w:val="17"/>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ind w:left="1020" w:right="80" w:hanging="479"/>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right="180" w:hanging="479"/>
        <w:spacing w:after="0" w:line="342" w:lineRule="auto"/>
        <w:tabs>
          <w:tab w:leader="none" w:pos="13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20" w:hanging="479"/>
        <w:spacing w:after="0" w:line="263"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380" w:hanging="479"/>
        <w:spacing w:after="0" w:line="308" w:lineRule="auto"/>
        <w:tabs>
          <w:tab w:leader="none" w:pos="13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80" w:hanging="479"/>
        <w:spacing w:after="0" w:line="277" w:lineRule="auto"/>
        <w:tabs>
          <w:tab w:leader="none" w:pos="13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Jedidiah Gold</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380" w:hanging="839"/>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60" w:hanging="479"/>
        <w:spacing w:after="0" w:line="277"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680" w:val="left"/>
          <w:tab w:leader="none" w:pos="820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John Lai</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Chairperson, President and 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connection with the Quarterly Report of Mister Car Wash, Inc. (the “Company”) on Form 10-Q for the quarterly period ended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380" w:hanging="839"/>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260" w:hanging="479"/>
        <w:spacing w:after="0" w:line="277"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Jedidiah Gold</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18" Type="http://schemas.openxmlformats.org/officeDocument/2006/relationships/hyperlink" Target="https://www.sec.gov/Archives/edgar/data/1853513/000095017022010967/mcw-ex3_2.htm" TargetMode="External"/><Relationship Id="rId219" Type="http://schemas.openxmlformats.org/officeDocument/2006/relationships/hyperlink" Target="https://www.sec.gov/Archives/edgar/data/1853513/000095017023025696/mcw-ex3_1.htm" TargetMode="External"/><Relationship Id="rId220" Type="http://schemas.openxmlformats.org/officeDocument/2006/relationships/hyperlink" Target="https://www.sec.gov/Archives/edgar/data/1853513/000119312521207571/d19750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2023-08-04T07:12:55Z</dcterms:created>
  <dcterms:modified xsi:type="dcterms:W3CDTF">2023-08-04T07:12:55Z</dcterms:modified>
</cp:coreProperties>
</file>