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175260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203200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660" w:right="1620" w:hanging="3639"/>
        <w:spacing w:after="0" w:line="363" w:lineRule="auto"/>
        <w:tabs>
          <w:tab w:leader="none" w:pos="48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8" w:lineRule="exact"/>
        <w:rPr>
          <w:sz w:val="24"/>
          <w:szCs w:val="24"/>
          <w:color w:val="auto"/>
        </w:rPr>
      </w:pPr>
    </w:p>
    <w:p>
      <w:pPr>
        <w:ind w:left="30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188595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Mister Car Wash, Inc.</w:t>
      </w:r>
    </w:p>
    <w:p>
      <w:pPr>
        <w:sectPr>
          <w:pgSz w:w="11900" w:h="16838" w:orient="portrait"/>
          <w:cols w:equalWidth="0" w:num="1">
            <w:col w:w="11240"/>
          </w:cols>
          <w:pgMar w:left="320" w:top="678" w:right="339" w:bottom="1440" w:gutter="0" w:footer="0" w:header="0"/>
        </w:sectPr>
      </w:pPr>
    </w:p>
    <w:p>
      <w:pPr>
        <w:spacing w:after="0" w:line="3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175895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Delaware</w:t>
      </w:r>
    </w:p>
    <w:p>
      <w:pPr>
        <w:ind w:left="2040"/>
        <w:spacing w:after="0" w:line="231"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line="238" w:lineRule="auto"/>
        <w:rPr>
          <w:sz w:val="20"/>
          <w:szCs w:val="20"/>
          <w:color w:val="auto"/>
        </w:rPr>
      </w:pPr>
      <w:r>
        <w:rPr>
          <w:rFonts w:ascii="Arial" w:cs="Arial" w:eastAsia="Arial" w:hAnsi="Arial"/>
          <w:sz w:val="13"/>
          <w:szCs w:val="13"/>
          <w:b w:val="1"/>
          <w:bCs w:val="1"/>
          <w:color w:val="auto"/>
        </w:rPr>
        <w:t>incorporation or organization)</w:t>
      </w:r>
    </w:p>
    <w:p>
      <w:pPr>
        <w:ind w:left="2200"/>
        <w:spacing w:after="0" w:line="216" w:lineRule="auto"/>
        <w:rPr>
          <w:sz w:val="20"/>
          <w:szCs w:val="20"/>
          <w:color w:val="auto"/>
        </w:rPr>
      </w:pPr>
      <w:r>
        <w:rPr>
          <w:rFonts w:ascii="Arial" w:cs="Arial" w:eastAsia="Arial" w:hAnsi="Arial"/>
          <w:sz w:val="18"/>
          <w:szCs w:val="18"/>
          <w:b w:val="1"/>
          <w:bCs w:val="1"/>
          <w:color w:val="auto"/>
        </w:rPr>
        <w:t>222 E. 5</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Street</w:t>
      </w:r>
    </w:p>
    <w:p>
      <w:pPr>
        <w:spacing w:after="0" w:line="1"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47-1393909</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62"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85705</w:t>
      </w:r>
    </w:p>
    <w:p>
      <w:pPr>
        <w:spacing w:after="0" w:line="21" w:lineRule="exact"/>
        <w:rPr>
          <w:sz w:val="24"/>
          <w:szCs w:val="24"/>
          <w:color w:val="auto"/>
        </w:rPr>
      </w:pPr>
    </w:p>
    <w:p>
      <w:pPr>
        <w:sectPr>
          <w:pgSz w:w="11900" w:h="16838" w:orient="portrait"/>
          <w:cols w:equalWidth="0" w:num="2">
            <w:col w:w="7600" w:space="340"/>
            <w:col w:w="3300"/>
          </w:cols>
          <w:pgMar w:left="320" w:top="678"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188595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4"/>
                <w:szCs w:val="14"/>
                <w:color w:val="auto"/>
              </w:rPr>
            </w:pPr>
          </w:p>
        </w:tc>
        <w:tc>
          <w:tcPr>
            <w:tcW w:w="5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MCW</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c>
          <w:tcPr>
            <w:tcW w:w="0" w:type="dxa"/>
            <w:vAlign w:val="bottom"/>
          </w:tcPr>
          <w:p>
            <w:pPr>
              <w:spacing w:after="0"/>
              <w:rPr>
                <w:sz w:val="1"/>
                <w:szCs w:val="1"/>
                <w:color w:val="auto"/>
              </w:rPr>
            </w:pPr>
          </w:p>
        </w:tc>
      </w:tr>
    </w:tbl>
    <w:p>
      <w:pPr>
        <w:spacing w:after="0" w:line="81" w:lineRule="exact"/>
        <w:rPr>
          <w:sz w:val="24"/>
          <w:szCs w:val="24"/>
          <w:color w:val="auto"/>
        </w:rPr>
      </w:pPr>
    </w:p>
    <w:p>
      <w:pPr>
        <w:jc w:val="both"/>
        <w:ind w:right="20" w:firstLine="59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jc w:val="both"/>
        <w:ind w:right="280" w:firstLine="599"/>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7"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202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 2022, the registrant had 304,992,610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402590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9"/>
            <w:vMerge w:val="restart"/>
          </w:tcPr>
          <w:p>
            <w:pPr>
              <w:spacing w:after="0"/>
              <w:rPr>
                <w:sz w:val="20"/>
                <w:szCs w:val="20"/>
                <w:color w:val="auto"/>
              </w:rPr>
            </w:pPr>
            <w:r>
              <w:rPr>
                <w:rFonts w:ascii="Arial" w:cs="Arial" w:eastAsia="Arial" w:hAnsi="Arial"/>
                <w:sz w:val="18"/>
                <w:szCs w:val="18"/>
                <w:color w:val="0000FF"/>
                <w:w w:val="95"/>
              </w:rPr>
              <w:t>FORWARD-LOOKING STATEMENTS</w:t>
            </w:r>
          </w:p>
        </w:tc>
        <w:tc>
          <w:tcPr>
            <w:tcW w:w="6360" w:type="dxa"/>
            <w:vAlign w:val="bottom"/>
            <w:gridSpan w:val="10"/>
            <w:vMerge w:val="restart"/>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tcBorders>
              <w:bottom w:val="single" w:sz="8" w:color="0000FF"/>
            </w:tcBorders>
            <w:gridSpan w:val="9"/>
            <w:vMerge w:val="continue"/>
          </w:tcPr>
          <w:p>
            <w:pPr>
              <w:spacing w:after="0"/>
              <w:rPr>
                <w:sz w:val="13"/>
                <w:szCs w:val="13"/>
                <w:color w:val="auto"/>
              </w:rPr>
            </w:pPr>
          </w:p>
        </w:tc>
        <w:tc>
          <w:tcPr>
            <w:tcW w:w="6360" w:type="dxa"/>
            <w:vAlign w:val="bottom"/>
            <w:gridSpan w:val="10"/>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line="202" w:lineRule="exact"/>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tcBorders>
              <w:bottom w:val="single" w:sz="8" w:color="0000FF"/>
            </w:tcBorders>
            <w:gridSpan w:val="9"/>
          </w:tcPr>
          <w:p>
            <w:pPr>
              <w:spacing w:after="0" w:line="189" w:lineRule="exact"/>
              <w:rPr>
                <w:sz w:val="20"/>
                <w:szCs w:val="20"/>
                <w:color w:val="auto"/>
              </w:rPr>
            </w:pPr>
            <w:r>
              <w:rPr>
                <w:rFonts w:ascii="Arial" w:cs="Arial" w:eastAsia="Arial" w:hAnsi="Arial"/>
                <w:sz w:val="18"/>
                <w:szCs w:val="18"/>
                <w:color w:val="0000FF"/>
                <w:w w:val="87"/>
              </w:rPr>
              <w:t>Condensed Consolidated Balance Sheets</w:t>
            </w:r>
          </w:p>
        </w:tc>
        <w:tc>
          <w:tcPr>
            <w:tcW w:w="20" w:type="dxa"/>
            <w:vAlign w:val="bottom"/>
            <w:tcBorders>
              <w:bottom w:val="single" w:sz="8" w:color="0000EE"/>
            </w:tcBorders>
          </w:tcPr>
          <w:p>
            <w:pPr>
              <w:spacing w:after="0"/>
              <w:rPr>
                <w:sz w:val="16"/>
                <w:szCs w:val="16"/>
                <w:color w:val="auto"/>
              </w:rPr>
            </w:pPr>
          </w:p>
        </w:tc>
        <w:tc>
          <w:tcPr>
            <w:tcW w:w="6340" w:type="dxa"/>
            <w:vAlign w:val="bottom"/>
            <w:gridSpan w:val="9"/>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60" w:type="dxa"/>
            <w:vAlign w:val="bottom"/>
            <w:gridSpan w:val="10"/>
          </w:tcPr>
          <w:p>
            <w:pPr>
              <w:spacing w:after="0" w:line="182" w:lineRule="exact"/>
              <w:rPr>
                <w:sz w:val="20"/>
                <w:szCs w:val="20"/>
                <w:color w:val="auto"/>
              </w:rPr>
            </w:pPr>
            <w:r>
              <w:rPr>
                <w:rFonts w:ascii="Arial" w:cs="Arial" w:eastAsia="Arial" w:hAnsi="Arial"/>
                <w:sz w:val="18"/>
                <w:szCs w:val="18"/>
                <w:color w:val="0000FF"/>
                <w:w w:val="92"/>
              </w:rPr>
              <w:t>Condensed Consolidated Statements of</w:t>
            </w:r>
          </w:p>
        </w:tc>
        <w:tc>
          <w:tcPr>
            <w:tcW w:w="6340" w:type="dxa"/>
            <w:vAlign w:val="bottom"/>
            <w:gridSpan w:val="9"/>
          </w:tcPr>
          <w:p>
            <w:pPr>
              <w:spacing w:after="0" w:line="182" w:lineRule="exact"/>
              <w:rPr>
                <w:sz w:val="20"/>
                <w:szCs w:val="20"/>
                <w:color w:val="auto"/>
              </w:rPr>
            </w:pPr>
            <w:r>
              <w:rPr>
                <w:rFonts w:ascii="Arial" w:cs="Arial" w:eastAsia="Arial" w:hAnsi="Arial"/>
                <w:sz w:val="18"/>
                <w:szCs w:val="18"/>
                <w:color w:val="0000FF"/>
              </w:rPr>
              <w:t>Operations and Comprehensive Income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88"/>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5"/>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40" w:type="dxa"/>
            <w:vAlign w:val="bottom"/>
            <w:gridSpan w:val="12"/>
          </w:tcPr>
          <w:p>
            <w:pPr>
              <w:spacing w:after="0" w:line="182" w:lineRule="exact"/>
              <w:rPr>
                <w:sz w:val="20"/>
                <w:szCs w:val="20"/>
                <w:color w:val="auto"/>
              </w:rPr>
            </w:pPr>
            <w:r>
              <w:rPr>
                <w:rFonts w:ascii="Arial" w:cs="Arial" w:eastAsia="Arial" w:hAnsi="Arial"/>
                <w:sz w:val="18"/>
                <w:szCs w:val="18"/>
                <w:color w:val="0000FF"/>
                <w:w w:val="86"/>
              </w:rPr>
              <w:t>Condensed Consolidated Statements of Stockholders'</w:t>
            </w:r>
          </w:p>
        </w:tc>
        <w:tc>
          <w:tcPr>
            <w:tcW w:w="5560" w:type="dxa"/>
            <w:vAlign w:val="bottom"/>
            <w:gridSpan w:val="7"/>
          </w:tcPr>
          <w:p>
            <w:pPr>
              <w:ind w:left="140"/>
              <w:spacing w:after="0" w:line="182" w:lineRule="exact"/>
              <w:rPr>
                <w:sz w:val="20"/>
                <w:szCs w:val="20"/>
                <w:color w:val="auto"/>
              </w:rPr>
            </w:pPr>
            <w:r>
              <w:rPr>
                <w:rFonts w:ascii="Arial" w:cs="Arial" w:eastAsia="Arial" w:hAnsi="Arial"/>
                <w:sz w:val="18"/>
                <w:szCs w:val="18"/>
                <w:color w:val="0000FF"/>
              </w:rPr>
              <w:t>Equity</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8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7"/>
              </w:rPr>
              <w:t>Notes to Condensed Consolidated Financial Statements</w:t>
            </w:r>
          </w:p>
        </w:tc>
        <w:tc>
          <w:tcPr>
            <w:tcW w:w="208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400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6"/>
              </w:rPr>
              <w:t>Management’s Discussion and Analysis of Financial</w:t>
            </w:r>
          </w:p>
        </w:tc>
        <w:tc>
          <w:tcPr>
            <w:tcW w:w="5300" w:type="dxa"/>
            <w:vAlign w:val="bottom"/>
            <w:gridSpan w:val="6"/>
          </w:tcPr>
          <w:p>
            <w:pPr>
              <w:spacing w:after="0" w:line="182" w:lineRule="exact"/>
              <w:rPr>
                <w:sz w:val="20"/>
                <w:szCs w:val="20"/>
                <w:color w:val="auto"/>
              </w:rPr>
            </w:pPr>
            <w:r>
              <w:rPr>
                <w:rFonts w:ascii="Arial" w:cs="Arial" w:eastAsia="Arial" w:hAnsi="Arial"/>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60" w:type="dxa"/>
            <w:vAlign w:val="bottom"/>
            <w:tcBorders>
              <w:top w:val="single" w:sz="8" w:color="0000FF"/>
            </w:tcBorders>
            <w:gridSpan w:val="8"/>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19"/>
          </w:tcPr>
          <w:p>
            <w:pPr>
              <w:spacing w:after="0"/>
              <w:rPr>
                <w:sz w:val="20"/>
                <w:szCs w:val="20"/>
                <w:color w:val="auto"/>
              </w:rPr>
            </w:pPr>
            <w:r>
              <w:rPr>
                <w:rFonts w:ascii="Arial" w:cs="Arial" w:eastAsia="Arial" w:hAnsi="Arial"/>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gridSpan w:val="2"/>
          </w:tcPr>
          <w:p>
            <w:pPr>
              <w:spacing w:after="0" w:line="189" w:lineRule="exact"/>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line="189" w:lineRule="exact"/>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3"/>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Unregistered</w:t>
            </w:r>
          </w:p>
        </w:tc>
        <w:tc>
          <w:tcPr>
            <w:tcW w:w="8360" w:type="dxa"/>
            <w:vAlign w:val="bottom"/>
            <w:gridSpan w:val="16"/>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Mine Safety Disclosures</w:t>
            </w:r>
          </w:p>
        </w:tc>
        <w:tc>
          <w:tcPr>
            <w:tcW w:w="698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52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8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jc w:val="center"/>
              <w:ind w:right="4760"/>
              <w:spacing w:after="0"/>
              <w:rPr>
                <w:sz w:val="20"/>
                <w:szCs w:val="20"/>
                <w:color w:val="auto"/>
              </w:rPr>
            </w:pPr>
            <w:r>
              <w:rPr>
                <w:rFonts w:ascii="Arial" w:cs="Arial" w:eastAsia="Arial" w:hAnsi="Arial"/>
                <w:sz w:val="18"/>
                <w:szCs w:val="18"/>
                <w:color w:val="auto"/>
                <w:w w:val="98"/>
              </w:rPr>
              <w:t>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may be forward-looking.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2021 (the “2021 10-K”) and in Part I. Item 2. “Management’s Discussion and Analysis of Financial Condition and Results of Operations” of this Quarterly Report on Form 10-Q. These risks and uncertainties include, but are not limited to:</w:t>
      </w:r>
    </w:p>
    <w:p>
      <w:pPr>
        <w:spacing w:after="0" w:line="95" w:lineRule="exact"/>
        <w:rPr>
          <w:sz w:val="20"/>
          <w:szCs w:val="20"/>
          <w:color w:val="auto"/>
        </w:rPr>
      </w:pPr>
    </w:p>
    <w:p>
      <w:pPr>
        <w:ind w:left="520" w:hanging="512"/>
        <w:spacing w:after="0" w:line="272"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attract new customers, retain existing customers and maintain or grow the number of Unlimited Wash Club (“UWC”) Members, which could adversely affect our business, financial condition and results of operations and rate of growth.</w:t>
      </w:r>
    </w:p>
    <w:p>
      <w:pPr>
        <w:spacing w:after="0" w:line="66" w:lineRule="exact"/>
        <w:rPr>
          <w:rFonts w:ascii="Arial" w:cs="Arial" w:eastAsia="Arial" w:hAnsi="Arial"/>
          <w:sz w:val="14"/>
          <w:szCs w:val="14"/>
          <w:color w:val="auto"/>
        </w:rPr>
      </w:pPr>
    </w:p>
    <w:p>
      <w:pPr>
        <w:ind w:left="520" w:hanging="512"/>
        <w:spacing w:after="0" w:line="272"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acquire or operate new locations in a timely and cost-effective manner, enter into new markets or leverage new technologies, our competitive advantage or financial performance could be materially and adversely affected.</w:t>
      </w:r>
    </w:p>
    <w:p>
      <w:pPr>
        <w:spacing w:after="0" w:line="80"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not be able to successfully implement our growth strategies on a timely basis or at all.</w:t>
      </w:r>
    </w:p>
    <w:p>
      <w:pPr>
        <w:spacing w:after="0" w:line="108"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a number of risks and regulations related to credit card and debit card payments we accept.</w:t>
      </w:r>
    </w:p>
    <w:p>
      <w:pPr>
        <w:spacing w:after="0" w:line="108" w:lineRule="exact"/>
        <w:rPr>
          <w:rFonts w:ascii="Arial" w:cs="Arial" w:eastAsia="Arial" w:hAnsi="Arial"/>
          <w:sz w:val="14"/>
          <w:szCs w:val="14"/>
          <w:color w:val="auto"/>
        </w:rPr>
      </w:pPr>
    </w:p>
    <w:p>
      <w:pPr>
        <w:ind w:left="520" w:right="20" w:hanging="512"/>
        <w:spacing w:after="0" w:line="272"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 overall decline in the health of the economy and other factors impacting consumer spending, such as natural disasters and fluctuations in inflation, may affect consumer purchases, reduce demand for our services and materially and adversely affect our business, results of operations and financial condition.</w:t>
      </w:r>
    </w:p>
    <w:p>
      <w:pPr>
        <w:spacing w:after="0" w:line="80"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Growing inflation, supply chain disruption and other increased operating costs could materially and adversely affect our results of operations.</w:t>
      </w:r>
    </w:p>
    <w:p>
      <w:pPr>
        <w:spacing w:after="0" w:line="108"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locations may experience difficulty hiring and retaining qualified personnel, resulting in higher labor costs.</w:t>
      </w:r>
    </w:p>
    <w:p>
      <w:pPr>
        <w:spacing w:after="0" w:line="108"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lease or sublease the land and buildings where a number of our locations are situated, which could expose us to possible liabilities and losses.</w:t>
      </w:r>
    </w:p>
    <w:p>
      <w:pPr>
        <w:spacing w:after="0" w:line="108"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indebtedness could adversely affect our financial health and competitive position.</w:t>
      </w:r>
    </w:p>
    <w:p>
      <w:pPr>
        <w:spacing w:after="0" w:line="122" w:lineRule="exact"/>
        <w:rPr>
          <w:rFonts w:ascii="Arial" w:cs="Arial" w:eastAsia="Arial" w:hAnsi="Arial"/>
          <w:sz w:val="14"/>
          <w:szCs w:val="14"/>
          <w:color w:val="auto"/>
        </w:rPr>
      </w:pPr>
    </w:p>
    <w:p>
      <w:pPr>
        <w:ind w:left="520" w:hanging="512"/>
        <w:spacing w:after="0" w:line="272"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is subject to various laws and regulations and changes in such laws and regulations, or failure to comply with existing or future laws and regulations, may result in litigation, investigation or claims by third parties or employees that could adversely affect our business.</w:t>
      </w:r>
    </w:p>
    <w:p>
      <w:pPr>
        <w:spacing w:after="0" w:line="66"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locations are subject to certain environmental laws and regulations.</w:t>
      </w:r>
    </w:p>
    <w:p>
      <w:pPr>
        <w:spacing w:after="0" w:line="108"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data security and privacy risks that could negatively impact our results of operations or reputation.</w:t>
      </w:r>
    </w:p>
    <w:p>
      <w:pPr>
        <w:spacing w:after="0" w:line="122"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adequately protect, and we may incur significant costs in enforcing or defending, our intellectual property and other proprietary rights.</w:t>
      </w:r>
    </w:p>
    <w:p>
      <w:pPr>
        <w:spacing w:after="0" w:line="108" w:lineRule="exact"/>
        <w:rPr>
          <w:rFonts w:ascii="Arial" w:cs="Arial" w:eastAsia="Arial" w:hAnsi="Arial"/>
          <w:sz w:val="14"/>
          <w:szCs w:val="14"/>
          <w:color w:val="auto"/>
        </w:rPr>
      </w:pPr>
    </w:p>
    <w:p>
      <w:pPr>
        <w:ind w:left="520" w:hanging="512"/>
        <w:spacing w:after="0" w:line="272"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Stockholders’ ability to influence corporate matters may be limited because a small number of stockholders beneficially own a substantial amount of our common stock and continue to have substantial control over us.</w:t>
      </w:r>
    </w:p>
    <w:p>
      <w:pPr>
        <w:spacing w:after="0" w:line="66"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stock price may be volatile or may decline regardless of our operating performance, resulting in substantial losses for investors purchasing shares of our common stock.</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Given these and other risks and uncertainties applicable to us, you are cautioned not to place undue reliance on such forward-looking statements. The forward-looking statements included elsewhere in this Quarterly Report on Form 10-Q are not guarantees of future performance and our actual results of operations, financial condition and liquidity, and the development of the industry in which we operate, may differ materially from the forward-looking statements included elsewhere in this Quarterly Report on Form 10-Q. In addition, even if our results of operations, financial condition and liquidity, and events in the industry in which we operate, are consistent with the forward-looking statements included elsewhere in this Quarterly Report on Form 10-Q, they may not be predictive of results or developments in future periods.</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used in this Quarterly Report on Form 10-Q, unless otherwise stated or the context requires otherwise, references to “Mister Car Wash,” “Mister,” the “Company,” “we,” “us,” and “our,” refer to Mister Car Wash, Inc. and its subsidiaries on a consolidated basis.</w:t>
      </w: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Mister Car Wash, Inc.</w:t>
      </w:r>
    </w:p>
    <w:p>
      <w:pPr>
        <w:spacing w:after="0" w:line="2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(Amounts in thousands, except share and per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89"/>
              </w:rPr>
              <w:t>September 30, 2022</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74,885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Accounts receivable, net</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120"/>
              <w:spacing w:after="0"/>
              <w:rPr>
                <w:sz w:val="20"/>
                <w:szCs w:val="20"/>
                <w:color w:val="auto"/>
              </w:rPr>
            </w:pPr>
            <w:r>
              <w:rPr>
                <w:rFonts w:ascii="Arial" w:cs="Arial" w:eastAsia="Arial" w:hAnsi="Arial"/>
                <w:sz w:val="16"/>
                <w:szCs w:val="16"/>
                <w:color w:val="auto"/>
              </w:rPr>
              <w:t>Other receivables</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14,441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Inventory, net</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8,888</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11,247</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112,460</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76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514,357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472,448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 of use assets, net</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763,427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718,533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125,781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1,107,072</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1,060,221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2,631,491</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2,448,102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27,589</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27,346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Accrued payroll and related expenses</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19,976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120"/>
              <w:spacing w:after="0"/>
              <w:rPr>
                <w:sz w:val="20"/>
                <w:szCs w:val="20"/>
                <w:color w:val="auto"/>
              </w:rPr>
            </w:pPr>
            <w:r>
              <w:rPr>
                <w:rFonts w:ascii="Arial" w:cs="Arial" w:eastAsia="Arial" w:hAnsi="Arial"/>
                <w:sz w:val="16"/>
                <w:szCs w:val="16"/>
                <w:color w:val="auto"/>
              </w:rPr>
              <w:t>Other accrued expenses</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25,460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Current maturities of operating lease liability</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39,336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120"/>
              <w:spacing w:after="0"/>
              <w:rPr>
                <w:sz w:val="20"/>
                <w:szCs w:val="20"/>
                <w:color w:val="auto"/>
              </w:rPr>
            </w:pPr>
            <w:r>
              <w:rPr>
                <w:rFonts w:ascii="Arial" w:cs="Arial" w:eastAsia="Arial" w:hAnsi="Arial"/>
                <w:sz w:val="16"/>
                <w:szCs w:val="16"/>
                <w:color w:val="auto"/>
              </w:rPr>
              <w:t>Current maturities of finance lease liability</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Deferred revenue</w:t>
            </w: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28,814</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141,823</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portion of debt, net</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895,428</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896,336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liability</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750,929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717,552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Financing lease liability</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14,955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Long-term deferred tax liability</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45,741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22,603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7,043</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8,871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1,855,919</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1,790,950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80" w:type="dxa"/>
            <w:vAlign w:val="bottom"/>
          </w:tcPr>
          <w:p>
            <w:pPr>
              <w:ind w:left="120"/>
              <w:spacing w:after="0" w:line="152" w:lineRule="exact"/>
              <w:rPr>
                <w:sz w:val="20"/>
                <w:szCs w:val="20"/>
                <w:color w:val="auto"/>
              </w:rPr>
            </w:pPr>
            <w:r>
              <w:rPr>
                <w:rFonts w:ascii="Arial" w:cs="Arial" w:eastAsia="Arial" w:hAnsi="Arial"/>
                <w:sz w:val="16"/>
                <w:szCs w:val="16"/>
                <w:color w:val="auto"/>
                <w:w w:val="90"/>
              </w:rPr>
              <w:t>Common stock, $0.01 par value, 1,000,000,000 shares authorized, 304,624,334 and 300,120,451 shares outstanding</w:t>
            </w:r>
          </w:p>
        </w:tc>
        <w:tc>
          <w:tcPr>
            <w:tcW w:w="10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3,052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120"/>
              <w:spacing w:after="0"/>
              <w:rPr>
                <w:sz w:val="20"/>
                <w:szCs w:val="20"/>
                <w:color w:val="auto"/>
              </w:rPr>
            </w:pPr>
            <w:r>
              <w:rPr>
                <w:rFonts w:ascii="Arial" w:cs="Arial" w:eastAsia="Arial" w:hAnsi="Arial"/>
                <w:sz w:val="16"/>
                <w:szCs w:val="16"/>
                <w:color w:val="auto"/>
              </w:rPr>
              <w:t>as of September 30, 2022 and December 31, 2021, respectively</w:t>
            </w:r>
          </w:p>
        </w:tc>
        <w:tc>
          <w:tcPr>
            <w:tcW w:w="1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775,199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752,343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(3,279 )</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(98,423 )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775,572</w:t>
            </w: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657,152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2,631,491</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2,448,102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-4331970</wp:posOffset>
            </wp:positionV>
            <wp:extent cx="7683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-4331970</wp:posOffset>
            </wp:positionV>
            <wp:extent cx="6858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-3415665</wp:posOffset>
            </wp:positionV>
            <wp:extent cx="125857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8570" cy="28257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-2233930</wp:posOffset>
            </wp:positionV>
            <wp:extent cx="76835" cy="273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2736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273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27368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-1318260</wp:posOffset>
            </wp:positionV>
            <wp:extent cx="76835" cy="273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2736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273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27368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-299085</wp:posOffset>
            </wp:positionV>
            <wp:extent cx="7683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ind w:left="4760"/>
        <w:spacing w:after="0"/>
        <w:rPr>
          <w:sz w:val="20"/>
          <w:szCs w:val="20"/>
          <w:color w:val="auto"/>
        </w:rPr>
      </w:pPr>
      <w:r>
        <w:rPr>
          <w:rFonts w:ascii="Arial" w:cs="Arial" w:eastAsia="Arial" w:hAnsi="Arial"/>
          <w:sz w:val="18"/>
          <w:szCs w:val="18"/>
          <w:b w:val="1"/>
          <w:bCs w:val="1"/>
          <w:color w:val="auto"/>
        </w:rPr>
        <w:t>Mister Car Wash, Inc.</w:t>
      </w:r>
    </w:p>
    <w:p>
      <w:pPr>
        <w:spacing w:after="0" w:line="2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spacing w:after="0" w:line="234" w:lineRule="auto"/>
        <w:rPr>
          <w:sz w:val="20"/>
          <w:szCs w:val="20"/>
          <w:color w:val="auto"/>
        </w:rPr>
      </w:pPr>
      <w:r>
        <w:rPr>
          <w:rFonts w:ascii="Arial" w:cs="Arial" w:eastAsia="Arial" w:hAnsi="Arial"/>
          <w:sz w:val="18"/>
          <w:szCs w:val="18"/>
          <w:b w:val="1"/>
          <w:bCs w:val="1"/>
          <w:color w:val="auto"/>
        </w:rPr>
        <w:t>(Amounts in thousands, except share and per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254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Three Months Ended September</w:t>
            </w:r>
          </w:p>
        </w:tc>
        <w:tc>
          <w:tcPr>
            <w:tcW w:w="360" w:type="dxa"/>
            <w:vAlign w:val="bottom"/>
          </w:tcPr>
          <w:p>
            <w:pPr>
              <w:spacing w:after="0"/>
              <w:rPr>
                <w:sz w:val="17"/>
                <w:szCs w:val="17"/>
                <w:color w:val="auto"/>
              </w:rPr>
            </w:pPr>
          </w:p>
        </w:tc>
        <w:tc>
          <w:tcPr>
            <w:tcW w:w="2660" w:type="dxa"/>
            <w:vAlign w:val="bottom"/>
            <w:gridSpan w:val="7"/>
          </w:tcPr>
          <w:p>
            <w:pPr>
              <w:jc w:val="right"/>
              <w:ind w:right="121"/>
              <w:spacing w:after="0"/>
              <w:rPr>
                <w:sz w:val="20"/>
                <w:szCs w:val="20"/>
                <w:color w:val="auto"/>
              </w:rPr>
            </w:pPr>
            <w:r>
              <w:rPr>
                <w:rFonts w:ascii="Arial" w:cs="Arial" w:eastAsia="Arial" w:hAnsi="Arial"/>
                <w:sz w:val="18"/>
                <w:szCs w:val="18"/>
                <w:b w:val="1"/>
                <w:bCs w:val="1"/>
                <w:color w:val="auto"/>
                <w:w w:val="91"/>
              </w:rPr>
              <w:t>Nine Months Ended September</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217,576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194,310</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662,154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566,898</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63,438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203,117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203,051</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68,435</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239,173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194,889</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22,166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226,015</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loss on sale of assets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(649 )</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(3,336 )</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(5,559 )</w:t>
            </w:r>
          </w:p>
        </w:tc>
      </w:tr>
      <w:tr>
        <w:trPr>
          <w:trHeight w:val="209"/>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174,665</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154,787</w:t>
            </w:r>
          </w:p>
        </w:tc>
        <w:tc>
          <w:tcPr>
            <w:tcW w:w="3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512,994</w:t>
            </w: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618,396</w:t>
            </w:r>
          </w:p>
        </w:tc>
        <w:tc>
          <w:tcPr>
            <w:tcW w:w="100" w:type="dxa"/>
            <w:vAlign w:val="bottom"/>
            <w:tcBorders>
              <w:top w:val="single" w:sz="8" w:color="CFF0FC"/>
            </w:tcBorders>
          </w:tcPr>
          <w:p>
            <w:pPr>
              <w:spacing w:after="0"/>
              <w:rPr>
                <w:sz w:val="18"/>
                <w:szCs w:val="18"/>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39,523</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149,160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(51,498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431"/>
        </w:trPr>
        <w:tc>
          <w:tcPr>
            <w:tcW w:w="568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33,416</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18"/>
                <w:szCs w:val="18"/>
                <w:color w:val="auto"/>
              </w:rPr>
            </w:pPr>
          </w:p>
        </w:tc>
      </w:tr>
      <w:tr>
        <w:trPr>
          <w:trHeight w:val="209"/>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expense</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color w:val="auto"/>
              </w:rPr>
              <w:t>Income (loss) before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33,806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122,132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(88,097 )</w:t>
            </w: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(29,747 )</w:t>
            </w:r>
          </w:p>
        </w:tc>
      </w:tr>
      <w:tr>
        <w:trPr>
          <w:trHeight w:val="20"/>
        </w:trPr>
        <w:tc>
          <w:tcPr>
            <w:tcW w:w="5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23,997</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27,366</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95,144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(58,350 )</w:t>
            </w:r>
          </w:p>
        </w:tc>
      </w:tr>
      <w:tr>
        <w:trPr>
          <w:trHeight w:val="209"/>
        </w:trPr>
        <w:tc>
          <w:tcPr>
            <w:tcW w:w="5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(Loss) gain on interest rate swap</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(1,795 )</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r>
      <w:tr>
        <w:trPr>
          <w:trHeight w:val="249"/>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27,420</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95,519</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412"/>
        </w:trPr>
        <w:tc>
          <w:tcPr>
            <w:tcW w:w="568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(0.21 )</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680" w:type="dxa"/>
            <w:vAlign w:val="bottom"/>
          </w:tcPr>
          <w:p>
            <w:pPr>
              <w:ind w:left="2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0.07</w:t>
            </w:r>
          </w:p>
        </w:tc>
        <w:tc>
          <w:tcPr>
            <w:tcW w:w="2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0.08</w:t>
            </w:r>
          </w:p>
        </w:tc>
        <w:tc>
          <w:tcPr>
            <w:tcW w:w="3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(0.21 )</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304,290,590</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296,360,660</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302,641,749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274,387,532</w:t>
            </w:r>
          </w:p>
        </w:tc>
        <w:tc>
          <w:tcPr>
            <w:tcW w:w="100" w:type="dxa"/>
            <w:vAlign w:val="bottom"/>
          </w:tcPr>
          <w:p>
            <w:pPr>
              <w:spacing w:after="0"/>
              <w:rPr>
                <w:sz w:val="18"/>
                <w:szCs w:val="18"/>
                <w:color w:val="auto"/>
              </w:rPr>
            </w:pPr>
          </w:p>
        </w:tc>
      </w:tr>
      <w:tr>
        <w:trPr>
          <w:trHeight w:val="209"/>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326,881,152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327,320,169</w:t>
            </w: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327,773,344</w:t>
            </w: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274,387,532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-3030220</wp:posOffset>
            </wp:positionV>
            <wp:extent cx="7683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-3030220</wp:posOffset>
            </wp:positionV>
            <wp:extent cx="7683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-3030220</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-3030220</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-2045970</wp:posOffset>
            </wp:positionV>
            <wp:extent cx="7683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-2045970</wp:posOffset>
            </wp:positionV>
            <wp:extent cx="7683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-2045970</wp:posOffset>
            </wp:positionV>
            <wp:extent cx="685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-1763395</wp:posOffset>
            </wp:positionV>
            <wp:extent cx="76835" cy="290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29083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-1763395</wp:posOffset>
            </wp:positionV>
            <wp:extent cx="76835" cy="290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29083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-1763395</wp:posOffset>
            </wp:positionV>
            <wp:extent cx="68580" cy="290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290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-1052830</wp:posOffset>
            </wp:positionV>
            <wp:extent cx="2816860" cy="299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16860" cy="29972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-615950</wp:posOffset>
            </wp:positionV>
            <wp:extent cx="281686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16860" cy="18859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-7620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4760"/>
        <w:spacing w:after="0"/>
        <w:rPr>
          <w:sz w:val="20"/>
          <w:szCs w:val="20"/>
          <w:color w:val="auto"/>
        </w:rPr>
      </w:pPr>
      <w:r>
        <w:rPr>
          <w:rFonts w:ascii="Arial" w:cs="Arial" w:eastAsia="Arial" w:hAnsi="Arial"/>
          <w:sz w:val="18"/>
          <w:szCs w:val="18"/>
          <w:b w:val="1"/>
          <w:bCs w:val="1"/>
          <w:color w:val="auto"/>
        </w:rPr>
        <w:t>Mister Car Wash, Inc.</w:t>
      </w:r>
    </w:p>
    <w:p>
      <w:pPr>
        <w:spacing w:after="0" w:line="2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(Amounts 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356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Nine Months Ended September 30,</w:t>
            </w:r>
          </w:p>
        </w:tc>
      </w:tr>
      <w:tr>
        <w:trPr>
          <w:trHeight w:val="199"/>
        </w:trPr>
        <w:tc>
          <w:tcPr>
            <w:tcW w:w="76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95,144</w:t>
            </w:r>
          </w:p>
        </w:tc>
        <w:tc>
          <w:tcPr>
            <w:tcW w:w="28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(58,350 )</w:t>
            </w: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6"/>
                <w:szCs w:val="16"/>
                <w:color w:val="auto"/>
              </w:rPr>
              <w:t>Depreciation and amortization expense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45,274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36,530</w:t>
            </w: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16,959</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210,292</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6"/>
                <w:szCs w:val="16"/>
                <w:color w:val="auto"/>
              </w:rPr>
              <w:t>(Gain) loss on sale of assets</w:t>
            </w:r>
          </w:p>
        </w:tc>
        <w:tc>
          <w:tcPr>
            <w:tcW w:w="9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(3,336 )</w:t>
            </w:r>
          </w:p>
        </w:tc>
        <w:tc>
          <w:tcPr>
            <w:tcW w:w="3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(5,559 )</w:t>
            </w:r>
          </w:p>
        </w:tc>
      </w:tr>
      <w:tr>
        <w:trPr>
          <w:trHeight w:val="202"/>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extinguishment of debt</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3,183</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6"/>
                <w:szCs w:val="16"/>
                <w:color w:val="auto"/>
              </w:rPr>
              <w:t>Amortization of deferred debt issuance costs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1,270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lease expense</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29,602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26,535</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6"/>
                <w:szCs w:val="16"/>
                <w:color w:val="auto"/>
              </w:rPr>
              <w:t>Deferred income tax</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21,526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(33,247 )</w:t>
            </w:r>
          </w:p>
        </w:tc>
      </w:tr>
      <w:tr>
        <w:trPr>
          <w:trHeight w:val="202"/>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assets and liabilities: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9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(1,663 )</w:t>
            </w:r>
          </w:p>
        </w:tc>
        <w:tc>
          <w:tcPr>
            <w:tcW w:w="3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(549 )</w:t>
            </w:r>
          </w:p>
        </w:tc>
      </w:tr>
      <w:tr>
        <w:trPr>
          <w:trHeight w:val="202"/>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receivables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(5,595 )</w:t>
            </w:r>
          </w:p>
        </w:tc>
      </w:tr>
      <w:tr>
        <w:trPr>
          <w:trHeight w:val="202"/>
        </w:trPr>
        <w:tc>
          <w:tcPr>
            <w:tcW w:w="7680" w:type="dxa"/>
            <w:vAlign w:val="bottom"/>
          </w:tcPr>
          <w:p>
            <w:pPr>
              <w:ind w:left="300"/>
              <w:spacing w:after="0"/>
              <w:rPr>
                <w:sz w:val="20"/>
                <w:szCs w:val="20"/>
                <w:color w:val="auto"/>
              </w:rPr>
            </w:pPr>
            <w:r>
              <w:rPr>
                <w:rFonts w:ascii="Arial" w:cs="Arial" w:eastAsia="Arial" w:hAnsi="Arial"/>
                <w:sz w:val="16"/>
                <w:szCs w:val="16"/>
                <w:color w:val="auto"/>
              </w:rPr>
              <w:t>Inventory, net</w:t>
            </w:r>
          </w:p>
        </w:tc>
        <w:tc>
          <w:tcPr>
            <w:tcW w:w="9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(2,431 )</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(2,458 )</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(5,042 )</w:t>
            </w:r>
          </w:p>
        </w:tc>
      </w:tr>
      <w:tr>
        <w:trPr>
          <w:trHeight w:val="202"/>
        </w:trPr>
        <w:tc>
          <w:tcPr>
            <w:tcW w:w="768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6,424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4,025</w:t>
            </w: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Accrued expenses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6,874</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30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Operating lease liability</w:t>
            </w:r>
          </w:p>
        </w:tc>
        <w:tc>
          <w:tcPr>
            <w:tcW w:w="9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(32,103 )</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(26,468 )</w:t>
            </w:r>
          </w:p>
        </w:tc>
      </w:tr>
      <w:tr>
        <w:trPr>
          <w:trHeight w:val="202"/>
        </w:trPr>
        <w:tc>
          <w:tcPr>
            <w:tcW w:w="7680" w:type="dxa"/>
            <w:vAlign w:val="bottom"/>
          </w:tcPr>
          <w:p>
            <w:pPr>
              <w:ind w:left="300"/>
              <w:spacing w:after="0"/>
              <w:rPr>
                <w:sz w:val="20"/>
                <w:szCs w:val="20"/>
                <w:color w:val="auto"/>
              </w:rPr>
            </w:pPr>
            <w:r>
              <w:rPr>
                <w:rFonts w:ascii="Arial" w:cs="Arial" w:eastAsia="Arial" w:hAnsi="Arial"/>
                <w:sz w:val="16"/>
                <w:szCs w:val="16"/>
                <w:color w:val="auto"/>
              </w:rPr>
              <w:t>Other noncurrent assets and liabilities</w:t>
            </w:r>
          </w:p>
        </w:tc>
        <w:tc>
          <w:tcPr>
            <w:tcW w:w="9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(2,065 )</w:t>
            </w:r>
          </w:p>
        </w:tc>
        <w:tc>
          <w:tcPr>
            <w:tcW w:w="3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(2,599 )</w:t>
            </w:r>
          </w:p>
        </w:tc>
      </w:tr>
      <w:tr>
        <w:trPr>
          <w:trHeight w:val="196"/>
        </w:trPr>
        <w:tc>
          <w:tcPr>
            <w:tcW w:w="7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185,453</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153,309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95"/>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0"/>
              </w:rPr>
              <w:t>(132,014 )</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(86,330 )</w:t>
            </w: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Acquisition of car wash operations, net of cash</w:t>
            </w:r>
          </w:p>
        </w:tc>
        <w:tc>
          <w:tcPr>
            <w:tcW w:w="9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(65,533 )</w:t>
            </w:r>
          </w:p>
        </w:tc>
        <w:tc>
          <w:tcPr>
            <w:tcW w:w="3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(55,072 )</w:t>
            </w:r>
          </w:p>
        </w:tc>
      </w:tr>
      <w:tr>
        <w:trPr>
          <w:trHeight w:val="202"/>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9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63,763</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12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(133,784 )</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(90,458 )</w:t>
            </w:r>
          </w:p>
        </w:tc>
      </w:tr>
      <w:tr>
        <w:trPr>
          <w:trHeight w:val="196"/>
        </w:trPr>
        <w:tc>
          <w:tcPr>
            <w:tcW w:w="76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issuance of common stock pursuant to initial public offering</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468,750</w:t>
            </w: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under employee plans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Payments for repurchases of common stock</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(308 )</w:t>
            </w: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secondary public offering for employee tax withholdings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20,859</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Tax withholdings paid on behalf of employees for secondary public offering</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(20,859 )</w:t>
            </w: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on debt borrowings</w:t>
            </w:r>
          </w:p>
        </w:tc>
        <w:tc>
          <w:tcPr>
            <w:tcW w:w="9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(2,100 )</w:t>
            </w: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(456,972 )</w:t>
            </w: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Payments of debt extinguishment costs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deferred debt issuance costs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(226 )</w:t>
            </w: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Principal payments on finance lease obligations</w:t>
            </w:r>
          </w:p>
        </w:tc>
        <w:tc>
          <w:tcPr>
            <w:tcW w:w="9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(421 )</w:t>
            </w:r>
          </w:p>
        </w:tc>
        <w:tc>
          <w:tcPr>
            <w:tcW w:w="3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(364 )</w:t>
            </w: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issuance costs pursuant to initial public offering</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(29,194 )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120"/>
              <w:spacing w:after="0"/>
              <w:rPr>
                <w:sz w:val="20"/>
                <w:szCs w:val="20"/>
                <w:color w:val="auto"/>
              </w:rPr>
            </w:pPr>
            <w:r>
              <w:rPr>
                <w:rFonts w:ascii="Arial" w:cs="Arial" w:eastAsia="Arial" w:hAnsi="Arial"/>
                <w:sz w:val="16"/>
                <w:szCs w:val="16"/>
                <w:color w:val="auto"/>
              </w:rPr>
              <w:t>Net cash provided by (used in) financing activities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3,420</w:t>
            </w:r>
          </w:p>
        </w:tc>
        <w:tc>
          <w:tcPr>
            <w:tcW w:w="28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(18,221 )</w:t>
            </w:r>
          </w:p>
        </w:tc>
      </w:tr>
      <w:tr>
        <w:trPr>
          <w:trHeight w:val="196"/>
        </w:trPr>
        <w:tc>
          <w:tcPr>
            <w:tcW w:w="76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cash and cash equivalents and restricted cash during period</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55,089</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44,630</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19,858</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117,874</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74,947</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162,504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2"/>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25,900</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33,134</w:t>
            </w:r>
          </w:p>
        </w:tc>
        <w:tc>
          <w:tcPr>
            <w:tcW w:w="100" w:type="dxa"/>
            <w:vAlign w:val="bottom"/>
            <w:shd w:val="clear" w:color="auto" w:fill="CFF0FC"/>
          </w:tcPr>
          <w:p>
            <w:pPr>
              <w:spacing w:after="0"/>
              <w:rPr>
                <w:sz w:val="17"/>
                <w:szCs w:val="17"/>
                <w:color w:val="auto"/>
              </w:rPr>
            </w:pPr>
          </w:p>
        </w:tc>
      </w:tr>
      <w:tr>
        <w:trPr>
          <w:trHeight w:val="206"/>
        </w:trPr>
        <w:tc>
          <w:tcPr>
            <w:tcW w:w="768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2,416</w:t>
            </w:r>
          </w:p>
        </w:tc>
        <w:tc>
          <w:tcPr>
            <w:tcW w:w="28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8,029</w:t>
            </w:r>
          </w:p>
        </w:tc>
        <w:tc>
          <w:tcPr>
            <w:tcW w:w="100" w:type="dxa"/>
            <w:vAlign w:val="bottom"/>
          </w:tcPr>
          <w:p>
            <w:pPr>
              <w:spacing w:after="0"/>
              <w:rPr>
                <w:sz w:val="17"/>
                <w:szCs w:val="17"/>
                <w:color w:val="auto"/>
              </w:rPr>
            </w:pPr>
          </w:p>
        </w:tc>
      </w:tr>
      <w:tr>
        <w:trPr>
          <w:trHeight w:val="198"/>
        </w:trPr>
        <w:tc>
          <w:tcPr>
            <w:tcW w:w="7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Property and equipment in accounts payable</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10,965</w:t>
            </w:r>
          </w:p>
        </w:tc>
        <w:tc>
          <w:tcPr>
            <w:tcW w:w="28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14,817</w:t>
            </w: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accrued in other accrued expenses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-4057650</wp:posOffset>
            </wp:positionV>
            <wp:extent cx="76835" cy="265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-4057650</wp:posOffset>
            </wp:positionV>
            <wp:extent cx="68580"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-3407410</wp:posOffset>
            </wp:positionV>
            <wp:extent cx="76835" cy="273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2736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-3407410</wp:posOffset>
            </wp:positionV>
            <wp:extent cx="68580" cy="273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7368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-1720215</wp:posOffset>
            </wp:positionV>
            <wp:extent cx="76835" cy="273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2736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-1720215</wp:posOffset>
            </wp:positionV>
            <wp:extent cx="68580" cy="273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7368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-1052830</wp:posOffset>
            </wp:positionV>
            <wp:extent cx="1258570" cy="282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58570" cy="28257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231F20"/>
        </w:rPr>
        <w:t>Mister Car Wash,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Condensed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(Amounts in thousands, except share and per share data)</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2022</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w w:val="93"/>
              </w:rPr>
              <w:t>Other</w:t>
            </w: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60" w:type="dxa"/>
            <w:vAlign w:val="bottom"/>
            <w:gridSpan w:val="3"/>
            <w:vMerge w:val="restart"/>
          </w:tcPr>
          <w:p>
            <w:pPr>
              <w:jc w:val="right"/>
              <w:ind w:right="220"/>
              <w:spacing w:after="0"/>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93"/>
              </w:rPr>
              <w:t>Paid-in</w:t>
            </w:r>
          </w:p>
        </w:tc>
        <w:tc>
          <w:tcPr>
            <w:tcW w:w="100" w:type="dxa"/>
            <w:vAlign w:val="bottom"/>
          </w:tcPr>
          <w:p>
            <w:pPr>
              <w:spacing w:after="0"/>
              <w:rPr>
                <w:sz w:val="14"/>
                <w:szCs w:val="14"/>
                <w:color w:val="auto"/>
              </w:rPr>
            </w:pPr>
          </w:p>
        </w:tc>
        <w:tc>
          <w:tcPr>
            <w:tcW w:w="144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2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3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Common Stock</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Income</w:t>
            </w:r>
          </w:p>
        </w:tc>
        <w:tc>
          <w:tcPr>
            <w:tcW w:w="1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280" w:type="dxa"/>
            <w:vAlign w:val="bottom"/>
            <w:vMerge w:val="restart"/>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900" w:type="dxa"/>
            <w:vAlign w:val="bottom"/>
            <w:shd w:val="clear" w:color="auto" w:fill="CFF0FC"/>
          </w:tcPr>
          <w:p>
            <w:pPr>
              <w:jc w:val="right"/>
              <w:spacing w:after="0" w:line="159" w:lineRule="exact"/>
              <w:rPr>
                <w:sz w:val="20"/>
                <w:szCs w:val="20"/>
                <w:color w:val="auto"/>
              </w:rPr>
            </w:pPr>
            <w:r>
              <w:rPr>
                <w:rFonts w:ascii="Arial" w:cs="Arial" w:eastAsia="Arial" w:hAnsi="Arial"/>
                <w:sz w:val="16"/>
                <w:szCs w:val="16"/>
                <w:color w:val="auto"/>
              </w:rPr>
              <w:t>300,120,45</w:t>
            </w:r>
          </w:p>
        </w:tc>
        <w:tc>
          <w:tcPr>
            <w:tcW w:w="5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3,007</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752,343</w:t>
            </w:r>
          </w:p>
        </w:tc>
        <w:tc>
          <w:tcPr>
            <w:tcW w:w="34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2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(98,423 )</w:t>
            </w:r>
          </w:p>
        </w:tc>
        <w:tc>
          <w:tcPr>
            <w:tcW w:w="2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657,152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280" w:type="dxa"/>
            <w:vAlign w:val="bottom"/>
            <w:vMerge w:val="continue"/>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540" w:type="dxa"/>
            <w:vAlign w:val="bottom"/>
            <w:gridSpan w:val="2"/>
            <w:vMerge w:val="continue"/>
            <w:shd w:val="clear" w:color="auto" w:fill="CFF0FC"/>
          </w:tcPr>
          <w:p>
            <w:pPr>
              <w:spacing w:after="0"/>
              <w:rPr>
                <w:sz w:val="9"/>
                <w:szCs w:val="9"/>
                <w:color w:val="auto"/>
              </w:rPr>
            </w:pPr>
          </w:p>
        </w:tc>
        <w:tc>
          <w:tcPr>
            <w:tcW w:w="880" w:type="dxa"/>
            <w:vAlign w:val="bottom"/>
            <w:vMerge w:val="continue"/>
            <w:shd w:val="clear" w:color="auto" w:fill="CFF0FC"/>
          </w:tcPr>
          <w:p>
            <w:pPr>
              <w:spacing w:after="0"/>
              <w:rPr>
                <w:sz w:val="9"/>
                <w:szCs w:val="9"/>
                <w:color w:val="auto"/>
              </w:rPr>
            </w:pPr>
          </w:p>
        </w:tc>
        <w:tc>
          <w:tcPr>
            <w:tcW w:w="480" w:type="dxa"/>
            <w:vAlign w:val="bottom"/>
            <w:gridSpan w:val="2"/>
            <w:vMerge w:val="continue"/>
            <w:shd w:val="clear" w:color="auto" w:fill="CFF0FC"/>
          </w:tcPr>
          <w:p>
            <w:pPr>
              <w:spacing w:after="0"/>
              <w:rPr>
                <w:sz w:val="9"/>
                <w:szCs w:val="9"/>
                <w:color w:val="auto"/>
              </w:rPr>
            </w:pPr>
          </w:p>
        </w:tc>
        <w:tc>
          <w:tcPr>
            <w:tcW w:w="800" w:type="dxa"/>
            <w:vAlign w:val="bottom"/>
            <w:vMerge w:val="continue"/>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12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vMerge w:val="continue"/>
            <w:shd w:val="clear" w:color="auto" w:fill="CFF0FC"/>
          </w:tcPr>
          <w:p>
            <w:pPr>
              <w:spacing w:after="0"/>
              <w:rPr>
                <w:sz w:val="9"/>
                <w:szCs w:val="9"/>
                <w:color w:val="auto"/>
              </w:rPr>
            </w:pPr>
          </w:p>
        </w:tc>
        <w:tc>
          <w:tcPr>
            <w:tcW w:w="1040" w:type="dxa"/>
            <w:vAlign w:val="bottom"/>
            <w:gridSpan w:val="2"/>
            <w:vMerge w:val="continue"/>
            <w:shd w:val="clear" w:color="auto" w:fill="CFF0FC"/>
          </w:tcPr>
          <w:p>
            <w:pPr>
              <w:spacing w:after="0"/>
              <w:rPr>
                <w:sz w:val="9"/>
                <w:szCs w:val="9"/>
                <w:color w:val="auto"/>
              </w:rPr>
            </w:pPr>
          </w:p>
        </w:tc>
        <w:tc>
          <w:tcPr>
            <w:tcW w:w="220" w:type="dxa"/>
            <w:vAlign w:val="bottom"/>
            <w:vMerge w:val="continue"/>
            <w:shd w:val="clear" w:color="auto" w:fill="CFF0FC"/>
          </w:tcPr>
          <w:p>
            <w:pPr>
              <w:spacing w:after="0"/>
              <w:rPr>
                <w:sz w:val="9"/>
                <w:szCs w:val="9"/>
                <w:color w:val="auto"/>
              </w:rPr>
            </w:pPr>
          </w:p>
        </w:tc>
        <w:tc>
          <w:tcPr>
            <w:tcW w:w="9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280" w:type="dxa"/>
            <w:vAlign w:val="bottom"/>
            <w:shd w:val="clear" w:color="auto" w:fill="CFF0FC"/>
          </w:tcPr>
          <w:p>
            <w:pPr>
              <w:spacing w:after="0"/>
              <w:rPr>
                <w:sz w:val="7"/>
                <w:szCs w:val="7"/>
                <w:color w:val="auto"/>
              </w:rPr>
            </w:pPr>
          </w:p>
        </w:tc>
        <w:tc>
          <w:tcPr>
            <w:tcW w:w="900" w:type="dxa"/>
            <w:vAlign w:val="bottom"/>
            <w:vMerge w:val="continue"/>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5,519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1,486,727</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rPr>
                <w:sz w:val="20"/>
                <w:szCs w:val="20"/>
                <w:color w:val="auto"/>
              </w:rPr>
            </w:pPr>
            <w:r>
              <w:rPr>
                <w:rFonts w:ascii="Arial" w:cs="Arial" w:eastAsia="Arial" w:hAnsi="Arial"/>
                <w:sz w:val="16"/>
                <w:szCs w:val="16"/>
                <w:color w:val="auto"/>
              </w:rPr>
              <w:t>Gain on interest rate swap</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35,488</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900" w:type="dxa"/>
            <w:vAlign w:val="bottom"/>
          </w:tcPr>
          <w:p>
            <w:pPr>
              <w:jc w:val="right"/>
              <w:spacing w:after="0" w:line="159" w:lineRule="exact"/>
              <w:rPr>
                <w:sz w:val="20"/>
                <w:szCs w:val="20"/>
                <w:color w:val="auto"/>
              </w:rPr>
            </w:pPr>
            <w:r>
              <w:rPr>
                <w:rFonts w:ascii="Arial" w:cs="Arial" w:eastAsia="Arial" w:hAnsi="Arial"/>
                <w:sz w:val="16"/>
                <w:szCs w:val="16"/>
                <w:color w:val="auto"/>
              </w:rPr>
              <w:t>301,607,17</w:t>
            </w: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3,022</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759,173</w:t>
            </w:r>
          </w:p>
        </w:tc>
        <w:tc>
          <w:tcPr>
            <w:tcW w:w="3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2,094</w:t>
            </w:r>
          </w:p>
        </w:tc>
        <w:tc>
          <w:tcPr>
            <w:tcW w:w="22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(62,935 )</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701,354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280" w:type="dxa"/>
            <w:vAlign w:val="bottom"/>
            <w:vMerge w:val="continue"/>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5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Stock-based compensation expense</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5,979</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80" w:type="dxa"/>
            <w:vAlign w:val="bottom"/>
          </w:tcPr>
          <w:p>
            <w:pPr>
              <w:ind w:left="120"/>
              <w:spacing w:after="0" w:line="165" w:lineRule="exact"/>
              <w:rPr>
                <w:sz w:val="20"/>
                <w:szCs w:val="20"/>
                <w:color w:val="auto"/>
              </w:rPr>
            </w:pPr>
            <w:r>
              <w:rPr>
                <w:rFonts w:ascii="Arial" w:cs="Arial" w:eastAsia="Arial" w:hAnsi="Arial"/>
                <w:sz w:val="16"/>
                <w:szCs w:val="16"/>
                <w:color w:val="auto"/>
              </w:rPr>
              <w:t>Issuance of common stock under employee</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251,003</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2,415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280" w:type="dxa"/>
            <w:vAlign w:val="bottom"/>
            <w:vMerge w:val="restart"/>
          </w:tcPr>
          <w:p>
            <w:pPr>
              <w:ind w:left="120"/>
              <w:spacing w:after="0"/>
              <w:rPr>
                <w:sz w:val="20"/>
                <w:szCs w:val="20"/>
                <w:color w:val="auto"/>
              </w:rPr>
            </w:pPr>
            <w:r>
              <w:rPr>
                <w:rFonts w:ascii="Arial" w:cs="Arial" w:eastAsia="Arial" w:hAnsi="Arial"/>
                <w:sz w:val="16"/>
                <w:szCs w:val="16"/>
                <w:color w:val="auto"/>
              </w:rPr>
              <w:t>plans</w:t>
            </w:r>
          </w:p>
        </w:tc>
        <w:tc>
          <w:tcPr>
            <w:tcW w:w="9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2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Vesting of restricted stock units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457,372</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1,601,615</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Gain on interest rate swap</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35,659</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280" w:type="dxa"/>
            <w:vAlign w:val="bottom"/>
            <w:vMerge w:val="restart"/>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900" w:type="dxa"/>
            <w:vAlign w:val="bottom"/>
            <w:shd w:val="clear" w:color="auto" w:fill="CFF0FC"/>
          </w:tcPr>
          <w:p>
            <w:pPr>
              <w:jc w:val="right"/>
              <w:spacing w:after="0" w:line="159" w:lineRule="exact"/>
              <w:rPr>
                <w:sz w:val="20"/>
                <w:szCs w:val="20"/>
                <w:color w:val="auto"/>
              </w:rPr>
            </w:pPr>
            <w:r>
              <w:rPr>
                <w:rFonts w:ascii="Arial" w:cs="Arial" w:eastAsia="Arial" w:hAnsi="Arial"/>
                <w:sz w:val="16"/>
                <w:szCs w:val="16"/>
                <w:color w:val="auto"/>
              </w:rPr>
              <w:t>303,917,16</w:t>
            </w:r>
          </w:p>
        </w:tc>
        <w:tc>
          <w:tcPr>
            <w:tcW w:w="5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3,045</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769,242</w:t>
            </w:r>
          </w:p>
        </w:tc>
        <w:tc>
          <w:tcPr>
            <w:tcW w:w="34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2,395</w:t>
            </w:r>
          </w:p>
        </w:tc>
        <w:tc>
          <w:tcPr>
            <w:tcW w:w="22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(27,276 )</w:t>
            </w:r>
          </w:p>
        </w:tc>
        <w:tc>
          <w:tcPr>
            <w:tcW w:w="2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747,406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280" w:type="dxa"/>
            <w:vAlign w:val="bottom"/>
            <w:vMerge w:val="continue"/>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540" w:type="dxa"/>
            <w:vAlign w:val="bottom"/>
            <w:gridSpan w:val="2"/>
            <w:vMerge w:val="continue"/>
            <w:shd w:val="clear" w:color="auto" w:fill="CFF0FC"/>
          </w:tcPr>
          <w:p>
            <w:pPr>
              <w:spacing w:after="0"/>
              <w:rPr>
                <w:sz w:val="9"/>
                <w:szCs w:val="9"/>
                <w:color w:val="auto"/>
              </w:rPr>
            </w:pPr>
          </w:p>
        </w:tc>
        <w:tc>
          <w:tcPr>
            <w:tcW w:w="880" w:type="dxa"/>
            <w:vAlign w:val="bottom"/>
            <w:vMerge w:val="continue"/>
            <w:shd w:val="clear" w:color="auto" w:fill="CFF0FC"/>
          </w:tcPr>
          <w:p>
            <w:pPr>
              <w:spacing w:after="0"/>
              <w:rPr>
                <w:sz w:val="9"/>
                <w:szCs w:val="9"/>
                <w:color w:val="auto"/>
              </w:rPr>
            </w:pPr>
          </w:p>
        </w:tc>
        <w:tc>
          <w:tcPr>
            <w:tcW w:w="480" w:type="dxa"/>
            <w:vAlign w:val="bottom"/>
            <w:gridSpan w:val="2"/>
            <w:vMerge w:val="continue"/>
            <w:shd w:val="clear" w:color="auto" w:fill="CFF0FC"/>
          </w:tcPr>
          <w:p>
            <w:pPr>
              <w:spacing w:after="0"/>
              <w:rPr>
                <w:sz w:val="9"/>
                <w:szCs w:val="9"/>
                <w:color w:val="auto"/>
              </w:rPr>
            </w:pPr>
          </w:p>
        </w:tc>
        <w:tc>
          <w:tcPr>
            <w:tcW w:w="800" w:type="dxa"/>
            <w:vAlign w:val="bottom"/>
            <w:vMerge w:val="continue"/>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12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vMerge w:val="continue"/>
            <w:shd w:val="clear" w:color="auto" w:fill="CFF0FC"/>
          </w:tcPr>
          <w:p>
            <w:pPr>
              <w:spacing w:after="0"/>
              <w:rPr>
                <w:sz w:val="9"/>
                <w:szCs w:val="9"/>
                <w:color w:val="auto"/>
              </w:rPr>
            </w:pPr>
          </w:p>
        </w:tc>
        <w:tc>
          <w:tcPr>
            <w:tcW w:w="1040" w:type="dxa"/>
            <w:vAlign w:val="bottom"/>
            <w:gridSpan w:val="2"/>
            <w:vMerge w:val="continue"/>
            <w:shd w:val="clear" w:color="auto" w:fill="CFF0FC"/>
          </w:tcPr>
          <w:p>
            <w:pPr>
              <w:spacing w:after="0"/>
              <w:rPr>
                <w:sz w:val="9"/>
                <w:szCs w:val="9"/>
                <w:color w:val="auto"/>
              </w:rPr>
            </w:pPr>
          </w:p>
        </w:tc>
        <w:tc>
          <w:tcPr>
            <w:tcW w:w="220" w:type="dxa"/>
            <w:vAlign w:val="bottom"/>
            <w:vMerge w:val="continue"/>
            <w:shd w:val="clear" w:color="auto" w:fill="CFF0FC"/>
          </w:tcPr>
          <w:p>
            <w:pPr>
              <w:spacing w:after="0"/>
              <w:rPr>
                <w:sz w:val="9"/>
                <w:szCs w:val="9"/>
                <w:color w:val="auto"/>
              </w:rPr>
            </w:pPr>
          </w:p>
        </w:tc>
        <w:tc>
          <w:tcPr>
            <w:tcW w:w="9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280" w:type="dxa"/>
            <w:vAlign w:val="bottom"/>
            <w:shd w:val="clear" w:color="auto" w:fill="CFF0FC"/>
          </w:tcPr>
          <w:p>
            <w:pPr>
              <w:spacing w:after="0"/>
              <w:rPr>
                <w:sz w:val="7"/>
                <w:szCs w:val="7"/>
                <w:color w:val="auto"/>
              </w:rPr>
            </w:pPr>
          </w:p>
        </w:tc>
        <w:tc>
          <w:tcPr>
            <w:tcW w:w="900" w:type="dxa"/>
            <w:vAlign w:val="bottom"/>
            <w:vMerge w:val="continue"/>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5,461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707,166</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rPr>
                <w:sz w:val="20"/>
                <w:szCs w:val="20"/>
                <w:color w:val="auto"/>
              </w:rPr>
            </w:pPr>
            <w:r>
              <w:rPr>
                <w:rFonts w:ascii="Arial" w:cs="Arial" w:eastAsia="Arial" w:hAnsi="Arial"/>
                <w:sz w:val="16"/>
                <w:szCs w:val="16"/>
                <w:color w:val="auto"/>
              </w:rPr>
              <w:t>Loss on interest rate swap</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(1,795 )</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(1,795 )</w:t>
            </w:r>
          </w:p>
        </w:tc>
        <w:tc>
          <w:tcPr>
            <w:tcW w:w="0" w:type="dxa"/>
            <w:vAlign w:val="bottom"/>
          </w:tcPr>
          <w:p>
            <w:pPr>
              <w:spacing w:after="0"/>
              <w:rPr>
                <w:sz w:val="1"/>
                <w:szCs w:val="1"/>
                <w:color w:val="auto"/>
              </w:rPr>
            </w:pPr>
          </w:p>
        </w:tc>
      </w:tr>
      <w:tr>
        <w:trPr>
          <w:trHeight w:val="202"/>
        </w:trPr>
        <w:tc>
          <w:tcPr>
            <w:tcW w:w="3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23,997</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23,997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900" w:type="dxa"/>
            <w:vAlign w:val="bottom"/>
          </w:tcPr>
          <w:p>
            <w:pPr>
              <w:jc w:val="right"/>
              <w:spacing w:after="0" w:line="159" w:lineRule="exact"/>
              <w:rPr>
                <w:sz w:val="20"/>
                <w:szCs w:val="20"/>
                <w:color w:val="auto"/>
              </w:rPr>
            </w:pPr>
            <w:r>
              <w:rPr>
                <w:rFonts w:ascii="Arial" w:cs="Arial" w:eastAsia="Arial" w:hAnsi="Arial"/>
                <w:sz w:val="16"/>
                <w:szCs w:val="16"/>
                <w:color w:val="auto"/>
              </w:rPr>
              <w:t>304,624,33</w:t>
            </w: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3,052</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775,199</w:t>
            </w:r>
          </w:p>
        </w:tc>
        <w:tc>
          <w:tcPr>
            <w:tcW w:w="3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600</w:t>
            </w:r>
          </w:p>
        </w:tc>
        <w:tc>
          <w:tcPr>
            <w:tcW w:w="22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(3,279 )</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775,572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280" w:type="dxa"/>
            <w:vAlign w:val="bottom"/>
            <w:vMerge w:val="continue"/>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5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-2157095</wp:posOffset>
            </wp:positionV>
            <wp:extent cx="76835"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-2157095</wp:posOffset>
            </wp:positionV>
            <wp:extent cx="76835"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-2157095</wp:posOffset>
            </wp:positionV>
            <wp:extent cx="6858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-2157095</wp:posOffset>
            </wp:positionV>
            <wp:extent cx="6858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-2157095</wp:posOffset>
            </wp:positionV>
            <wp:extent cx="6858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-2157095</wp:posOffset>
            </wp:positionV>
            <wp:extent cx="68580"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-264795</wp:posOffset>
            </wp:positionV>
            <wp:extent cx="76835"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-264795</wp:posOffset>
            </wp:positionV>
            <wp:extent cx="76835"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-264795</wp:posOffset>
            </wp:positionV>
            <wp:extent cx="6858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-264795</wp:posOffset>
            </wp:positionV>
            <wp:extent cx="6858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-264795</wp:posOffset>
            </wp:positionV>
            <wp:extent cx="68580"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265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Nine Months Ended September 30, 2021</w:t>
      </w:r>
    </w:p>
    <w:p>
      <w:pPr>
        <w:spacing w:after="0" w:line="10" w:lineRule="exact"/>
        <w:rPr>
          <w:sz w:val="20"/>
          <w:szCs w:val="20"/>
          <w:color w:val="auto"/>
        </w:rPr>
      </w:pPr>
    </w:p>
    <w:tbl>
      <w:tblPr>
        <w:tblLayout w:type="fixed"/>
        <w:tblInd w:w="326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3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Other</w:t>
            </w:r>
          </w:p>
        </w:tc>
        <w:tc>
          <w:tcPr>
            <w:tcW w:w="2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7"/>
              </w:rPr>
              <w:t>Paid-in</w:t>
            </w:r>
          </w:p>
        </w:tc>
        <w:tc>
          <w:tcPr>
            <w:tcW w:w="34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Common Stock</w:t>
            </w:r>
          </w:p>
        </w:tc>
        <w:tc>
          <w:tcPr>
            <w:tcW w:w="3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3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Loss</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Deficit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4"/>
        </w:trPr>
        <w:tc>
          <w:tcPr>
            <w:tcW w:w="1100" w:type="dxa"/>
            <w:vAlign w:val="bottom"/>
          </w:tcPr>
          <w:p>
            <w:pPr>
              <w:ind w:left="220"/>
              <w:spacing w:after="0"/>
              <w:rPr>
                <w:sz w:val="20"/>
                <w:szCs w:val="20"/>
                <w:color w:val="auto"/>
              </w:rPr>
            </w:pPr>
            <w:r>
              <w:rPr>
                <w:rFonts w:ascii="Arial" w:cs="Arial" w:eastAsia="Arial" w:hAnsi="Arial"/>
                <w:sz w:val="16"/>
                <w:szCs w:val="16"/>
                <w:b w:val="1"/>
                <w:bCs w:val="1"/>
                <w:color w:val="auto"/>
              </w:rPr>
              <w:t>Shares</w:t>
            </w:r>
          </w:p>
        </w:tc>
        <w:tc>
          <w:tcPr>
            <w:tcW w:w="1240" w:type="dxa"/>
            <w:vAlign w:val="bottom"/>
          </w:tcPr>
          <w:p>
            <w:pPr>
              <w:ind w:left="420"/>
              <w:spacing w:after="0"/>
              <w:rPr>
                <w:sz w:val="20"/>
                <w:szCs w:val="20"/>
                <w:color w:val="auto"/>
              </w:rPr>
            </w:pPr>
            <w:r>
              <w:rPr>
                <w:rFonts w:ascii="Arial" w:cs="Arial" w:eastAsia="Arial" w:hAnsi="Arial"/>
                <w:sz w:val="16"/>
                <w:szCs w:val="16"/>
                <w:b w:val="1"/>
                <w:bCs w:val="1"/>
                <w:color w:val="auto"/>
              </w:rPr>
              <w:t>Amount</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-4445</wp:posOffset>
            </wp:positionV>
            <wp:extent cx="14814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81455" cy="8255"/>
                    </a:xfrm>
                    <a:prstGeom prst="rect">
                      <a:avLst/>
                    </a:prstGeom>
                    <a:noFill/>
                  </pic:spPr>
                </pic:pic>
              </a:graphicData>
            </a:graphic>
          </wp:anchor>
        </w:drawing>
      </w:r>
    </w:p>
    <w:p>
      <w:pPr>
        <w:sectPr>
          <w:pgSz w:w="11900" w:h="16838" w:orient="portrait"/>
          <w:cols w:equalWidth="0" w:num="1">
            <w:col w:w="11100"/>
          </w:cols>
          <w:pgMar w:left="360" w:top="314" w:right="439" w:bottom="1440" w:gutter="0" w:footer="0" w:header="0"/>
        </w:sectPr>
      </w:pP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December 31, 2020</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Stock-based compensation expense</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Exercise of stock options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Shares repurchased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Gain on interest rate swap</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income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March 31, 2021</w:t>
      </w:r>
    </w:p>
    <w:p>
      <w:pPr>
        <w:spacing w:after="0" w:line="130" w:lineRule="exact"/>
        <w:rPr>
          <w:sz w:val="20"/>
          <w:szCs w:val="20"/>
          <w:color w:val="auto"/>
        </w:rPr>
      </w:pPr>
    </w:p>
    <w:p>
      <w:pPr>
        <w:ind w:left="140"/>
        <w:spacing w:after="0" w:line="281" w:lineRule="auto"/>
        <w:rPr>
          <w:sz w:val="20"/>
          <w:szCs w:val="20"/>
          <w:color w:val="auto"/>
        </w:rPr>
      </w:pPr>
      <w:r>
        <w:rPr>
          <w:rFonts w:ascii="Arial" w:cs="Arial" w:eastAsia="Arial" w:hAnsi="Arial"/>
          <w:sz w:val="14"/>
          <w:szCs w:val="14"/>
          <w:color w:val="auto"/>
        </w:rPr>
        <w:t>Issuance of common stock pursuant to initial public offering, net of issuance of $29,194</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Stock-based compensation expense</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Vesting of restricted stock units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Exercise of stock options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Shares repurchased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Gain on interest rate swap</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loss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June 30, 2021</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Stock-based compensation expense</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Exercise of stock options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Shares repurchased</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Gain on interest rate swap</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income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as of September 30, 2021</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Arial" w:cs="Arial" w:eastAsia="Arial" w:hAnsi="Arial"/>
          <w:sz w:val="14"/>
          <w:szCs w:val="14"/>
          <w:color w:val="auto"/>
        </w:rPr>
        <w:t>261,907,62</w:t>
      </w:r>
    </w:p>
    <w:p>
      <w:pPr>
        <w:spacing w:after="0" w:line="2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w:t>
      </w:r>
    </w:p>
    <w:p>
      <w:pPr>
        <w:spacing w:after="0" w:line="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688,430</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(180,681 )</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15240</wp:posOffset>
            </wp:positionV>
            <wp:extent cx="5822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295" cy="8255"/>
                    </a:xfrm>
                    <a:prstGeom prst="rect">
                      <a:avLst/>
                    </a:prstGeom>
                    <a:noFill/>
                  </pic:spPr>
                </pic:pic>
              </a:graphicData>
            </a:graphic>
          </wp:anchor>
        </w:drawing>
      </w:r>
    </w:p>
    <w:p>
      <w:pPr>
        <w:spacing w:after="0" w:line="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262,415,37</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w:t>
      </w:r>
    </w:p>
    <w:p>
      <w:pPr>
        <w:spacing w:after="0"/>
        <w:rPr>
          <w:sz w:val="20"/>
          <w:szCs w:val="20"/>
          <w:color w:val="auto"/>
        </w:rPr>
      </w:pPr>
      <w:r>
        <w:rPr>
          <w:rFonts w:ascii="Arial" w:cs="Arial" w:eastAsia="Arial" w:hAnsi="Arial"/>
          <w:sz w:val="13"/>
          <w:szCs w:val="13"/>
          <w:color w:val="auto"/>
        </w:rPr>
        <w:t xml:space="preserve">31,250,000 </w:t>
      </w:r>
      <w:r>
        <w:rPr>
          <w:sz w:val="1"/>
          <w:szCs w:val="1"/>
          <w:color w:val="auto"/>
        </w:rPr>
        <w:drawing>
          <wp:inline distT="0" distB="0" distL="0" distR="0">
            <wp:extent cx="76835" cy="24003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240030"/>
                    </a:xfrm>
                    <a:prstGeom prst="rect">
                      <a:avLst/>
                    </a:prstGeom>
                    <a:noFill/>
                    <a:ln>
                      <a:noFill/>
                    </a:ln>
                  </pic:spPr>
                </pic:pic>
              </a:graphicData>
            </a:graphic>
          </wp:inline>
        </w:drawing>
      </w:r>
    </w:p>
    <w:p>
      <w:pPr>
        <w:ind w:left="680"/>
        <w:spacing w:after="0"/>
        <w:rPr>
          <w:sz w:val="20"/>
          <w:szCs w:val="20"/>
          <w:color w:val="auto"/>
        </w:rPr>
      </w:pPr>
      <w:r>
        <w:rPr>
          <w:rFonts w:ascii="Arial" w:cs="Arial" w:eastAsia="Arial" w:hAnsi="Arial"/>
          <w:sz w:val="16"/>
          <w:szCs w:val="16"/>
          <w:color w:val="auto"/>
        </w:rPr>
        <w:t>-</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7,680</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6"/>
          <w:szCs w:val="16"/>
          <w:color w:val="auto"/>
        </w:rPr>
        <w:t>2,516,784</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(127,357 )</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15240</wp:posOffset>
            </wp:positionV>
            <wp:extent cx="5822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295" cy="8255"/>
                    </a:xfrm>
                    <a:prstGeom prst="rect">
                      <a:avLst/>
                    </a:prstGeom>
                    <a:noFill/>
                  </pic:spPr>
                </pic:pic>
              </a:graphicData>
            </a:graphic>
          </wp:anchor>
        </w:drawing>
      </w:r>
    </w:p>
    <w:p>
      <w:pPr>
        <w:spacing w:after="0" w:line="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296,062,47</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8</w:t>
      </w:r>
    </w:p>
    <w:p>
      <w:pPr>
        <w:spacing w:after="0" w:line="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757,887</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(26,166 )</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15240</wp:posOffset>
            </wp:positionV>
            <wp:extent cx="5822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295" cy="8255"/>
                    </a:xfrm>
                    <a:prstGeom prst="rect">
                      <a:avLst/>
                    </a:prstGeom>
                    <a:noFill/>
                  </pic:spPr>
                </pic:pic>
              </a:graphicData>
            </a:graphic>
          </wp:anchor>
        </w:drawing>
      </w:r>
    </w:p>
    <w:p>
      <w:pPr>
        <w:spacing w:after="0" w:line="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296,794,19</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2,622</w:t>
            </w:r>
          </w:p>
        </w:tc>
        <w:tc>
          <w:tcPr>
            <w:tcW w:w="5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91,523</w:t>
            </w:r>
          </w:p>
        </w:tc>
        <w:tc>
          <w:tcPr>
            <w:tcW w:w="340" w:type="dxa"/>
            <w:vAlign w:val="bottom"/>
          </w:tcPr>
          <w:p>
            <w:pPr>
              <w:spacing w:after="0"/>
              <w:rPr>
                <w:sz w:val="17"/>
                <w:szCs w:val="17"/>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(1,117 )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(76,378 )</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16,650</w:t>
            </w:r>
          </w:p>
        </w:tc>
        <w:tc>
          <w:tcPr>
            <w:tcW w:w="60" w:type="dxa"/>
            <w:vAlign w:val="bottom"/>
          </w:tcPr>
          <w:p>
            <w:pPr>
              <w:spacing w:after="0"/>
              <w:rPr>
                <w:sz w:val="17"/>
                <w:szCs w:val="17"/>
                <w:color w:val="auto"/>
              </w:rPr>
            </w:pPr>
          </w:p>
        </w:tc>
      </w:tr>
      <w:tr>
        <w:trPr>
          <w:trHeight w:val="279"/>
        </w:trPr>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w:t>
            </w:r>
          </w:p>
        </w:tc>
        <w:tc>
          <w:tcPr>
            <w:tcW w:w="60" w:type="dxa"/>
            <w:vAlign w:val="bottom"/>
          </w:tcPr>
          <w:p>
            <w:pPr>
              <w:spacing w:after="0"/>
              <w:rPr>
                <w:sz w:val="24"/>
                <w:szCs w:val="24"/>
                <w:color w:val="auto"/>
              </w:rPr>
            </w:pPr>
          </w:p>
        </w:tc>
      </w:tr>
      <w:tr>
        <w:trPr>
          <w:trHeight w:val="202"/>
        </w:trPr>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260</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w:t>
            </w:r>
          </w:p>
        </w:tc>
        <w:tc>
          <w:tcPr>
            <w:tcW w:w="60" w:type="dxa"/>
            <w:vAlign w:val="bottom"/>
          </w:tcPr>
          <w:p>
            <w:pPr>
              <w:spacing w:after="0"/>
              <w:rPr>
                <w:sz w:val="17"/>
                <w:szCs w:val="17"/>
                <w:color w:val="auto"/>
              </w:rPr>
            </w:pPr>
          </w:p>
        </w:tc>
      </w:tr>
      <w:tr>
        <w:trPr>
          <w:trHeight w:val="202"/>
        </w:trPr>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(534 )</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(534 )</w:t>
            </w:r>
          </w:p>
        </w:tc>
      </w:tr>
      <w:tr>
        <w:trPr>
          <w:trHeight w:val="202"/>
        </w:trPr>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319</w:t>
            </w:r>
          </w:p>
        </w:tc>
        <w:tc>
          <w:tcPr>
            <w:tcW w:w="60" w:type="dxa"/>
            <w:vAlign w:val="bottom"/>
          </w:tcPr>
          <w:p>
            <w:pPr>
              <w:spacing w:after="0"/>
              <w:rPr>
                <w:sz w:val="17"/>
                <w:szCs w:val="17"/>
                <w:color w:val="auto"/>
              </w:rPr>
            </w:pPr>
          </w:p>
        </w:tc>
      </w:tr>
      <w:tr>
        <w:trPr>
          <w:trHeight w:val="209"/>
        </w:trPr>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24,584</w:t>
            </w:r>
          </w:p>
        </w:tc>
        <w:tc>
          <w:tcPr>
            <w:tcW w:w="60" w:type="dxa"/>
            <w:vAlign w:val="bottom"/>
          </w:tcPr>
          <w:p>
            <w:pPr>
              <w:spacing w:after="0"/>
              <w:rPr>
                <w:sz w:val="18"/>
                <w:szCs w:val="18"/>
                <w:color w:val="auto"/>
              </w:rPr>
            </w:pPr>
          </w:p>
        </w:tc>
      </w:tr>
      <w:tr>
        <w:trPr>
          <w:trHeight w:val="274"/>
        </w:trPr>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2,629</w:t>
            </w:r>
          </w:p>
        </w:tc>
        <w:tc>
          <w:tcPr>
            <w:tcW w:w="5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91,559</w:t>
            </w:r>
          </w:p>
        </w:tc>
        <w:tc>
          <w:tcPr>
            <w:tcW w:w="340" w:type="dxa"/>
            <w:vAlign w:val="bottom"/>
          </w:tcPr>
          <w:p>
            <w:pPr>
              <w:spacing w:after="0"/>
              <w:rPr>
                <w:sz w:val="23"/>
                <w:szCs w:val="23"/>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(798 )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(51,794 )</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41,596</w:t>
            </w:r>
          </w:p>
        </w:tc>
        <w:tc>
          <w:tcPr>
            <w:tcW w:w="60" w:type="dxa"/>
            <w:vAlign w:val="bottom"/>
          </w:tcPr>
          <w:p>
            <w:pPr>
              <w:spacing w:after="0"/>
              <w:rPr>
                <w:sz w:val="23"/>
                <w:szCs w:val="23"/>
                <w:color w:val="auto"/>
              </w:rPr>
            </w:pPr>
          </w:p>
        </w:tc>
      </w:tr>
      <w:tr>
        <w:trPr>
          <w:trHeight w:val="87"/>
        </w:trPr>
        <w:tc>
          <w:tcPr>
            <w:tcW w:w="3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8"/>
        </w:trPr>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313</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439,243</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439,556</w:t>
            </w:r>
          </w:p>
        </w:tc>
        <w:tc>
          <w:tcPr>
            <w:tcW w:w="60" w:type="dxa"/>
            <w:vAlign w:val="bottom"/>
          </w:tcPr>
          <w:p>
            <w:pPr>
              <w:spacing w:after="0"/>
              <w:rPr>
                <w:sz w:val="22"/>
                <w:szCs w:val="22"/>
                <w:color w:val="auto"/>
              </w:rPr>
            </w:pPr>
          </w:p>
        </w:tc>
      </w:tr>
      <w:tr>
        <w:trPr>
          <w:trHeight w:val="279"/>
        </w:trPr>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203,231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203,231</w:t>
            </w:r>
          </w:p>
        </w:tc>
        <w:tc>
          <w:tcPr>
            <w:tcW w:w="60" w:type="dxa"/>
            <w:vAlign w:val="bottom"/>
          </w:tcPr>
          <w:p>
            <w:pPr>
              <w:spacing w:after="0"/>
              <w:rPr>
                <w:sz w:val="24"/>
                <w:szCs w:val="24"/>
                <w:color w:val="auto"/>
              </w:rPr>
            </w:pPr>
          </w:p>
        </w:tc>
      </w:tr>
      <w:tr>
        <w:trPr>
          <w:trHeight w:val="202"/>
        </w:trPr>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2"/>
        </w:trPr>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1,597</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1,622</w:t>
            </w:r>
          </w:p>
        </w:tc>
        <w:tc>
          <w:tcPr>
            <w:tcW w:w="60" w:type="dxa"/>
            <w:vAlign w:val="bottom"/>
          </w:tcPr>
          <w:p>
            <w:pPr>
              <w:spacing w:after="0"/>
              <w:rPr>
                <w:sz w:val="17"/>
                <w:szCs w:val="17"/>
                <w:color w:val="auto"/>
              </w:rPr>
            </w:pPr>
          </w:p>
        </w:tc>
      </w:tr>
      <w:tr>
        <w:trPr>
          <w:trHeight w:val="202"/>
        </w:trPr>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(1,716 )</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(1,716 )</w:t>
            </w:r>
          </w:p>
        </w:tc>
      </w:tr>
      <w:tr>
        <w:trPr>
          <w:trHeight w:val="202"/>
        </w:trPr>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7"/>
                <w:szCs w:val="17"/>
                <w:color w:val="auto"/>
              </w:rPr>
            </w:pPr>
          </w:p>
        </w:tc>
      </w:tr>
      <w:tr>
        <w:trPr>
          <w:trHeight w:val="209"/>
        </w:trPr>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(110,300 )</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(110,300 )</w:t>
            </w:r>
          </w:p>
        </w:tc>
      </w:tr>
      <w:tr>
        <w:trPr>
          <w:trHeight w:val="20"/>
        </w:trPr>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4"/>
        </w:trPr>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2,967</w:t>
            </w:r>
          </w:p>
        </w:tc>
        <w:tc>
          <w:tcPr>
            <w:tcW w:w="320" w:type="dxa"/>
            <w:vAlign w:val="bottom"/>
          </w:tcPr>
          <w:p>
            <w:pPr>
              <w:spacing w:after="0"/>
              <w:rPr>
                <w:sz w:val="23"/>
                <w:szCs w:val="23"/>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733,914</w:t>
            </w:r>
          </w:p>
        </w:tc>
        <w:tc>
          <w:tcPr>
            <w:tcW w:w="340" w:type="dxa"/>
            <w:vAlign w:val="bottom"/>
          </w:tcPr>
          <w:p>
            <w:pPr>
              <w:spacing w:after="0"/>
              <w:rPr>
                <w:sz w:val="23"/>
                <w:szCs w:val="23"/>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(770 )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(162,094 )</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574,017</w:t>
            </w:r>
          </w:p>
        </w:tc>
        <w:tc>
          <w:tcPr>
            <w:tcW w:w="60" w:type="dxa"/>
            <w:vAlign w:val="bottom"/>
          </w:tcPr>
          <w:p>
            <w:pPr>
              <w:spacing w:after="0"/>
              <w:rPr>
                <w:sz w:val="23"/>
                <w:szCs w:val="23"/>
                <w:color w:val="auto"/>
              </w:rPr>
            </w:pPr>
          </w:p>
        </w:tc>
      </w:tr>
      <w:tr>
        <w:trPr>
          <w:trHeight w:val="279"/>
        </w:trPr>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6,751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6,751</w:t>
            </w:r>
          </w:p>
        </w:tc>
        <w:tc>
          <w:tcPr>
            <w:tcW w:w="60" w:type="dxa"/>
            <w:vAlign w:val="bottom"/>
          </w:tcPr>
          <w:p>
            <w:pPr>
              <w:spacing w:after="0"/>
              <w:rPr>
                <w:sz w:val="24"/>
                <w:szCs w:val="24"/>
                <w:color w:val="auto"/>
              </w:rPr>
            </w:pPr>
          </w:p>
        </w:tc>
      </w:tr>
      <w:tr>
        <w:trPr>
          <w:trHeight w:val="202"/>
        </w:trPr>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502</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510</w:t>
            </w:r>
          </w:p>
        </w:tc>
        <w:tc>
          <w:tcPr>
            <w:tcW w:w="60" w:type="dxa"/>
            <w:vAlign w:val="bottom"/>
          </w:tcPr>
          <w:p>
            <w:pPr>
              <w:spacing w:after="0"/>
              <w:rPr>
                <w:sz w:val="17"/>
                <w:szCs w:val="17"/>
                <w:color w:val="auto"/>
              </w:rPr>
            </w:pPr>
          </w:p>
        </w:tc>
      </w:tr>
      <w:tr>
        <w:trPr>
          <w:trHeight w:val="202"/>
        </w:trPr>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(510 )</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(510 )</w:t>
            </w:r>
          </w:p>
        </w:tc>
      </w:tr>
      <w:tr>
        <w:trPr>
          <w:trHeight w:val="202"/>
        </w:trPr>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17"/>
                <w:szCs w:val="17"/>
                <w:color w:val="auto"/>
              </w:rPr>
            </w:pPr>
          </w:p>
        </w:tc>
      </w:tr>
      <w:tr>
        <w:trPr>
          <w:trHeight w:val="209"/>
        </w:trPr>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27,366</w:t>
            </w:r>
          </w:p>
        </w:tc>
        <w:tc>
          <w:tcPr>
            <w:tcW w:w="60" w:type="dxa"/>
            <w:vAlign w:val="bottom"/>
          </w:tcPr>
          <w:p>
            <w:pPr>
              <w:spacing w:after="0"/>
              <w:rPr>
                <w:sz w:val="18"/>
                <w:szCs w:val="18"/>
                <w:color w:val="auto"/>
              </w:rPr>
            </w:pPr>
          </w:p>
        </w:tc>
      </w:tr>
      <w:tr>
        <w:trPr>
          <w:trHeight w:val="274"/>
        </w:trPr>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2,975</w:t>
            </w:r>
          </w:p>
        </w:tc>
        <w:tc>
          <w:tcPr>
            <w:tcW w:w="5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740,657</w:t>
            </w:r>
          </w:p>
        </w:tc>
        <w:tc>
          <w:tcPr>
            <w:tcW w:w="340" w:type="dxa"/>
            <w:vAlign w:val="bottom"/>
          </w:tcPr>
          <w:p>
            <w:pPr>
              <w:spacing w:after="0"/>
              <w:rPr>
                <w:sz w:val="23"/>
                <w:szCs w:val="23"/>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(716 )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(134,728 )</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608,188</w:t>
            </w:r>
          </w:p>
        </w:tc>
        <w:tc>
          <w:tcPr>
            <w:tcW w:w="60" w:type="dxa"/>
            <w:vAlign w:val="bottom"/>
          </w:tcPr>
          <w:p>
            <w:pPr>
              <w:spacing w:after="0"/>
              <w:rPr>
                <w:sz w:val="23"/>
                <w:szCs w:val="23"/>
                <w:color w:val="auto"/>
              </w:rPr>
            </w:pPr>
          </w:p>
        </w:tc>
      </w:tr>
      <w:tr>
        <w:trPr>
          <w:trHeight w:val="87"/>
        </w:trPr>
        <w:tc>
          <w:tcPr>
            <w:tcW w:w="3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-3287395</wp:posOffset>
            </wp:positionV>
            <wp:extent cx="7055485" cy="2311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55485" cy="231140"/>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-2927985</wp:posOffset>
            </wp:positionV>
            <wp:extent cx="7055485"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55485" cy="128270"/>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-2670810</wp:posOffset>
            </wp:positionV>
            <wp:extent cx="7055485" cy="128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55485" cy="128270"/>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-2405380</wp:posOffset>
            </wp:positionV>
            <wp:extent cx="7055485" cy="6165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55485" cy="616585"/>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-1660525</wp:posOffset>
            </wp:positionV>
            <wp:extent cx="7055485" cy="128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55485" cy="128270"/>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-1403350</wp:posOffset>
            </wp:positionV>
            <wp:extent cx="7055485" cy="128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55485" cy="128270"/>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-1137920</wp:posOffset>
            </wp:positionV>
            <wp:extent cx="7055485" cy="2311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55485" cy="231140"/>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-778510</wp:posOffset>
            </wp:positionV>
            <wp:extent cx="7055485" cy="128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55485" cy="128270"/>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-521970</wp:posOffset>
            </wp:positionV>
            <wp:extent cx="7055485" cy="128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55485" cy="128270"/>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-256540</wp:posOffset>
            </wp:positionV>
            <wp:extent cx="7055485"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55485" cy="25717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3">
            <w:col w:w="3040" w:space="380"/>
            <w:col w:w="880" w:space="260"/>
            <w:col w:w="6540"/>
          </w:cols>
          <w:pgMar w:left="360" w:top="314" w:right="439" w:bottom="1440" w:gutter="0" w:footer="0" w:header="0"/>
          <w:type w:val="continuous"/>
        </w:sectPr>
      </w:pPr>
    </w:p>
    <w:p>
      <w:pPr>
        <w:jc w:val="center"/>
        <w:ind w:right="-79"/>
        <w:spacing w:after="0"/>
        <w:rPr>
          <w:sz w:val="20"/>
          <w:szCs w:val="20"/>
          <w:color w:val="auto"/>
        </w:rPr>
      </w:pPr>
      <w:r>
        <w:rPr>
          <w:rFonts w:ascii="Arial" w:cs="Arial" w:eastAsia="Arial" w:hAnsi="Arial"/>
          <w:sz w:val="16"/>
          <w:szCs w:val="16"/>
          <w:i w:val="1"/>
          <w:iCs w:val="1"/>
          <w:color w:val="231F20"/>
        </w:rPr>
        <w:t>See accompanying notes to unaudited condensed consolidated financial statements.</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60" w:top="314" w:right="4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Mister Car Wash,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(Dollar amounts in thousands, except per share data)</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Nature of Business</w:t>
      </w:r>
    </w:p>
    <w:p>
      <w:pPr>
        <w:spacing w:after="0" w:line="10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231F20"/>
        </w:rPr>
        <w:t xml:space="preserve">Mister Car Wash, Inc., together with its subsidiaries (collectively, the </w:t>
      </w:r>
      <w:r>
        <w:rPr>
          <w:rFonts w:ascii="Arial" w:cs="Arial" w:eastAsia="Arial" w:hAnsi="Arial"/>
          <w:sz w:val="16"/>
          <w:szCs w:val="16"/>
          <w:color w:val="000000"/>
        </w:rPr>
        <w:t>“</w:t>
      </w:r>
      <w:r>
        <w:rPr>
          <w:rFonts w:ascii="Arial" w:cs="Arial" w:eastAsia="Arial" w:hAnsi="Arial"/>
          <w:sz w:val="16"/>
          <w:szCs w:val="16"/>
          <w:color w:val="231F20"/>
        </w:rPr>
        <w:t>Company</w:t>
      </w:r>
      <w:r>
        <w:rPr>
          <w:rFonts w:ascii="Arial" w:cs="Arial" w:eastAsia="Arial" w:hAnsi="Arial"/>
          <w:sz w:val="16"/>
          <w:szCs w:val="16"/>
          <w:color w:val="000000"/>
        </w:rPr>
        <w:t>”</w:t>
      </w:r>
      <w:r>
        <w:rPr>
          <w:rFonts w:ascii="Arial" w:cs="Arial" w:eastAsia="Arial" w:hAnsi="Arial"/>
          <w:sz w:val="16"/>
          <w:szCs w:val="16"/>
          <w:color w:val="231F20"/>
        </w:rPr>
        <w:t>), is a Delaware corporation based in Tucson, Arizona and provider of conveyorized car wash services. The Company primarily operates Express Exterior Locations, which offers express exterior cleaning services along with free vacuum services, and interior cleaning services at select locations. As of September 30, 2022, the Company operated 420 car washes in 21 states.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Stock Split</w:t>
      </w:r>
    </w:p>
    <w:p>
      <w:pPr>
        <w:spacing w:after="0" w:line="10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June 2021, the Company's board of directors (the “Board”) and the stockholders of the Company approved a 96-for-1 forward stock split of the Company’s outstanding common stock, which was effective on June 16, 2021. All common stock and per share information has been retroactively adjusted to give effect to this forward stock split for all periods presented. Shares of common stock underlying outstanding stock options and other equity instruments were proportionately increased and the respective per share value and exercise prices, if applicable, were proportionately decreased in accordance with the terms of the agreements governing such securities. There were no changes to the par value per share of the Company’s common stock as a result of the forward stock split. Additionally, the Board and the stockholders of the Company approved an increase in the authorized shares of common stock to 1,000,000,000 shares.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0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In June 2021, the Company completed its initial public offering (“IPO”) of 43,125,000 shares of common stock at a public offering price of $15.00 per share. The Company sold 31,250,000 shares of common stock and the selling stockholders identified </w:t>
      </w:r>
      <w:r>
        <w:rPr>
          <w:rFonts w:ascii="Arial" w:cs="Arial" w:eastAsia="Arial" w:hAnsi="Arial"/>
          <w:sz w:val="18"/>
          <w:szCs w:val="18"/>
          <w:color w:val="231F20"/>
        </w:rPr>
        <w:t>in the Company’s final prospectus that forms a part of</w:t>
      </w:r>
      <w:r>
        <w:rPr>
          <w:rFonts w:ascii="Arial" w:cs="Arial" w:eastAsia="Arial" w:hAnsi="Arial"/>
          <w:sz w:val="18"/>
          <w:szCs w:val="18"/>
          <w:color w:val="auto"/>
        </w:rPr>
        <w:t xml:space="preserve"> </w:t>
      </w:r>
      <w:r>
        <w:rPr>
          <w:rFonts w:ascii="Arial" w:cs="Arial" w:eastAsia="Arial" w:hAnsi="Arial"/>
          <w:sz w:val="18"/>
          <w:szCs w:val="18"/>
          <w:color w:val="231F20"/>
        </w:rPr>
        <w:t xml:space="preserve">the Company’s Registration Statement on Form S-1 (File No. 333-256697), filed with the SEC pursuant to Rule 424(b)(4) on June 28, 2021 (the “Prospectus”), </w:t>
      </w:r>
      <w:r>
        <w:rPr>
          <w:rFonts w:ascii="Arial" w:cs="Arial" w:eastAsia="Arial" w:hAnsi="Arial"/>
          <w:sz w:val="18"/>
          <w:szCs w:val="18"/>
          <w:color w:val="000000"/>
        </w:rPr>
        <w:t>sold an aggregate amount of 11,875,000 shares of common stock, which selling stockholder amount included the underwriters' option to</w:t>
      </w:r>
      <w:r>
        <w:rPr>
          <w:rFonts w:ascii="Arial" w:cs="Arial" w:eastAsia="Arial" w:hAnsi="Arial"/>
          <w:sz w:val="18"/>
          <w:szCs w:val="18"/>
          <w:color w:val="231F20"/>
        </w:rPr>
        <w:t xml:space="preserve"> </w:t>
      </w:r>
      <w:r>
        <w:rPr>
          <w:rFonts w:ascii="Arial" w:cs="Arial" w:eastAsia="Arial" w:hAnsi="Arial"/>
          <w:sz w:val="18"/>
          <w:szCs w:val="18"/>
          <w:color w:val="000000"/>
        </w:rPr>
        <w:t>purchase up to an additional 5,625,000 shares of common stock. The Company received gross proceeds of approximately $468,750 before deducting underwriting discounts, commissions and offering related issuance costs; the Company did not receive any proceeds from the sale of shares by the selling stockholders. The unaudited condensed consolidated financial statements as of September 30, 2022, including share and per share amounts, include the effects of the IPO.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Public Offering</w:t>
      </w:r>
    </w:p>
    <w:p>
      <w:pPr>
        <w:spacing w:after="0" w:line="12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In August 2021, the Company completed a secondary public offering of 12,000,000 shares of common stock sold by the selling stockholders identified </w:t>
      </w:r>
      <w:r>
        <w:rPr>
          <w:rFonts w:ascii="Arial" w:cs="Arial" w:eastAsia="Arial" w:hAnsi="Arial"/>
          <w:sz w:val="18"/>
          <w:szCs w:val="18"/>
          <w:color w:val="231F20"/>
        </w:rPr>
        <w:t>in</w:t>
      </w:r>
      <w:r>
        <w:rPr>
          <w:rFonts w:ascii="Arial" w:cs="Arial" w:eastAsia="Arial" w:hAnsi="Arial"/>
          <w:sz w:val="18"/>
          <w:szCs w:val="18"/>
          <w:color w:val="auto"/>
        </w:rPr>
        <w:t xml:space="preserve"> </w:t>
      </w:r>
      <w:r>
        <w:rPr>
          <w:rFonts w:ascii="Arial" w:cs="Arial" w:eastAsia="Arial" w:hAnsi="Arial"/>
          <w:sz w:val="18"/>
          <w:szCs w:val="18"/>
          <w:color w:val="231F20"/>
        </w:rPr>
        <w:t>the Company’s final prospectus that forms a part of the Company’s Registration Statement on Form S-1 (File No. 333-258186), filed with the SEC pursuant to Rule 424(b)(5) on August 24, 2021. T</w:t>
      </w:r>
      <w:r>
        <w:rPr>
          <w:rFonts w:ascii="Arial" w:cs="Arial" w:eastAsia="Arial" w:hAnsi="Arial"/>
          <w:sz w:val="18"/>
          <w:szCs w:val="18"/>
          <w:color w:val="000000"/>
        </w:rPr>
        <w:t>he Company did not receive any proceeds from the sale of shares by the selling stockholders, and the Company</w:t>
      </w:r>
      <w:r>
        <w:rPr>
          <w:rFonts w:ascii="Arial" w:cs="Arial" w:eastAsia="Arial" w:hAnsi="Arial"/>
          <w:sz w:val="18"/>
          <w:szCs w:val="18"/>
          <w:color w:val="231F20"/>
        </w:rPr>
        <w:t xml:space="preserve"> </w:t>
      </w:r>
      <w:r>
        <w:rPr>
          <w:rFonts w:ascii="Arial" w:cs="Arial" w:eastAsia="Arial" w:hAnsi="Arial"/>
          <w:sz w:val="18"/>
          <w:szCs w:val="18"/>
          <w:color w:val="000000"/>
        </w:rPr>
        <w:t xml:space="preserve">incurred $498 of expenses in connection with the secondary public offering, which were recorded in general and administrative expenses in </w:t>
      </w:r>
      <w:r>
        <w:rPr>
          <w:rFonts w:ascii="Arial" w:cs="Arial" w:eastAsia="Arial" w:hAnsi="Arial"/>
          <w:sz w:val="18"/>
          <w:szCs w:val="18"/>
          <w:color w:val="231F20"/>
        </w:rPr>
        <w:t>the unaudited</w:t>
      </w:r>
      <w:r>
        <w:rPr>
          <w:rFonts w:ascii="Arial" w:cs="Arial" w:eastAsia="Arial" w:hAnsi="Arial"/>
          <w:sz w:val="18"/>
          <w:szCs w:val="18"/>
          <w:color w:val="000000"/>
        </w:rPr>
        <w:t xml:space="preserve"> </w:t>
      </w:r>
      <w:r>
        <w:rPr>
          <w:rFonts w:ascii="Arial" w:cs="Arial" w:eastAsia="Arial" w:hAnsi="Arial"/>
          <w:sz w:val="18"/>
          <w:szCs w:val="18"/>
          <w:color w:val="231F20"/>
        </w:rPr>
        <w:t>condensed consolidated statements of operations and comprehensive income (loss).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Summary of Significant Accounting Policies</w:t>
      </w:r>
    </w:p>
    <w:p>
      <w:pPr>
        <w:spacing w:after="0" w:line="12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231F20"/>
        </w:rPr>
        <w:t>The accompanying unaudited condensed consolidated financial statements as of September 30, 2022 and for the three and nine months ended September 30, 2022 and 2021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condensed or omitted pursuant to such rules and regulations. These unaudited condensed consolidated financial statements should be read in conjunction with the Company’s audited consolidated financial statements and the notes thereto for the year ended December 31, 2021 included in the 2021 10-K.</w:t>
      </w:r>
    </w:p>
    <w:p>
      <w:pPr>
        <w:spacing w:after="0" w:line="7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231F20"/>
        </w:rPr>
        <w:t>The unaudited condensed consolidated financial statements have been prepared on the same basis as the audited consolidated financial statements. In the opinion of management, the included disclosures are adequate, and the accompanying unaudited condensed consolidated financial statements contain all adjustments which are necessary for a fair presentation of the Company’s consolidated financial position as of September 30, 2022, consolidated results of operations and comprehensive income (loss) for the three and nine months ended September 30, 2022 and 2021, and consolidated cash flows for the nine months ended September 30, 2022 and 2021. Such adjustments are of a normal and recurring nature. The consolidated results of operations for the three and nine months ended September 30, 2022 are not necessarily indicative of the consolidated results of operations that may be expected for the year ending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Principles of Consolidation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9" w:name="page10"/>
    <w:bookmarkEnd w:id="9"/>
    <w:p>
      <w:pPr>
        <w:ind w:right="220"/>
        <w:spacing w:after="0" w:line="277" w:lineRule="auto"/>
        <w:rPr>
          <w:sz w:val="20"/>
          <w:szCs w:val="20"/>
          <w:color w:val="auto"/>
        </w:rPr>
      </w:pPr>
      <w:r>
        <w:rPr>
          <w:rFonts w:ascii="Arial" w:cs="Arial" w:eastAsia="Arial" w:hAnsi="Arial"/>
          <w:sz w:val="18"/>
          <w:szCs w:val="18"/>
          <w:color w:val="231F20"/>
        </w:rPr>
        <w:t>The accompanying unaudited condensed consolidated financial statements include the accounts of the Company. All material intercompany balances and transactions have been eliminated in consolidation.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Estimates</w:t>
      </w:r>
    </w:p>
    <w:p>
      <w:pPr>
        <w:spacing w:after="0" w:line="107"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231F20"/>
        </w:rPr>
        <w:t>The preparation of the unaudited condensed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the Company has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Accounts Receivable, Net</w:t>
      </w:r>
    </w:p>
    <w:p>
      <w:pPr>
        <w:spacing w:after="0" w:line="107" w:lineRule="exact"/>
        <w:rPr>
          <w:sz w:val="20"/>
          <w:szCs w:val="20"/>
          <w:color w:val="auto"/>
        </w:rPr>
      </w:pPr>
    </w:p>
    <w:p>
      <w:pPr>
        <w:ind w:right="600"/>
        <w:spacing w:after="0" w:line="340" w:lineRule="auto"/>
        <w:rPr>
          <w:sz w:val="20"/>
          <w:szCs w:val="20"/>
          <w:color w:val="auto"/>
        </w:rPr>
      </w:pPr>
      <w:r>
        <w:rPr>
          <w:rFonts w:ascii="Arial" w:cs="Arial" w:eastAsia="Arial" w:hAnsi="Arial"/>
          <w:sz w:val="16"/>
          <w:szCs w:val="16"/>
          <w:color w:val="231F20"/>
        </w:rPr>
        <w:t>Accounts receivable are presented net of an allowance for doubtful accounts of $119 and $70 as of September 30, 2022 and December 31, 2021, respectively. The activity in the allowance for doubtful accounts was immaterial for the three and nine months ended September 30,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231F20"/>
              </w:rPr>
              <w:t>Other Receivables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580" w:type="dxa"/>
            <w:vAlign w:val="bottom"/>
          </w:tcPr>
          <w:p>
            <w:pPr>
              <w:spacing w:after="0"/>
              <w:rPr>
                <w:sz w:val="20"/>
                <w:szCs w:val="20"/>
                <w:color w:val="auto"/>
              </w:rPr>
            </w:pPr>
            <w:r>
              <w:rPr>
                <w:rFonts w:ascii="Arial" w:cs="Arial" w:eastAsia="Arial" w:hAnsi="Arial"/>
                <w:sz w:val="18"/>
                <w:szCs w:val="18"/>
                <w:color w:val="231F20"/>
              </w:rPr>
              <w:t>Other receivables consisted of the following for the periods presented: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7"/>
              </w:rPr>
              <w:t>September 30, 2022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tax withholding and exercise proceeds receivable</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Construction receivable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receivable</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1,891</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Insurance receivable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1,530</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9"/>
        </w:trPr>
        <w:tc>
          <w:tcPr>
            <w:tcW w:w="7580" w:type="dxa"/>
            <w:vAlign w:val="bottom"/>
          </w:tcPr>
          <w:p>
            <w:pPr>
              <w:ind w:left="20"/>
              <w:spacing w:after="0"/>
              <w:rPr>
                <w:sz w:val="20"/>
                <w:szCs w:val="20"/>
                <w:color w:val="auto"/>
              </w:rPr>
            </w:pPr>
            <w:r>
              <w:rPr>
                <w:rFonts w:ascii="Arial" w:cs="Arial" w:eastAsia="Arial" w:hAnsi="Arial"/>
                <w:sz w:val="18"/>
                <w:szCs w:val="18"/>
                <w:color w:val="auto"/>
              </w:rPr>
              <w:t>Total other receivables</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14,441</w:t>
            </w:r>
          </w:p>
        </w:tc>
        <w:tc>
          <w:tcPr>
            <w:tcW w:w="20" w:type="dxa"/>
            <w:vAlign w:val="bottom"/>
          </w:tcPr>
          <w:p>
            <w:pPr>
              <w:spacing w:after="0"/>
              <w:rPr>
                <w:sz w:val="18"/>
                <w:szCs w:val="18"/>
                <w:color w:val="auto"/>
              </w:rPr>
            </w:pPr>
          </w:p>
        </w:tc>
        <w:tc>
          <w:tcPr>
            <w:tcW w:w="78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22,796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231F20"/>
              </w:rPr>
              <w:t>Inventory, Net</w:t>
            </w: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580" w:type="dxa"/>
            <w:vAlign w:val="bottom"/>
          </w:tcPr>
          <w:p>
            <w:pPr>
              <w:spacing w:after="0"/>
              <w:rPr>
                <w:sz w:val="20"/>
                <w:szCs w:val="20"/>
                <w:color w:val="auto"/>
              </w:rPr>
            </w:pPr>
            <w:r>
              <w:rPr>
                <w:rFonts w:ascii="Arial" w:cs="Arial" w:eastAsia="Arial" w:hAnsi="Arial"/>
                <w:sz w:val="18"/>
                <w:szCs w:val="18"/>
                <w:color w:val="231F20"/>
              </w:rPr>
              <w:t>Inventory consisted of the following for the periods presented: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580" w:type="dxa"/>
            <w:vAlign w:val="bottom"/>
          </w:tcPr>
          <w:p>
            <w:pPr>
              <w:spacing w:after="0"/>
              <w:rPr>
                <w:sz w:val="18"/>
                <w:szCs w:val="18"/>
                <w:color w:val="auto"/>
              </w:rPr>
            </w:pPr>
          </w:p>
        </w:tc>
        <w:tc>
          <w:tcPr>
            <w:tcW w:w="17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September 30, 2022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Chemical washing solutions</w:t>
            </w:r>
          </w:p>
        </w:tc>
        <w:tc>
          <w:tcPr>
            <w:tcW w:w="660" w:type="dxa"/>
            <w:vAlign w:val="bottom"/>
            <w:tcBorders>
              <w:top w:val="single" w:sz="8" w:color="auto"/>
            </w:tcBorders>
            <w:gridSpan w:val="2"/>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9,063</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tcBorders>
              <w:top w:val="single" w:sz="8" w:color="auto"/>
            </w:tcBorders>
            <w:gridSpan w:val="2"/>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inventory, gross</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9,063</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49"/>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inventory, net</w:t>
            </w:r>
          </w:p>
        </w:tc>
        <w:tc>
          <w:tcPr>
            <w:tcW w:w="660" w:type="dxa"/>
            <w:vAlign w:val="bottom"/>
            <w:tcBorders>
              <w:bottom w:val="single" w:sz="8" w:color="auto"/>
            </w:tcBorders>
            <w:gridSpan w:val="2"/>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8,888</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gridSpan w:val="2"/>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-1651635</wp:posOffset>
            </wp:positionV>
            <wp:extent cx="11112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ind w:right="2080"/>
        <w:spacing w:after="0" w:line="367" w:lineRule="auto"/>
        <w:rPr>
          <w:sz w:val="20"/>
          <w:szCs w:val="20"/>
          <w:color w:val="auto"/>
        </w:rPr>
      </w:pPr>
      <w:r>
        <w:rPr>
          <w:rFonts w:ascii="Arial" w:cs="Arial" w:eastAsia="Arial" w:hAnsi="Arial"/>
          <w:sz w:val="18"/>
          <w:szCs w:val="18"/>
          <w:color w:val="231F20"/>
        </w:rPr>
        <w:t xml:space="preserve">The activity in the reserve for obsolescence was immaterial for the three and nine months ended September 30, 2022 and 2021. </w:t>
      </w:r>
      <w:r>
        <w:rPr>
          <w:rFonts w:ascii="Arial" w:cs="Arial" w:eastAsia="Arial" w:hAnsi="Arial"/>
          <w:sz w:val="18"/>
          <w:szCs w:val="18"/>
          <w:b w:val="1"/>
          <w:bCs w:val="1"/>
          <w:color w:val="231F20"/>
        </w:rPr>
        <w:t>Revenue Recognition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the Company’s net revenues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 September</w:t>
            </w:r>
          </w:p>
        </w:tc>
        <w:tc>
          <w:tcPr>
            <w:tcW w:w="280" w:type="dxa"/>
            <w:vAlign w:val="bottom"/>
          </w:tcPr>
          <w:p>
            <w:pPr>
              <w:spacing w:after="0"/>
              <w:rPr>
                <w:sz w:val="18"/>
                <w:szCs w:val="18"/>
                <w:color w:val="auto"/>
              </w:rPr>
            </w:pPr>
          </w:p>
        </w:tc>
        <w:tc>
          <w:tcPr>
            <w:tcW w:w="2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5"/>
              </w:rPr>
              <w:t>30,</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Recognized over time</w:t>
            </w: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150,873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127,825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440,809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Recognized at a point in time</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66,590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220,420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1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06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217,576</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194,310</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662,154</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566,898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6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-504825</wp:posOffset>
            </wp:positionV>
            <wp:extent cx="7683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-504825</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-504825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231F20"/>
        </w:rPr>
        <w:t>Net Income (loss) Per Share</w:t>
      </w:r>
    </w:p>
    <w:p>
      <w:pPr>
        <w:spacing w:after="0" w:line="10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31F20"/>
        </w:rPr>
        <w:t>Basic net income (loss) per share is computed by dividing net income by the weighted-average number of common shares outstanding for the period. Diluted net income (loss) per share is computed by dividing net income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per share if their effect is antidilutive. Reconciliations of the numerators and denominators of the basic and diluted net income per share calculations for the periods presented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September</w:t>
            </w:r>
          </w:p>
        </w:tc>
        <w:tc>
          <w:tcPr>
            <w:tcW w:w="180" w:type="dxa"/>
            <w:vAlign w:val="bottom"/>
          </w:tcPr>
          <w:p>
            <w:pPr>
              <w:spacing w:after="0"/>
              <w:rPr>
                <w:sz w:val="17"/>
                <w:szCs w:val="17"/>
                <w:color w:val="auto"/>
              </w:rPr>
            </w:pP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5"/>
              </w:rPr>
              <w:t>30,</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5"/>
              </w:rPr>
              <w:t>30,</w:t>
            </w:r>
          </w:p>
        </w:tc>
        <w:tc>
          <w:tcPr>
            <w:tcW w:w="1080" w:type="dxa"/>
            <w:vAlign w:val="bottom"/>
            <w:tcBorders>
              <w:bottom w:val="single" w:sz="8" w:color="auto"/>
            </w:tcBorders>
          </w:tcPr>
          <w:p>
            <w:pPr>
              <w:spacing w:after="0"/>
              <w:rPr>
                <w:sz w:val="20"/>
                <w:szCs w:val="20"/>
                <w:color w:val="auto"/>
              </w:rPr>
            </w:pPr>
          </w:p>
        </w:tc>
      </w:tr>
      <w:tr>
        <w:trPr>
          <w:trHeight w:val="209"/>
        </w:trPr>
        <w:tc>
          <w:tcPr>
            <w:tcW w:w="5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0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23,997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27,366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95,144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(58,350 )</w:t>
            </w: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1"/>
              </w:rPr>
              <w:t>304,290,590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w w:val="95"/>
              </w:rPr>
              <w:t>296,360,660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89"/>
              </w:rPr>
              <w:t>302,641,749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274,387,532</w:t>
            </w:r>
          </w:p>
        </w:tc>
      </w:tr>
      <w:tr>
        <w:trPr>
          <w:trHeight w:val="21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potentially dilutive securities: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88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22,377,790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30,251,223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24,433,580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stock units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154,987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652,019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678,005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57,785</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56,267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20,010</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326,881,152</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5"/>
              </w:rPr>
              <w:t>327,320,169</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327,773,344</w:t>
            </w:r>
          </w:p>
        </w:tc>
        <w:tc>
          <w:tcPr>
            <w:tcW w:w="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274,387,532</w:t>
            </w:r>
          </w:p>
        </w:tc>
      </w:tr>
      <w:tr>
        <w:trPr>
          <w:trHeight w:val="412"/>
        </w:trPr>
        <w:tc>
          <w:tcPr>
            <w:tcW w:w="5880" w:type="dxa"/>
            <w:vAlign w:val="bottom"/>
          </w:tcPr>
          <w:p>
            <w:pPr>
              <w:ind w:left="20"/>
              <w:spacing w:after="0"/>
              <w:rPr>
                <w:sz w:val="20"/>
                <w:szCs w:val="20"/>
                <w:color w:val="auto"/>
              </w:rPr>
            </w:pPr>
            <w:r>
              <w:rPr>
                <w:rFonts w:ascii="Arial" w:cs="Arial" w:eastAsia="Arial" w:hAnsi="Arial"/>
                <w:sz w:val="18"/>
                <w:szCs w:val="18"/>
                <w:color w:val="auto"/>
              </w:rPr>
              <w:t>Net income (loss) per share - basic</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0.31</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(0.21 )</w:t>
            </w: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8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 per share - diluted</w:t>
            </w:r>
          </w:p>
        </w:tc>
        <w:tc>
          <w:tcPr>
            <w:tcW w:w="1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0.07</w:t>
            </w: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0.08</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0.29</w:t>
            </w:r>
          </w:p>
        </w:tc>
        <w:tc>
          <w:tcPr>
            <w:tcW w:w="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-487680</wp:posOffset>
            </wp:positionV>
            <wp:extent cx="1840865" cy="3251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40865" cy="3251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-24765</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-7620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The following potentially dilutive shares were excluded from the computation of diluted net income per share for the periods presented because including them would have been antidilutive: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6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1"/>
              </w:rPr>
              <w:t>Three Months Ended September</w:t>
            </w:r>
          </w:p>
        </w:tc>
        <w:tc>
          <w:tcPr>
            <w:tcW w:w="220" w:type="dxa"/>
            <w:vAlign w:val="bottom"/>
          </w:tcPr>
          <w:p>
            <w:pPr>
              <w:spacing w:after="0"/>
              <w:rPr>
                <w:sz w:val="18"/>
                <w:szCs w:val="18"/>
                <w:color w:val="auto"/>
              </w:rPr>
            </w:pPr>
          </w:p>
        </w:tc>
        <w:tc>
          <w:tcPr>
            <w:tcW w:w="22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b w:val="1"/>
                <w:bCs w:val="1"/>
                <w:color w:val="auto"/>
                <w:w w:val="95"/>
              </w:rPr>
              <w:t>30,</w:t>
            </w:r>
          </w:p>
        </w:tc>
        <w:tc>
          <w:tcPr>
            <w:tcW w:w="220" w:type="dxa"/>
            <w:vAlign w:val="bottom"/>
          </w:tcPr>
          <w:p>
            <w:pPr>
              <w:spacing w:after="0"/>
              <w:rPr>
                <w:sz w:val="20"/>
                <w:szCs w:val="20"/>
                <w:color w:val="auto"/>
              </w:rPr>
            </w:pPr>
          </w:p>
        </w:tc>
        <w:tc>
          <w:tcPr>
            <w:tcW w:w="22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Stock options</w:t>
            </w: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5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vMerge w:val="continue"/>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2,384,530</w:t>
            </w:r>
          </w:p>
        </w:tc>
        <w:tc>
          <w:tcPr>
            <w:tcW w:w="2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2,086,437</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2,188,289</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33,773,922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15,165</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60,612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1,592,524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7,186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34,466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244,751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Deferred Offering Costs</w:t>
      </w:r>
    </w:p>
    <w:p>
      <w:pPr>
        <w:spacing w:after="0" w:line="10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31F20"/>
        </w:rPr>
        <w:t>The Company capitalizes certain legal, accounting, and other third-party fees that are directly related to the Company’s equity financings, including the IPO, until such financings are consummated. After consummation of an equity financing, these costs are then recorded as a reduction of the proceeds received as a result of the financing. Should a planned equity financing be abandoned, terminated, or significantly delayed, the deferred offering costs would be immediately written off to operating expenses. Upon the closing of the IPO in June 2021, all deferred offering costs in the accompanying unaudited condensed consolidated balance sheets were reclassified from prepaid expenses and other current assets and recorded against the IPO proceeds as a reduction to additional paid-in capital. As of September 30, 2022 and December 31, 2021, there were no deferred offering costs capitalized.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Prior Period Reclassification</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Certain prior period amounts related to other receivables within accounts receivable, net and prepaid expenses and other current assets in the accompanying unaudited condensed consolidated financial statements have been reclassified to conform to the current period presentation. There was no change to prior period current or total assets.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 Not Yet Adopted</w:t>
      </w:r>
    </w:p>
    <w:p>
      <w:pPr>
        <w:spacing w:after="0" w:line="107"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231F20"/>
        </w:rPr>
        <w:t xml:space="preserve">In June 2016, the Financial Accounting Standards Board ("FASB") issued Accounting Standards Update ("ASU") No. 2016-13, </w:t>
      </w:r>
      <w:r>
        <w:rPr>
          <w:rFonts w:ascii="Arial" w:cs="Arial" w:eastAsia="Arial" w:hAnsi="Arial"/>
          <w:sz w:val="16"/>
          <w:szCs w:val="16"/>
          <w:i w:val="1"/>
          <w:iCs w:val="1"/>
          <w:color w:val="231F20"/>
        </w:rPr>
        <w:t>Financial Instruments—</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Credit Losses (Topic 326): Measurement of Credit Losses on Financial Instruments </w:t>
      </w:r>
      <w:r>
        <w:rPr>
          <w:rFonts w:ascii="Arial" w:cs="Arial" w:eastAsia="Arial" w:hAnsi="Arial"/>
          <w:sz w:val="16"/>
          <w:szCs w:val="16"/>
          <w:color w:val="231F20"/>
        </w:rPr>
        <w:t>(“ASU No. 2016-13”), which replaces the existing incurred loss</w:t>
      </w:r>
      <w:r>
        <w:rPr>
          <w:rFonts w:ascii="Arial" w:cs="Arial" w:eastAsia="Arial" w:hAnsi="Arial"/>
          <w:sz w:val="16"/>
          <w:szCs w:val="16"/>
          <w:i w:val="1"/>
          <w:iCs w:val="1"/>
          <w:color w:val="231F20"/>
        </w:rPr>
        <w:t xml:space="preserve"> </w:t>
      </w:r>
      <w:r>
        <w:rPr>
          <w:rFonts w:ascii="Arial" w:cs="Arial" w:eastAsia="Arial" w:hAnsi="Arial"/>
          <w:sz w:val="16"/>
          <w:szCs w:val="16"/>
          <w:color w:val="231F20"/>
        </w:rPr>
        <w:t>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No. 2016-13 will have on its consolidated financial statements and related disclosures.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 Accounting for Contract Assets and Contract Liabilities from</w:t>
      </w:r>
    </w:p>
    <w:p>
      <w:pPr>
        <w:spacing w:after="0" w:line="46"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(“ASU No. 2021-08”).</w:t>
      </w:r>
      <w:r>
        <w:rPr>
          <w:rFonts w:ascii="Arial" w:cs="Arial" w:eastAsia="Arial" w:hAnsi="Arial"/>
          <w:sz w:val="17"/>
          <w:szCs w:val="17"/>
          <w:i w:val="1"/>
          <w:iCs w:val="1"/>
          <w:color w:val="auto"/>
        </w:rPr>
        <w:t xml:space="preserve"> </w:t>
      </w:r>
      <w:r>
        <w:rPr>
          <w:rFonts w:ascii="Arial" w:cs="Arial" w:eastAsia="Arial" w:hAnsi="Arial"/>
          <w:sz w:val="17"/>
          <w:szCs w:val="17"/>
          <w:color w:val="231F20"/>
        </w:rPr>
        <w:t>The guidance improves the accounting for acquired revenue contracts with customers in a business</w:t>
      </w:r>
      <w:r>
        <w:rPr>
          <w:rFonts w:ascii="Arial" w:cs="Arial" w:eastAsia="Arial" w:hAnsi="Arial"/>
          <w:sz w:val="17"/>
          <w:szCs w:val="17"/>
          <w:i w:val="1"/>
          <w:iCs w:val="1"/>
          <w:color w:val="auto"/>
        </w:rPr>
        <w:t xml:space="preserve"> </w:t>
      </w:r>
      <w:r>
        <w:rPr>
          <w:rFonts w:ascii="Arial" w:cs="Arial" w:eastAsia="Arial" w:hAnsi="Arial"/>
          <w:sz w:val="17"/>
          <w:szCs w:val="17"/>
          <w:color w:val="231F20"/>
        </w:rPr>
        <w:t>combination by addressing diversity in practice and certain inconsistencies in application. Under current U.S. GAAP, an acquirer generally recognizes contract assets acquired and liabilities assumed in a business combination at fair value on the acquisition date. The amendments in this update require that an acquirer recognize and measure contract assets and contract liabilities acquired in a business combination in accordance with ASC Topic 606 as if it had originated the contracts. The amendments in this update will be effective for the Company beginning January 1, 2023, and interim periods thereafter. Early adoption is permitted, including adoption in an interim period. The Company is currently evaluating the effect that ASU No. 2021-08 will have on its consolidated financial statements and related disclosures.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Property and Equipment, Net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and equipment, net consisted of the following </w:t>
      </w:r>
      <w:r>
        <w:rPr>
          <w:rFonts w:ascii="Arial" w:cs="Arial" w:eastAsia="Arial" w:hAnsi="Arial"/>
          <w:sz w:val="18"/>
          <w:szCs w:val="18"/>
          <w:color w:val="231F20"/>
        </w:rPr>
        <w:t>for the periods presented</w:t>
      </w:r>
      <w:r>
        <w:rPr>
          <w:rFonts w:ascii="Arial" w:cs="Arial" w:eastAsia="Arial" w:hAnsi="Arial"/>
          <w:sz w:val="18"/>
          <w:szCs w:val="18"/>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As of</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w w:val="96"/>
              </w:rPr>
              <w:t>September 30, 2022</w:t>
            </w:r>
          </w:p>
        </w:tc>
        <w:tc>
          <w:tcPr>
            <w:tcW w:w="260" w:type="dxa"/>
            <w:vAlign w:val="bottom"/>
          </w:tcPr>
          <w:p>
            <w:pPr>
              <w:spacing w:after="0"/>
              <w:rPr>
                <w:sz w:val="18"/>
                <w:szCs w:val="18"/>
                <w:color w:val="auto"/>
              </w:rPr>
            </w:pPr>
          </w:p>
        </w:tc>
        <w:tc>
          <w:tcPr>
            <w:tcW w:w="198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December 31, 2021</w:t>
            </w:r>
          </w:p>
        </w:tc>
        <w:tc>
          <w:tcPr>
            <w:tcW w:w="100" w:type="dxa"/>
            <w:vAlign w:val="bottom"/>
          </w:tcPr>
          <w:p>
            <w:pPr>
              <w:spacing w:after="0"/>
              <w:rPr>
                <w:sz w:val="18"/>
                <w:szCs w:val="18"/>
                <w:color w:val="auto"/>
              </w:rPr>
            </w:pPr>
          </w:p>
        </w:tc>
      </w:tr>
      <w:tr>
        <w:trPr>
          <w:trHeight w:val="209"/>
        </w:trPr>
        <w:tc>
          <w:tcPr>
            <w:tcW w:w="6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88,409</w:t>
            </w:r>
          </w:p>
        </w:tc>
        <w:tc>
          <w:tcPr>
            <w:tcW w:w="4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81,911</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172,978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171,540</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16,604</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16,497</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103,124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92,821</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Vehicles and equipment</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212,296</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188,053</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82,882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73,213</w:t>
            </w: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53,057</w:t>
            </w:r>
          </w:p>
        </w:tc>
        <w:tc>
          <w:tcPr>
            <w:tcW w:w="4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ind w:left="120"/>
              <w:spacing w:after="0"/>
              <w:rPr>
                <w:sz w:val="20"/>
                <w:szCs w:val="20"/>
                <w:color w:val="auto"/>
              </w:rPr>
            </w:pPr>
            <w:r>
              <w:rPr>
                <w:rFonts w:ascii="Arial" w:cs="Arial" w:eastAsia="Arial" w:hAnsi="Arial"/>
                <w:sz w:val="18"/>
                <w:szCs w:val="18"/>
                <w:color w:val="auto"/>
              </w:rPr>
              <w:t>Property and equipment, gross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729,350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648,759</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(212,960 )</w:t>
            </w:r>
          </w:p>
        </w:tc>
        <w:tc>
          <w:tcPr>
            <w:tcW w:w="26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(175,017 )</w:t>
            </w: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Less: accumulated depreciation - finance leases</w:t>
            </w:r>
          </w:p>
        </w:tc>
        <w:tc>
          <w:tcPr>
            <w:tcW w:w="260" w:type="dxa"/>
            <w:vAlign w:val="bottom"/>
          </w:tcPr>
          <w:p>
            <w:pPr>
              <w:spacing w:after="0"/>
              <w:rPr>
                <w:sz w:val="18"/>
                <w:szCs w:val="18"/>
                <w:color w:val="auto"/>
              </w:rPr>
            </w:pPr>
          </w:p>
        </w:tc>
        <w:tc>
          <w:tcPr>
            <w:tcW w:w="2500" w:type="dxa"/>
            <w:vAlign w:val="bottom"/>
            <w:gridSpan w:val="2"/>
          </w:tcPr>
          <w:p>
            <w:pPr>
              <w:jc w:val="right"/>
              <w:ind w:right="310"/>
              <w:spacing w:after="0"/>
              <w:rPr>
                <w:sz w:val="20"/>
                <w:szCs w:val="20"/>
                <w:color w:val="auto"/>
              </w:rPr>
            </w:pPr>
            <w:r>
              <w:rPr>
                <w:rFonts w:ascii="Arial" w:cs="Arial" w:eastAsia="Arial" w:hAnsi="Arial"/>
                <w:sz w:val="18"/>
                <w:szCs w:val="18"/>
                <w:color w:val="auto"/>
              </w:rPr>
              <w:t>(2,033 )</w:t>
            </w:r>
          </w:p>
        </w:tc>
        <w:tc>
          <w:tcPr>
            <w:tcW w:w="26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(1,294 )</w:t>
            </w:r>
          </w:p>
        </w:tc>
      </w:tr>
      <w:tr>
        <w:trPr>
          <w:trHeight w:val="249"/>
        </w:trPr>
        <w:tc>
          <w:tcPr>
            <w:tcW w:w="6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514,357</w:t>
            </w:r>
          </w:p>
        </w:tc>
        <w:tc>
          <w:tcPr>
            <w:tcW w:w="4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-589915</wp:posOffset>
            </wp:positionV>
            <wp:extent cx="76835"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 xml:space="preserve">For the three months ended September 30, 2022 and 2021, depreciation expense was $13,314 </w:t>
      </w:r>
      <w:r>
        <w:rPr>
          <w:rFonts w:ascii="Arial" w:cs="Arial" w:eastAsia="Arial" w:hAnsi="Arial"/>
          <w:sz w:val="18"/>
          <w:szCs w:val="18"/>
          <w:color w:val="231F20"/>
        </w:rPr>
        <w:t>and $11,388</w:t>
      </w:r>
      <w:r>
        <w:rPr>
          <w:rFonts w:ascii="Arial" w:cs="Arial" w:eastAsia="Arial" w:hAnsi="Arial"/>
          <w:sz w:val="18"/>
          <w:szCs w:val="18"/>
          <w:color w:val="auto"/>
        </w:rPr>
        <w:t>, respectively. For the nine months ended September 30, 2022 and 2021, depreciation expense was $39,446 and $31,596, respectively.</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For the three months ended September 30, 2022 and 2021, amortization expense on finance leases was $250 </w:t>
      </w:r>
      <w:r>
        <w:rPr>
          <w:rFonts w:ascii="Arial" w:cs="Arial" w:eastAsia="Arial" w:hAnsi="Arial"/>
          <w:sz w:val="18"/>
          <w:szCs w:val="18"/>
          <w:color w:val="231F20"/>
        </w:rPr>
        <w:t>and $242</w:t>
      </w:r>
      <w:r>
        <w:rPr>
          <w:rFonts w:ascii="Arial" w:cs="Arial" w:eastAsia="Arial" w:hAnsi="Arial"/>
          <w:sz w:val="18"/>
          <w:szCs w:val="18"/>
          <w:color w:val="auto"/>
        </w:rPr>
        <w:t>, respectively. For the nine months ended September 30, 2022 and 2021, amortization expense on finance leases was $739 and $727,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Other Intangible Assets, Net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231F20"/>
        </w:rPr>
        <w:t>Other intangibles assets, net consisted of the following as of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September 30, 2022</w:t>
            </w: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20"/>
                <w:szCs w:val="20"/>
                <w:color w:val="auto"/>
              </w:rPr>
            </w:pPr>
          </w:p>
        </w:tc>
      </w:tr>
      <w:tr>
        <w:trPr>
          <w:trHeight w:val="164"/>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50"/>
              <w:spacing w:after="0" w:line="164" w:lineRule="exact"/>
              <w:rPr>
                <w:sz w:val="20"/>
                <w:szCs w:val="20"/>
                <w:color w:val="auto"/>
              </w:rPr>
            </w:pPr>
            <w:r>
              <w:rPr>
                <w:rFonts w:ascii="Arial" w:cs="Arial" w:eastAsia="Arial" w:hAnsi="Arial"/>
                <w:sz w:val="18"/>
                <w:szCs w:val="18"/>
                <w:b w:val="1"/>
                <w:bCs w:val="1"/>
                <w:color w:val="auto"/>
                <w:w w:val="90"/>
              </w:rPr>
              <w:t>Gross Carrying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250"/>
              <w:spacing w:after="0" w:line="164" w:lineRule="exact"/>
              <w:rPr>
                <w:sz w:val="20"/>
                <w:szCs w:val="20"/>
                <w:color w:val="auto"/>
              </w:rPr>
            </w:pPr>
            <w:r>
              <w:rPr>
                <w:rFonts w:ascii="Arial" w:cs="Arial" w:eastAsia="Arial" w:hAnsi="Arial"/>
                <w:sz w:val="18"/>
                <w:szCs w:val="18"/>
                <w:b w:val="1"/>
                <w:bCs w:val="1"/>
                <w:color w:val="auto"/>
                <w:w w:val="99"/>
              </w:rPr>
              <w:t>Accumulated</w:t>
            </w:r>
          </w:p>
        </w:tc>
        <w:tc>
          <w:tcPr>
            <w:tcW w:w="640" w:type="dxa"/>
            <w:vAlign w:val="bottom"/>
          </w:tcPr>
          <w:p>
            <w:pPr>
              <w:spacing w:after="0"/>
              <w:rPr>
                <w:sz w:val="14"/>
                <w:szCs w:val="14"/>
                <w:color w:val="auto"/>
              </w:rPr>
            </w:pPr>
          </w:p>
        </w:tc>
        <w:tc>
          <w:tcPr>
            <w:tcW w:w="1420" w:type="dxa"/>
            <w:vAlign w:val="bottom"/>
            <w:gridSpan w:val="2"/>
          </w:tcPr>
          <w:p>
            <w:pPr>
              <w:jc w:val="right"/>
              <w:ind w:right="30"/>
              <w:spacing w:after="0" w:line="164" w:lineRule="exact"/>
              <w:rPr>
                <w:sz w:val="20"/>
                <w:szCs w:val="20"/>
                <w:color w:val="auto"/>
              </w:rPr>
            </w:pPr>
            <w:r>
              <w:rPr>
                <w:rFonts w:ascii="Arial" w:cs="Arial" w:eastAsia="Arial" w:hAnsi="Arial"/>
                <w:sz w:val="18"/>
                <w:szCs w:val="18"/>
                <w:b w:val="1"/>
                <w:bCs w:val="1"/>
                <w:color w:val="auto"/>
                <w:w w:val="97"/>
              </w:rPr>
              <w:t>Gross Carrying</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230"/>
              <w:spacing w:after="0" w:line="164"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4"/>
                <w:szCs w:val="14"/>
                <w:color w:val="auto"/>
              </w:rPr>
            </w:pPr>
          </w:p>
        </w:tc>
      </w:tr>
      <w:tr>
        <w:trPr>
          <w:trHeight w:val="234"/>
        </w:trPr>
        <w:tc>
          <w:tcPr>
            <w:tcW w:w="3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Amortization</w:t>
            </w: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names and trademarks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107,200</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107,200</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CPC Unity System</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42,900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34,809</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31,591</w:t>
            </w: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11,800</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7,958</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11,800</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Covenants not to compete</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12,125</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w:t>
            </w:r>
          </w:p>
        </w:tc>
        <w:tc>
          <w:tcPr>
            <w:tcW w:w="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11,075</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18"/>
                <w:szCs w:val="18"/>
                <w:color w:val="auto"/>
              </w:rPr>
            </w:pPr>
          </w:p>
        </w:tc>
      </w:tr>
      <w:tr>
        <w:trPr>
          <w:trHeight w:val="249"/>
        </w:trPr>
        <w:tc>
          <w:tcPr>
            <w:tcW w:w="3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174,025</w:t>
            </w:r>
          </w:p>
        </w:tc>
        <w:tc>
          <w:tcPr>
            <w:tcW w:w="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48,244</w:t>
            </w: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172,975</w:t>
            </w:r>
          </w:p>
        </w:tc>
        <w:tc>
          <w:tcPr>
            <w:tcW w:w="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43,155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-24765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231F20"/>
        </w:rPr>
        <w:t>For the three months ended September 30, 2022 and 2021, amortization expense associated with the Company’s finite-lived intangible assets was $1,629 and $1,350, respectively.</w:t>
      </w:r>
    </w:p>
    <w:p>
      <w:pPr>
        <w:spacing w:after="0" w:line="7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231F20"/>
        </w:rPr>
        <w:t>For the nine months ended September 30, 2022 and 2021, amortization expense associated with the Company’s finite-lived intangible assets was $5,089 and $4,207,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As of September 30, 2022, estimated future amortization expense was as follows: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Year Ending: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2022 (remaining three months)</w:t>
            </w:r>
          </w:p>
        </w:tc>
        <w:tc>
          <w:tcPr>
            <w:tcW w:w="5360" w:type="dxa"/>
            <w:vAlign w:val="bottom"/>
            <w:tcBorders>
              <w:top w:val="single" w:sz="8" w:color="auto"/>
            </w:tcBorders>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2023</w:t>
            </w:r>
          </w:p>
        </w:tc>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7,009</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2025</w:t>
            </w:r>
          </w:p>
        </w:tc>
        <w:tc>
          <w:tcPr>
            <w:tcW w:w="4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4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r>
      <w:tr>
        <w:trPr>
          <w:trHeight w:val="249"/>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estimated future amortization expense</w:t>
            </w:r>
          </w:p>
        </w:tc>
        <w:tc>
          <w:tcPr>
            <w:tcW w:w="4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360" w:type="dxa"/>
            <w:vAlign w:val="bottom"/>
          </w:tcPr>
          <w:p>
            <w:pPr>
              <w:spacing w:after="0"/>
              <w:rPr>
                <w:sz w:val="24"/>
                <w:szCs w:val="24"/>
                <w:color w:val="auto"/>
              </w:rPr>
            </w:pPr>
          </w:p>
        </w:tc>
        <w:tc>
          <w:tcPr>
            <w:tcW w:w="4340" w:type="dxa"/>
            <w:vAlign w:val="bottom"/>
          </w:tcPr>
          <w:p>
            <w:pPr>
              <w:jc w:val="right"/>
              <w:ind w:right="2890"/>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36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231F20"/>
        </w:rPr>
        <w:t>5.  Goodwill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231F20"/>
        </w:rPr>
        <w:t>Goodwill consisted of the following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680" w:type="dxa"/>
            <w:vAlign w:val="bottom"/>
          </w:tcPr>
          <w:p>
            <w:pPr>
              <w:spacing w:after="0"/>
              <w:rPr>
                <w:sz w:val="18"/>
                <w:szCs w:val="18"/>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0"/>
              </w:rPr>
              <w:t>September 30, 2022</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2021</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1,060,221</w:t>
            </w:r>
          </w:p>
        </w:tc>
        <w:tc>
          <w:tcPr>
            <w:tcW w:w="2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737,415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Arial" w:cs="Arial" w:eastAsia="Arial" w:hAnsi="Arial"/>
                <w:sz w:val="18"/>
                <w:szCs w:val="18"/>
                <w:color w:val="auto"/>
              </w:rPr>
              <w:t>Current period acquisitions</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55,113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323,477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Other provisional adjustments</w:t>
            </w:r>
          </w:p>
        </w:tc>
        <w:tc>
          <w:tcPr>
            <w:tcW w:w="4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(8,262 )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(671 )</w:t>
            </w:r>
          </w:p>
        </w:tc>
      </w:tr>
      <w:tr>
        <w:trPr>
          <w:trHeight w:val="209"/>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end of period</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1,107,072</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1,060,221</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-170815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Goodwill is generally deductible for tax purposes, except for the portion related to purchase accounting step-up goodwill.</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231F20"/>
              </w:rPr>
              <w:t>6. Other Accrued Expenses</w:t>
            </w: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7720" w:type="dxa"/>
            <w:vAlign w:val="bottom"/>
          </w:tcPr>
          <w:p>
            <w:pPr>
              <w:spacing w:after="0"/>
              <w:rPr>
                <w:sz w:val="20"/>
                <w:szCs w:val="20"/>
                <w:color w:val="auto"/>
              </w:rPr>
            </w:pPr>
            <w:r>
              <w:rPr>
                <w:rFonts w:ascii="Arial" w:cs="Arial" w:eastAsia="Arial" w:hAnsi="Arial"/>
                <w:sz w:val="18"/>
                <w:szCs w:val="18"/>
                <w:color w:val="231F20"/>
              </w:rPr>
              <w:t>Other accrued expenses consisted of the following for the periods presented:</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0"/>
        </w:trPr>
        <w:tc>
          <w:tcPr>
            <w:tcW w:w="77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As of</w:t>
            </w:r>
          </w:p>
        </w:tc>
        <w:tc>
          <w:tcPr>
            <w:tcW w:w="1100" w:type="dxa"/>
            <w:vAlign w:val="bottom"/>
            <w:tcBorders>
              <w:bottom w:val="single" w:sz="8" w:color="auto"/>
            </w:tcBorders>
          </w:tcPr>
          <w:p>
            <w:pPr>
              <w:spacing w:after="0"/>
              <w:rPr>
                <w:sz w:val="24"/>
                <w:szCs w:val="24"/>
                <w:color w:val="auto"/>
              </w:rPr>
            </w:pPr>
          </w:p>
        </w:tc>
      </w:tr>
      <w:tr>
        <w:trPr>
          <w:trHeight w:val="209"/>
        </w:trPr>
        <w:tc>
          <w:tcPr>
            <w:tcW w:w="7720" w:type="dxa"/>
            <w:vAlign w:val="bottom"/>
          </w:tcPr>
          <w:p>
            <w:pPr>
              <w:spacing w:after="0"/>
              <w:rPr>
                <w:sz w:val="18"/>
                <w:szCs w:val="18"/>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September 30, 2022</w:t>
            </w:r>
          </w:p>
        </w:tc>
        <w:tc>
          <w:tcPr>
            <w:tcW w:w="160" w:type="dxa"/>
            <w:vAlign w:val="bottom"/>
          </w:tcPr>
          <w:p>
            <w:pPr>
              <w:spacing w:after="0"/>
              <w:rPr>
                <w:sz w:val="18"/>
                <w:szCs w:val="18"/>
                <w:color w:val="auto"/>
              </w:rPr>
            </w:pPr>
          </w:p>
        </w:tc>
        <w:tc>
          <w:tcPr>
            <w:tcW w:w="17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2"/>
              </w:rPr>
              <w:t>December 31, 2021</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Utilities</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5,149</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4,274</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Accrued other tax expense</w:t>
            </w:r>
          </w:p>
        </w:tc>
        <w:tc>
          <w:tcPr>
            <w:tcW w:w="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8,912</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8,088</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expense</w:t>
            </w: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3,753</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3,200</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7,646</w:t>
            </w: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4,639</w:t>
            </w: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accrued expenses</w:t>
            </w:r>
          </w:p>
        </w:tc>
        <w:tc>
          <w:tcPr>
            <w:tcW w:w="5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25,460</w:t>
            </w: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-24765</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7.  Income Taxes</w:t>
      </w:r>
    </w:p>
    <w:p>
      <w:pPr>
        <w:spacing w:after="0" w:line="107"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231F20"/>
        </w:rPr>
        <w:t>The effective income tax rates on continuing operations for the nine months ended September 30, 2022 and 2021 were 22.10% and 33.7%, respectively. In general, the effective tax rates differed from the U.S. federal statutory income tax rate primarily due to state income taxes, non-deductible expenses such as those related to certain executive compensation, and other discrete tax benefits recorded during the period.</w:t>
      </w:r>
    </w:p>
    <w:p>
      <w:pPr>
        <w:spacing w:after="0" w:line="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The year-to-date provision for income taxes for the nine months ended September 30, 2022 included taxes on earnings at an anticipated annual effective tax rate of 26.63% and a net, favorable tax impact of $5,543 related primarily to discrete tax benefits originating from stock options exercised during the nine months ended September 30, 2022.</w:t>
      </w:r>
    </w:p>
    <w:p>
      <w:pPr>
        <w:spacing w:after="0" w:line="68"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231F20"/>
        </w:rPr>
        <w:t>The year-to-date provision for income taxes for the nine months ended September 30, 2021 included taxes on earnings at an anticipated annual effective tax rate of 25.19% and a favorable tax impact of $58,443 related primarily to discrete tax benefits originating from stock option exercises and certain non-deductible expenses related to executive compensation that were incurred during the nine months ended September 30, 2021.</w:t>
      </w:r>
    </w:p>
    <w:p>
      <w:pPr>
        <w:spacing w:after="0" w:line="51" w:lineRule="exact"/>
        <w:rPr>
          <w:sz w:val="20"/>
          <w:szCs w:val="20"/>
          <w:color w:val="auto"/>
        </w:rPr>
      </w:pPr>
    </w:p>
    <w:p>
      <w:pPr>
        <w:ind w:right="1900"/>
        <w:spacing w:after="0" w:line="277" w:lineRule="auto"/>
        <w:rPr>
          <w:sz w:val="20"/>
          <w:szCs w:val="20"/>
          <w:color w:val="auto"/>
        </w:rPr>
      </w:pPr>
      <w:r>
        <w:rPr>
          <w:rFonts w:ascii="Arial" w:cs="Arial" w:eastAsia="Arial" w:hAnsi="Arial"/>
          <w:sz w:val="16"/>
          <w:szCs w:val="16"/>
          <w:color w:val="231F20"/>
        </w:rPr>
        <w:t>On August 9, 2022, the Creating Helpful Incentives to Produce Semiconductors (“CHIPS”) Act of 2022 was signed into law. The CHIPS Act is designed to boost domestic semiconductor manufacturing and encourage US research activities. Later that month, on August 16, 2022, the Inflation Reduction Act (“IRA”) of 2022 was signed into law. The IRA creates a new book-minimum tax on certain large corporations and an excise tax on stock buybacks while also providing incentives to address climate change</w:t>
      </w:r>
    </w:p>
    <w:p>
      <w:pPr>
        <w:spacing w:after="0" w:line="1" w:lineRule="exact"/>
        <w:rPr>
          <w:sz w:val="20"/>
          <w:szCs w:val="20"/>
          <w:color w:val="auto"/>
        </w:rPr>
      </w:pPr>
    </w:p>
    <w:p>
      <w:pPr>
        <w:ind w:right="740"/>
        <w:spacing w:after="0" w:line="244" w:lineRule="auto"/>
        <w:rPr>
          <w:sz w:val="20"/>
          <w:szCs w:val="20"/>
          <w:color w:val="auto"/>
        </w:rPr>
      </w:pPr>
      <w:r>
        <w:rPr>
          <w:rFonts w:ascii="Arial" w:cs="Arial" w:eastAsia="Arial" w:hAnsi="Arial"/>
          <w:sz w:val="18"/>
          <w:szCs w:val="18"/>
          <w:color w:val="231F20"/>
        </w:rPr>
        <w:t>mitigation and clean energy, among other items. Most of these changes will become effective for the 2023 tax year and after initial evaluation, the Company does not currently expect these laws to have a material effect on the consolidated financial statements.</w:t>
      </w:r>
    </w:p>
    <w:p>
      <w:pPr>
        <w:spacing w:after="0" w:line="1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31F20"/>
        </w:rPr>
        <w:t>For the nine months ended September 30, 2022 and 2021, the Company did not record any unrecognized tax benefits or interest and penalties related to any uncertain tax positions.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231F20"/>
        </w:rPr>
        <w:t>8.  Debt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231F20"/>
        </w:rPr>
        <w:t>The Company’s long-term debt consisted of the following as of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As of</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660" w:type="dxa"/>
            <w:vAlign w:val="bottom"/>
          </w:tcPr>
          <w:p>
            <w:pPr>
              <w:spacing w:after="0"/>
              <w:rPr>
                <w:sz w:val="18"/>
                <w:szCs w:val="18"/>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2021</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Credit agreement</w:t>
            </w: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First lien term loan</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901,201</w:t>
            </w:r>
          </w:p>
        </w:tc>
        <w:tc>
          <w:tcPr>
            <w:tcW w:w="100" w:type="dxa"/>
            <w:vAlign w:val="bottom"/>
          </w:tcPr>
          <w:p>
            <w:pPr>
              <w:spacing w:after="0"/>
              <w:rPr>
                <w:sz w:val="18"/>
                <w:szCs w:val="18"/>
                <w:color w:val="auto"/>
              </w:rPr>
            </w:pP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903,301</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(5,773 )</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(6,965 )</w:t>
            </w:r>
          </w:p>
        </w:tc>
      </w:tr>
      <w:tr>
        <w:trPr>
          <w:trHeight w:val="209"/>
        </w:trPr>
        <w:tc>
          <w:tcPr>
            <w:tcW w:w="7660" w:type="dxa"/>
            <w:vAlign w:val="bottom"/>
          </w:tcPr>
          <w:p>
            <w:pPr>
              <w:ind w:left="120"/>
              <w:spacing w:after="0"/>
              <w:rPr>
                <w:sz w:val="20"/>
                <w:szCs w:val="20"/>
                <w:color w:val="auto"/>
              </w:rPr>
            </w:pPr>
            <w:r>
              <w:rPr>
                <w:rFonts w:ascii="Arial" w:cs="Arial" w:eastAsia="Arial" w:hAnsi="Arial"/>
                <w:sz w:val="18"/>
                <w:szCs w:val="18"/>
                <w:color w:val="auto"/>
              </w:rPr>
              <w:t>First lien term loan, net</w:t>
            </w: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896,336</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long-term portion of debt, net</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895,428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896,336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7660" w:type="dxa"/>
            <w:vAlign w:val="bottom"/>
          </w:tcPr>
          <w:p>
            <w:pPr>
              <w:spacing w:after="0"/>
              <w:rPr>
                <w:sz w:val="20"/>
                <w:szCs w:val="20"/>
                <w:color w:val="auto"/>
              </w:rPr>
            </w:pPr>
            <w:r>
              <w:rPr>
                <w:rFonts w:ascii="Arial" w:cs="Arial" w:eastAsia="Arial" w:hAnsi="Arial"/>
                <w:sz w:val="18"/>
                <w:szCs w:val="18"/>
                <w:color w:val="231F20"/>
              </w:rPr>
              <w:t>As of September 30, 2022, annual maturities of debt were as follows: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Ending:</w:t>
            </w: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(remaining three months)</w:t>
            </w: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901,201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maturities of debt</w:t>
            </w:r>
          </w:p>
        </w:tc>
        <w:tc>
          <w:tcPr>
            <w:tcW w:w="5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901,201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5857240</wp:posOffset>
            </wp:positionH>
            <wp:positionV relativeFrom="paragraph">
              <wp:posOffset>-1861820</wp:posOffset>
            </wp:positionV>
            <wp:extent cx="129286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92860" cy="17970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-1557655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-1540510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color w:val="231F20"/>
        </w:rPr>
        <w:t>As of September 30, 2022 and December 31, 2021, unamortized debt issuance costs, including those associated with the Company's Revolving Commitment (as defined below), were $6,157 and $7,427, respectively, and accumulated amortization of debt issuance costs was $4,018 and $2,748, respectively.</w:t>
      </w:r>
    </w:p>
    <w:p>
      <w:pPr>
        <w:spacing w:after="0" w:line="89" w:lineRule="exact"/>
        <w:rPr>
          <w:sz w:val="20"/>
          <w:szCs w:val="20"/>
          <w:color w:val="auto"/>
        </w:rPr>
      </w:pPr>
    </w:p>
    <w:p>
      <w:pPr>
        <w:ind w:right="660"/>
        <w:spacing w:after="0" w:line="324" w:lineRule="auto"/>
        <w:rPr>
          <w:sz w:val="20"/>
          <w:szCs w:val="20"/>
          <w:color w:val="auto"/>
        </w:rPr>
      </w:pPr>
      <w:r>
        <w:rPr>
          <w:rFonts w:ascii="Arial" w:cs="Arial" w:eastAsia="Arial" w:hAnsi="Arial"/>
          <w:sz w:val="16"/>
          <w:szCs w:val="16"/>
          <w:color w:val="231F20"/>
        </w:rPr>
        <w:t>For the three months ended September 30, 2022 and 2021, the amortization of deferred debt issuance costs in interest expense, net in the unaudited condensed consolidated statements of operations and comprehensive income (loss) was approximately $428 and $200, respectively.</w:t>
      </w:r>
    </w:p>
    <w:p>
      <w:pPr>
        <w:spacing w:after="0" w:line="16" w:lineRule="exact"/>
        <w:rPr>
          <w:sz w:val="20"/>
          <w:szCs w:val="20"/>
          <w:color w:val="auto"/>
        </w:rPr>
      </w:pPr>
    </w:p>
    <w:p>
      <w:pPr>
        <w:ind w:right="720"/>
        <w:spacing w:after="0" w:line="307" w:lineRule="auto"/>
        <w:rPr>
          <w:sz w:val="20"/>
          <w:szCs w:val="20"/>
          <w:color w:val="auto"/>
        </w:rPr>
      </w:pPr>
      <w:r>
        <w:rPr>
          <w:rFonts w:ascii="Arial" w:cs="Arial" w:eastAsia="Arial" w:hAnsi="Arial"/>
          <w:sz w:val="17"/>
          <w:szCs w:val="17"/>
          <w:color w:val="231F20"/>
        </w:rPr>
        <w:t>For the nine months ended September 30, 2022 and 2021, the amortization of deferred debt issuance costs in interest expense, net in the unaudited condensed consolidated statements of operations and comprehensive income (loss) was approximately $1,270 and $898.</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Credit Agreement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231F20"/>
        </w:rPr>
        <w:t>On August 21, 2014, the Company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the Company.</w:t>
      </w:r>
    </w:p>
    <w:p>
      <w:pPr>
        <w:spacing w:after="0" w:line="51" w:lineRule="exact"/>
        <w:rPr>
          <w:sz w:val="20"/>
          <w:szCs w:val="20"/>
          <w:color w:val="auto"/>
        </w:rPr>
      </w:pPr>
    </w:p>
    <w:p>
      <w:pPr>
        <w:ind w:right="120"/>
        <w:spacing w:after="0" w:line="307" w:lineRule="auto"/>
        <w:rPr>
          <w:sz w:val="20"/>
          <w:szCs w:val="20"/>
          <w:color w:val="auto"/>
        </w:rPr>
      </w:pPr>
      <w:r>
        <w:rPr>
          <w:rFonts w:ascii="Arial" w:cs="Arial" w:eastAsia="Arial" w:hAnsi="Arial"/>
          <w:sz w:val="17"/>
          <w:szCs w:val="17"/>
          <w:color w:val="231F20"/>
        </w:rPr>
        <w:t>Under the Credit Agreement and with respect to the First Lien Term Loan, the Company had the option of selecting either (i) a Base Rate interest rate plus fixed margin of 2.25% or (ii) a Eurodollar (LIBOR) interest rate for one, two, three or six months plus a fixed margin of 3.25%.</w:t>
      </w:r>
    </w:p>
    <w:p>
      <w:pPr>
        <w:spacing w:after="0" w:line="26"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231F20"/>
        </w:rPr>
        <w:t>Under the Credit Agreement and with respect to the Revolving Commitment, the Company had the option of selecting either (i) a Base Rate interest rate plus a variable margin of 2.50% to 3.00%, based on the Company’s First Lien Net Debt Leverage Ratio, or (ii) a Eurodollar (LIBOR) interest rate for one, two, three or six months plus a variable margin of 3.50% to 4.00%, based on the Company’s First Lien Net Leverage Ratio.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First Lien Term Loan</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231F20"/>
        </w:rPr>
        <w:t>In February 2020, the Company entered into Amendment No. 1 to Amended and Restated First Lien Credit Agreement (“Amendment No. 1”) which amended the Amended and Restated First Lien Credit Agreement entered into in May 2019 (the “A&amp;R First Lien Credit Agreement”). Amendment No. 1 changed the interest rate spreads associated with the A&amp;R First Lien Credit Agreement where (i) the variable margin associated with the Base Rate interest rate plus a variable margin based on the Company’s First Lien Net Leverage Ratio changed from 2.25% to 2.50% to 2.00% to 2.25% and (ii) the variable margin associated with the Eurodollar Rate interest rate for one, two, three or six months plus a variable margin based on the Company’s First Lien Net Leverage Ratio changed from 3.25% to 3.50% to 3.00% to 3.25%.</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In June 2021, the Company made a voluntary prepayment of $190,400 of outstanding principal under the First Lien Term Loan funded by the net proceeds from the IPO. In connection with the voluntary prepayment, the Company expensed $1,037 of previously unamortized debt issuance costs as a loss on extinguishment of debt in the unaudited condensed consolidated statements of operations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231F20"/>
        </w:rPr>
        <w:t>and comprehensive income (loss). The early prepayment resulted in the elimination of required quarterly amortization principal payments through 2026.</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31F20"/>
        </w:rPr>
        <w:t>In December 2021, in connection with the Clean Streak Ventures acquisition, the Company entered into Amendment No. 3 to Amended and Restated First Lien Credit Agreement (“Amendment No. 3”) which amended and restated the A&amp;R First Lien Credit Agreement, as previously amended. Under the terms of Amendment No. 3, the previous First Lien Term Loan was increased by $290,000 to $903,301 with the balance due on May 14, 2026. The incremental increase in aggregate principal of $290,000 resulted in $285,962 of proceeds net of discount and deferred debt issuance costs.</w:t>
      </w:r>
    </w:p>
    <w:p>
      <w:pPr>
        <w:spacing w:after="0" w:line="44" w:lineRule="exact"/>
        <w:rPr>
          <w:sz w:val="20"/>
          <w:szCs w:val="20"/>
          <w:color w:val="auto"/>
        </w:rPr>
      </w:pPr>
    </w:p>
    <w:p>
      <w:pPr>
        <w:spacing w:after="0" w:line="290" w:lineRule="auto"/>
        <w:rPr>
          <w:sz w:val="20"/>
          <w:szCs w:val="20"/>
          <w:color w:val="auto"/>
        </w:rPr>
      </w:pPr>
      <w:r>
        <w:rPr>
          <w:rFonts w:ascii="Arial" w:cs="Arial" w:eastAsia="Arial" w:hAnsi="Arial"/>
          <w:sz w:val="17"/>
          <w:szCs w:val="17"/>
          <w:color w:val="231F20"/>
        </w:rPr>
        <w:t>As of September 30, 2022 and December 31, 2021, the amount outstanding under the First Lien Term Loan was $901,201 and $903,301, respectively. As of September 30, 2022 and December 31, 2021, the interest rate on the First Lien Term Loan was 6.12% and 3.10%, respectively.</w:t>
      </w:r>
    </w:p>
    <w:p>
      <w:pPr>
        <w:spacing w:after="0" w:line="53"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231F20"/>
        </w:rPr>
        <w:t>The A&amp;R First Lien Credit Agreement, as amended (the “Amended A&amp;R First Lien Credit Agreement”), requires the Company to maintain compliance with a First Lien Net Leverage Ratio. As of September 30, 2022, the Company was in compliance with the First Lien Net Leverage Ratio financial covenant of the Amended A&amp;R First Lien Credit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Credit Agreement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June 2021, the Company entered into Amendment No. 2 to the Amended and Restated First Lien Credit Agreement (</w:t>
      </w:r>
      <w:r>
        <w:rPr>
          <w:rFonts w:ascii="Arial" w:cs="Arial" w:eastAsia="Arial" w:hAnsi="Arial"/>
          <w:sz w:val="17"/>
          <w:szCs w:val="17"/>
          <w:color w:val="231F20"/>
        </w:rPr>
        <w:t>“</w:t>
      </w:r>
      <w:r>
        <w:rPr>
          <w:rFonts w:ascii="Arial" w:cs="Arial" w:eastAsia="Arial" w:hAnsi="Arial"/>
          <w:sz w:val="17"/>
          <w:szCs w:val="17"/>
          <w:color w:val="auto"/>
        </w:rPr>
        <w:t xml:space="preserve">Amendment No. 2”) that (i) increased the maximum available borrowing capacity under the Revolving Commitment from $75,000 to $150,000 and (ii) extended the maturity date of the Revolving Commitment to the earliest to occur of (a) June 4, 2026, (b) the date that is six months prior to the maturity date of the </w:t>
      </w:r>
      <w:r>
        <w:rPr>
          <w:rFonts w:ascii="Arial" w:cs="Arial" w:eastAsia="Arial" w:hAnsi="Arial"/>
          <w:sz w:val="17"/>
          <w:szCs w:val="17"/>
          <w:color w:val="231F20"/>
        </w:rPr>
        <w:t>First Lien Term Loan</w:t>
      </w:r>
      <w:r>
        <w:rPr>
          <w:rFonts w:ascii="Arial" w:cs="Arial" w:eastAsia="Arial" w:hAnsi="Arial"/>
          <w:sz w:val="17"/>
          <w:szCs w:val="17"/>
          <w:color w:val="auto"/>
        </w:rPr>
        <w:t xml:space="preserve"> (provided that clause (b) shall not apply if the maturity date for the </w:t>
      </w:r>
      <w:r>
        <w:rPr>
          <w:rFonts w:ascii="Arial" w:cs="Arial" w:eastAsia="Arial" w:hAnsi="Arial"/>
          <w:sz w:val="17"/>
          <w:szCs w:val="17"/>
          <w:color w:val="231F20"/>
        </w:rPr>
        <w:t>First Lien Term Loan</w:t>
      </w:r>
      <w:r>
        <w:rPr>
          <w:rFonts w:ascii="Arial" w:cs="Arial" w:eastAsia="Arial" w:hAnsi="Arial"/>
          <w:sz w:val="17"/>
          <w:szCs w:val="17"/>
          <w:color w:val="auto"/>
        </w:rPr>
        <w:t xml:space="preserve"> is extended to a date that is at least six months after June 4, 2026, the </w:t>
      </w:r>
      <w:r>
        <w:rPr>
          <w:rFonts w:ascii="Arial" w:cs="Arial" w:eastAsia="Arial" w:hAnsi="Arial"/>
          <w:sz w:val="17"/>
          <w:szCs w:val="17"/>
          <w:color w:val="231F20"/>
        </w:rPr>
        <w:t>First Lien Term Loan</w:t>
      </w:r>
      <w:r>
        <w:rPr>
          <w:rFonts w:ascii="Arial" w:cs="Arial" w:eastAsia="Arial" w:hAnsi="Arial"/>
          <w:sz w:val="17"/>
          <w:szCs w:val="17"/>
          <w:color w:val="auto"/>
        </w:rPr>
        <w:t xml:space="preserve"> is refinanced having a maturity date at least six months after June 4, 2026, or the </w:t>
      </w:r>
      <w:r>
        <w:rPr>
          <w:rFonts w:ascii="Arial" w:cs="Arial" w:eastAsia="Arial" w:hAnsi="Arial"/>
          <w:sz w:val="17"/>
          <w:szCs w:val="17"/>
          <w:color w:val="231F20"/>
        </w:rPr>
        <w:t>First Lien Term Loan</w:t>
      </w:r>
      <w:r>
        <w:rPr>
          <w:rFonts w:ascii="Arial" w:cs="Arial" w:eastAsia="Arial" w:hAnsi="Arial"/>
          <w:sz w:val="17"/>
          <w:szCs w:val="17"/>
          <w:color w:val="auto"/>
        </w:rPr>
        <w:t xml:space="preserve"> is paid in full), (c) the date that commitments under the Revolving Commitment are permanently reduced to zero, and (d) the date of the termination of the commitments under the Revolving Commitment. The increase to the maximum available borrowing capacity was effected on the close of the IPO in June 2021. In connection with Amendment No. 2, the Company expensed $87 </w:t>
      </w:r>
      <w:r>
        <w:rPr>
          <w:rFonts w:ascii="Arial" w:cs="Arial" w:eastAsia="Arial" w:hAnsi="Arial"/>
          <w:sz w:val="17"/>
          <w:szCs w:val="17"/>
          <w:color w:val="231F20"/>
        </w:rPr>
        <w:t>of previously unamortized debt issuance costs as a</w:t>
      </w:r>
      <w:r>
        <w:rPr>
          <w:rFonts w:ascii="Arial" w:cs="Arial" w:eastAsia="Arial" w:hAnsi="Arial"/>
          <w:sz w:val="17"/>
          <w:szCs w:val="17"/>
          <w:color w:val="auto"/>
        </w:rPr>
        <w:t xml:space="preserve"> loss on extinguishment of debt in the unaudited condensed consolidated statements of operations and comprehensive </w:t>
      </w:r>
      <w:r>
        <w:rPr>
          <w:rFonts w:ascii="Arial" w:cs="Arial" w:eastAsia="Arial" w:hAnsi="Arial"/>
          <w:sz w:val="17"/>
          <w:szCs w:val="17"/>
          <w:color w:val="231F20"/>
        </w:rPr>
        <w:t>income (loss)</w:t>
      </w:r>
      <w:r>
        <w:rPr>
          <w:rFonts w:ascii="Arial" w:cs="Arial" w:eastAsia="Arial" w:hAnsi="Arial"/>
          <w:sz w:val="17"/>
          <w:szCs w:val="17"/>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As of September 30, 2022 and December 31, 2021, there were no amounts outstanding under </w:t>
      </w:r>
      <w:r>
        <w:rPr>
          <w:rFonts w:ascii="Arial" w:cs="Arial" w:eastAsia="Arial" w:hAnsi="Arial"/>
          <w:sz w:val="18"/>
          <w:szCs w:val="18"/>
          <w:color w:val="000000"/>
        </w:rPr>
        <w:t>the Revolving Commitment.</w:t>
      </w:r>
    </w:p>
    <w:p>
      <w:pPr>
        <w:spacing w:after="0" w:line="10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231F20"/>
        </w:rPr>
        <w:t>The maximum available borrowing capacity under the Revolving Commitment is reduced by outstanding letters of credit under the Revolving Commitment. As of September 30, 2022 and December 31, 2021, the available borrowing capacity under the Revolving Commitment was $148,991 and $149,503, respectively.</w:t>
      </w:r>
    </w:p>
    <w:p>
      <w:pPr>
        <w:spacing w:after="0" w:line="68"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231F20"/>
        </w:rPr>
        <w:t>In addition, an unused commitment fee based on the Company’s First Lien Net Leverage Ratio is payable on the average of the unused borrowing capacity under the Revolving Commitment. As of September 30, 2022 and December 31, 2021, the unused commitment fee was 0.25%.</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Standby Letters of Credit</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231F20"/>
        </w:rPr>
        <w:t xml:space="preserve">As of September 30, 2022, the Company has a letter of credit sublimit of $10,000 under the Revolving Commitment, provided that the total utilization of revolving commitments under the Revolving Commitment does not exceed $150,000. Any letter of credit issued under the Credit Agreement has an expiration date which is the earlier of (i) no later than 12 months from the date of issuance or (ii) five business days prior to the maturity date of the Revolving Commitment, as amended under </w:t>
      </w:r>
      <w:r>
        <w:rPr>
          <w:rFonts w:ascii="Arial" w:cs="Arial" w:eastAsia="Arial" w:hAnsi="Arial"/>
          <w:sz w:val="16"/>
          <w:szCs w:val="16"/>
          <w:color w:val="000000"/>
        </w:rPr>
        <w:t>Amendment No. 2</w:t>
      </w:r>
      <w:r>
        <w:rPr>
          <w:rFonts w:ascii="Arial" w:cs="Arial" w:eastAsia="Arial" w:hAnsi="Arial"/>
          <w:sz w:val="16"/>
          <w:szCs w:val="16"/>
          <w:color w:val="231F20"/>
        </w:rPr>
        <w:t>. Letters of credit under the Revolving Commitment reduce the maximum available borrowing capacity under the Revolving Commitment. As of September 30, 2022 and December 31, 2021, the amounts associated with outstanding letters of credit were $1,009 and $497, respectively, and unused letters of credit under the Revolving Commitment were $8,991 and $9,503,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Second Lien Credit Agreement</w:t>
      </w:r>
    </w:p>
    <w:p>
      <w:pPr>
        <w:spacing w:after="0" w:line="10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231F20"/>
        </w:rPr>
        <w:t xml:space="preserve">In June 2021, the Company made a voluntary prepayment of all outstanding borrowings under the second lien term loan (the “Second Lien Term Loan”) pursuant to the Second Lien Credit Agreement entered into May 2019, as amended by the First Amendment to Second Lien Credit Agreement in March 2020 (the “Amended Second Lien Credit Agreement”) funded by the net proceeds from the IPO, which included outstanding principal of $242,673 and accrued interest expense of $6,050. In connection with this voluntary prepayment, the Company </w:t>
      </w:r>
      <w:r>
        <w:rPr>
          <w:rFonts w:ascii="Arial" w:cs="Arial" w:eastAsia="Arial" w:hAnsi="Arial"/>
          <w:sz w:val="16"/>
          <w:szCs w:val="16"/>
          <w:color w:val="000000"/>
        </w:rPr>
        <w:t>expensed</w:t>
      </w:r>
      <w:r>
        <w:rPr>
          <w:rFonts w:ascii="Arial" w:cs="Arial" w:eastAsia="Arial" w:hAnsi="Arial"/>
          <w:sz w:val="16"/>
          <w:szCs w:val="16"/>
          <w:color w:val="231F20"/>
        </w:rPr>
        <w:t xml:space="preserve"> $2,059 of previously unamortized debt issuance costs as a loss on extinguishment of debt in the unaudited condensed consolidated statements of operations and comprehensive income (loss).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Fair Value Measurements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September 30,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Fair Value Measurements</w:t>
            </w: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1,206</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1,206</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5,750</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5,750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Fair Value Measurements</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0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5,750</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20"/>
                <w:szCs w:val="20"/>
                <w:color w:val="auto"/>
              </w:rPr>
            </w:pPr>
          </w:p>
        </w:tc>
      </w:tr>
    </w:tbl>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231F20"/>
        </w:rPr>
        <w:t>The Company measures the fair value of its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 See Note 10 Interest Rate Swap for additional information on the interest rate swap.</w:t>
      </w:r>
    </w:p>
    <w:p>
      <w:pPr>
        <w:spacing w:after="0" w:line="5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 xml:space="preserve">As of September 30, 2022 and December 31, 2021, the fair value of the Company’s First Lien Term Loan approximated its carrying value </w:t>
      </w:r>
      <w:r>
        <w:rPr>
          <w:rFonts w:ascii="Arial" w:cs="Arial" w:eastAsia="Arial" w:hAnsi="Arial"/>
          <w:sz w:val="18"/>
          <w:szCs w:val="18"/>
          <w:color w:val="000000"/>
        </w:rPr>
        <w:t>due to the debt’s</w:t>
      </w:r>
      <w:r>
        <w:rPr>
          <w:rFonts w:ascii="Arial" w:cs="Arial" w:eastAsia="Arial" w:hAnsi="Arial"/>
          <w:sz w:val="18"/>
          <w:szCs w:val="18"/>
          <w:color w:val="231F20"/>
        </w:rPr>
        <w:t xml:space="preserve"> </w:t>
      </w:r>
      <w:r>
        <w:rPr>
          <w:rFonts w:ascii="Arial" w:cs="Arial" w:eastAsia="Arial" w:hAnsi="Arial"/>
          <w:sz w:val="18"/>
          <w:szCs w:val="18"/>
          <w:color w:val="000000"/>
        </w:rPr>
        <w:t>variable interest rate terms</w:t>
      </w:r>
      <w:r>
        <w:rPr>
          <w:rFonts w:ascii="Arial" w:cs="Arial" w:eastAsia="Arial" w:hAnsi="Arial"/>
          <w:sz w:val="18"/>
          <w:szCs w:val="18"/>
          <w:color w:val="231F20"/>
        </w:rPr>
        <w:t>.</w:t>
      </w: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Company recognized a Level 3 contingent consideration liability in connection with the Downtowner Car Wash acquisition in December 2021. The Company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the Company's most recent financial projection for future periods subject to earn-out payments. There are two components to the contingent consideration: a payment when the Company obtains the certificate of occupancy for the car wash and opens to the public in 2023 and an annual payment based on certain financial metrics of the business. A change in the forecasted revenue or projected opening dates could result in a significantly lower or higher fair value measurement. The Company determined that there were no significant changes to the unobservable inputs that would have resulted in a change in fair value of this contingent consideration liability at September 30, 2022.</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2022 and 2021, there were no transfers between fair value measurement levels.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Interest Rate Swap</w:t>
      </w:r>
    </w:p>
    <w:p>
      <w:pPr>
        <w:spacing w:after="0" w:line="107"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231F20"/>
        </w:rPr>
        <w:t>In May 2020, the Company entered into a pay-fixed, receive-floating interest rate swap (the “Swap”) to mitigate variability in forecasted interest payments on an amortizing notional of $550,000 of the Company’s variable-rate First Lien Term Loan. The Company designated the Swap as a cash flow hedge.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231F20"/>
        </w:rPr>
        <w:t>As of September 30, 2022, information pertaining to the Swap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Notional Amount</w:t>
            </w:r>
          </w:p>
        </w:tc>
        <w:tc>
          <w:tcPr>
            <w:tcW w:w="3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4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Pay-Fixed</w:t>
            </w:r>
          </w:p>
        </w:tc>
        <w:tc>
          <w:tcPr>
            <w:tcW w:w="2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Receive-Floating</w:t>
            </w:r>
          </w:p>
        </w:tc>
        <w:tc>
          <w:tcPr>
            <w:tcW w:w="2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Maturity Date</w:t>
            </w:r>
          </w:p>
        </w:tc>
      </w:tr>
      <w:tr>
        <w:trPr>
          <w:trHeight w:val="249"/>
        </w:trPr>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540,228</w:t>
            </w:r>
          </w:p>
        </w:tc>
        <w:tc>
          <w:tcPr>
            <w:tcW w:w="3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12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1,206</w:t>
            </w:r>
          </w:p>
        </w:tc>
        <w:tc>
          <w:tcPr>
            <w:tcW w:w="56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rPr>
              <w:t>0.308%</w:t>
            </w:r>
          </w:p>
        </w:tc>
        <w:tc>
          <w:tcPr>
            <w:tcW w:w="24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rPr>
              <w:t>2.99%</w:t>
            </w:r>
          </w:p>
        </w:tc>
        <w:tc>
          <w:tcPr>
            <w:tcW w:w="24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October 20,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-24765</wp:posOffset>
            </wp:positionV>
            <wp:extent cx="1454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1454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1454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145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81"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231F20"/>
        </w:rPr>
        <w:t>As of September 30, 2022 and December 31, 2021, the fair value of the Swap was $1,206 and $268, respectively, and is reported as a debit balance as a result of floating interest rates above fixed interest rates, and is included in prepaid expenses and other current assets in the accompanying unaudited condensed consolidated balance sheets.</w:t>
      </w:r>
    </w:p>
    <w:p>
      <w:pPr>
        <w:spacing w:after="0" w:line="76" w:lineRule="exact"/>
        <w:rPr>
          <w:sz w:val="20"/>
          <w:szCs w:val="20"/>
          <w:color w:val="auto"/>
        </w:rPr>
      </w:pPr>
    </w:p>
    <w:p>
      <w:pPr>
        <w:ind w:right="680"/>
        <w:spacing w:after="0" w:line="341" w:lineRule="auto"/>
        <w:rPr>
          <w:sz w:val="20"/>
          <w:szCs w:val="20"/>
          <w:color w:val="auto"/>
        </w:rPr>
      </w:pPr>
      <w:r>
        <w:rPr>
          <w:rFonts w:ascii="Arial" w:cs="Arial" w:eastAsia="Arial" w:hAnsi="Arial"/>
          <w:sz w:val="16"/>
          <w:szCs w:val="16"/>
          <w:color w:val="231F20"/>
        </w:rPr>
        <w:t>For the three months ended September 30, 2022 and 2021, amounts reported in other comprehensive income (loss) in the accompanying unaudited condensed consolidated statements of operations and comprehensive income (loss) are net of tax of $(601) and $18, respectively.</w:t>
      </w:r>
    </w:p>
    <w:p>
      <w:pPr>
        <w:spacing w:after="0" w:line="3" w:lineRule="exact"/>
        <w:rPr>
          <w:sz w:val="20"/>
          <w:szCs w:val="20"/>
          <w:color w:val="auto"/>
        </w:rPr>
      </w:pPr>
    </w:p>
    <w:p>
      <w:pPr>
        <w:ind w:right="740"/>
        <w:spacing w:after="0" w:line="324" w:lineRule="auto"/>
        <w:rPr>
          <w:sz w:val="20"/>
          <w:szCs w:val="20"/>
          <w:color w:val="auto"/>
        </w:rPr>
      </w:pPr>
      <w:r>
        <w:rPr>
          <w:rFonts w:ascii="Arial" w:cs="Arial" w:eastAsia="Arial" w:hAnsi="Arial"/>
          <w:sz w:val="16"/>
          <w:szCs w:val="16"/>
          <w:color w:val="231F20"/>
        </w:rPr>
        <w:t>For the nine months ended September 30, 2022 and 2021, amounts reported in other comprehensive income (loss) in the accompanying unaudited condensed consolidated statements of operations and comprehensive income (loss) are net of tax of $125 and $133, respectively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231F20"/>
        </w:rPr>
        <w:t>In October 2022, the interest rate swap expired and was not replaced by a new interest rate swap.</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r>
              <w:rPr>
                <w:rFonts w:ascii="Arial" w:cs="Arial" w:eastAsia="Arial" w:hAnsi="Arial"/>
                <w:sz w:val="18"/>
                <w:szCs w:val="18"/>
                <w:b w:val="1"/>
                <w:bCs w:val="1"/>
                <w:color w:val="231F20"/>
              </w:rPr>
              <w:t>11.  Leases</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980" w:type="dxa"/>
            <w:vAlign w:val="bottom"/>
            <w:gridSpan w:val="4"/>
          </w:tcPr>
          <w:p>
            <w:pPr>
              <w:spacing w:after="0"/>
              <w:rPr>
                <w:sz w:val="20"/>
                <w:szCs w:val="20"/>
                <w:color w:val="auto"/>
              </w:rPr>
            </w:pPr>
            <w:r>
              <w:rPr>
                <w:rFonts w:ascii="Arial" w:cs="Arial" w:eastAsia="Arial" w:hAnsi="Arial"/>
                <w:sz w:val="18"/>
                <w:szCs w:val="18"/>
                <w:color w:val="231F20"/>
                <w:w w:val="91"/>
              </w:rPr>
              <w:t>Balance sheet information related to leases consisted of the following for the periods presented:</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60" w:type="dxa"/>
            <w:vAlign w:val="bottom"/>
          </w:tcPr>
          <w:p>
            <w:pPr>
              <w:spacing w:after="0"/>
              <w:rPr>
                <w:sz w:val="24"/>
                <w:szCs w:val="24"/>
                <w:color w:val="auto"/>
              </w:rPr>
            </w:pPr>
          </w:p>
        </w:tc>
        <w:tc>
          <w:tcPr>
            <w:tcW w:w="4760" w:type="dxa"/>
            <w:vAlign w:val="bottom"/>
            <w:gridSpan w:val="2"/>
            <w:vMerge w:val="restart"/>
          </w:tcPr>
          <w:p>
            <w:pPr>
              <w:ind w:left="1620"/>
              <w:spacing w:after="0"/>
              <w:rPr>
                <w:sz w:val="20"/>
                <w:szCs w:val="20"/>
                <w:color w:val="auto"/>
              </w:rPr>
            </w:pPr>
            <w:r>
              <w:rPr>
                <w:rFonts w:ascii="Arial" w:cs="Arial" w:eastAsia="Arial" w:hAnsi="Arial"/>
                <w:sz w:val="18"/>
                <w:szCs w:val="18"/>
                <w:b w:val="1"/>
                <w:bCs w:val="1"/>
                <w:color w:val="auto"/>
              </w:rPr>
              <w:t>Classification</w:t>
            </w: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3"/>
              </w:rPr>
              <w:t>As of</w:t>
            </w:r>
          </w:p>
        </w:tc>
        <w:tc>
          <w:tcPr>
            <w:tcW w:w="1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4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September 30, 2022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300" w:type="dxa"/>
            <w:vAlign w:val="bottom"/>
            <w:tcBorders>
              <w:top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Arial" w:cs="Arial" w:eastAsia="Arial" w:hAnsi="Arial"/>
                <w:sz w:val="18"/>
                <w:szCs w:val="18"/>
                <w:color w:val="auto"/>
              </w:rPr>
              <w:t>Operating</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Operating lease right of use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763,427</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718,533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w:t>
            </w:r>
          </w:p>
        </w:tc>
        <w:tc>
          <w:tcPr>
            <w:tcW w:w="4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14,571</w:t>
            </w:r>
          </w:p>
        </w:tc>
        <w:tc>
          <w:tcPr>
            <w:tcW w:w="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4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777,998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733,737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4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Arial" w:cs="Arial" w:eastAsia="Arial" w:hAnsi="Arial"/>
                <w:sz w:val="18"/>
                <w:szCs w:val="18"/>
                <w:color w:val="auto"/>
              </w:rPr>
              <w:t>Current</w:t>
            </w:r>
          </w:p>
        </w:tc>
        <w:tc>
          <w:tcPr>
            <w:tcW w:w="4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w:t>
            </w:r>
          </w:p>
        </w:tc>
        <w:tc>
          <w:tcPr>
            <w:tcW w:w="4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Current maturities of operating lease liability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39,336</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0"/>
              <w:spacing w:after="0"/>
              <w:rPr>
                <w:sz w:val="20"/>
                <w:szCs w:val="20"/>
                <w:color w:val="auto"/>
              </w:rPr>
            </w:pPr>
            <w:r>
              <w:rPr>
                <w:rFonts w:ascii="Arial" w:cs="Arial" w:eastAsia="Arial" w:hAnsi="Arial"/>
                <w:sz w:val="18"/>
                <w:szCs w:val="18"/>
                <w:color w:val="auto"/>
              </w:rPr>
              <w:t>Finance</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Current maturities of finance lease liability</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648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w:t>
            </w:r>
          </w:p>
        </w:tc>
        <w:tc>
          <w:tcPr>
            <w:tcW w:w="4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750,929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717,552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w:t>
            </w:r>
          </w:p>
        </w:tc>
        <w:tc>
          <w:tcPr>
            <w:tcW w:w="4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Financing lease liability</w:t>
            </w: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14,955</w:t>
            </w:r>
          </w:p>
        </w:tc>
        <w:tc>
          <w:tcPr>
            <w:tcW w:w="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805,868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770,815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-1437640</wp:posOffset>
            </wp:positionV>
            <wp:extent cx="68580" cy="307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307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-170815</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31F20"/>
        </w:rPr>
        <w:t>Components of total lease cost, net, consisted of the following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5"/>
              </w:rPr>
              <w:t>Three Months Ended September 30,</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 September 30,</w:t>
            </w:r>
          </w:p>
        </w:tc>
        <w:tc>
          <w:tcPr>
            <w:tcW w:w="100" w:type="dxa"/>
            <w:vAlign w:val="bottom"/>
          </w:tcPr>
          <w:p>
            <w:pPr>
              <w:spacing w:after="0"/>
              <w:rPr>
                <w:sz w:val="20"/>
                <w:szCs w:val="20"/>
                <w:color w:val="auto"/>
              </w:rPr>
            </w:pPr>
          </w:p>
        </w:tc>
      </w:tr>
      <w:tr>
        <w:trPr>
          <w:trHeight w:val="209"/>
        </w:trPr>
        <w:tc>
          <w:tcPr>
            <w:tcW w:w="4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50"/>
        </w:trPr>
        <w:tc>
          <w:tcPr>
            <w:tcW w:w="4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gridSpan w:val="2"/>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36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18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Operating lease expense</w:t>
            </w:r>
            <w:r>
              <w:rPr>
                <w:rFonts w:ascii="Arial" w:cs="Arial" w:eastAsia="Arial" w:hAnsi="Arial"/>
                <w:sz w:val="24"/>
                <w:szCs w:val="24"/>
                <w:color w:val="auto"/>
                <w:vertAlign w:val="superscript"/>
              </w:rPr>
              <w:t>(1)</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22,796</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20,134</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65,653</w:t>
            </w:r>
          </w:p>
        </w:tc>
        <w:tc>
          <w:tcPr>
            <w:tcW w:w="6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58,654</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lease assets</w:t>
            </w: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r>
      <w:tr>
        <w:trPr>
          <w:trHeight w:val="216"/>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expense</w:t>
            </w: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ind w:left="20"/>
              <w:spacing w:after="0" w:line="216" w:lineRule="exact"/>
              <w:rPr>
                <w:sz w:val="20"/>
                <w:szCs w:val="20"/>
                <w:color w:val="auto"/>
              </w:rPr>
            </w:pPr>
            <w:r>
              <w:rPr>
                <w:rFonts w:ascii="Arial" w:cs="Arial" w:eastAsia="Arial" w:hAnsi="Arial"/>
                <w:sz w:val="18"/>
                <w:szCs w:val="18"/>
                <w:color w:val="auto"/>
              </w:rPr>
              <w:t>Variable lease expense</w:t>
            </w:r>
            <w:r>
              <w:rPr>
                <w:rFonts w:ascii="Arial" w:cs="Arial" w:eastAsia="Arial" w:hAnsi="Arial"/>
                <w:sz w:val="24"/>
                <w:szCs w:val="24"/>
                <w:color w:val="auto"/>
                <w:vertAlign w:val="superscript"/>
              </w:rPr>
              <w:t>(2)</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2,160</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10,732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8,648</w:t>
            </w:r>
          </w:p>
        </w:tc>
        <w:tc>
          <w:tcPr>
            <w:tcW w:w="100" w:type="dxa"/>
            <w:vAlign w:val="bottom"/>
          </w:tcPr>
          <w:p>
            <w:pPr>
              <w:spacing w:after="0"/>
              <w:rPr>
                <w:sz w:val="18"/>
                <w:szCs w:val="18"/>
                <w:color w:val="auto"/>
              </w:rPr>
            </w:pPr>
          </w:p>
        </w:tc>
      </w:tr>
      <w:tr>
        <w:trPr>
          <w:trHeight w:val="249"/>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26,438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22,849</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77,997</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right="880" w:hanging="512"/>
        <w:spacing w:after="0" w:line="272" w:lineRule="auto"/>
        <w:tabs>
          <w:tab w:leader="none" w:pos="520"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Operating lease expense includes an immaterial amount of sublease income and is included in other store operating expenses and general and administrative expenses in the accompanying unaudited condensed consolidated statements of operations and comprehensive income (loss).</w:t>
      </w:r>
    </w:p>
    <w:p>
      <w:pPr>
        <w:spacing w:after="0" w:line="80" w:lineRule="exact"/>
        <w:rPr>
          <w:rFonts w:ascii="Arial" w:cs="Arial" w:eastAsia="Arial" w:hAnsi="Arial"/>
          <w:sz w:val="14"/>
          <w:szCs w:val="14"/>
          <w:color w:val="231F20"/>
        </w:rPr>
      </w:pPr>
    </w:p>
    <w:p>
      <w:pPr>
        <w:ind w:left="520" w:right="280" w:hanging="512"/>
        <w:spacing w:after="0" w:line="272" w:lineRule="auto"/>
        <w:tabs>
          <w:tab w:leader="none" w:pos="520"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Variable lease costs consist of property taxes, property insurance, and common area or other maintenance costs for the Company’s leases of land and buildings and is included in other store operating expenses in the accompanying unaudited condensed consolidated statements of operations and comprehensive income (loss).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includes supplemental information for the periods presented:</w:t>
      </w:r>
    </w:p>
    <w:p>
      <w:pPr>
        <w:sectPr>
          <w:pgSz w:w="11900" w:h="16838" w:orient="portrait"/>
          <w:cols w:equalWidth="0" w:num="1">
            <w:col w:w="11300"/>
          </w:cols>
          <w:pgMar w:left="320" w:top="323"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flows from operating leases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flows from finance leases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cash flows from finance leases</w:t>
      </w:r>
    </w:p>
    <w:p>
      <w:pPr>
        <w:spacing w:after="0" w:line="210"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Operating lease liabilities arising from obtaining ROU assets</w:t>
      </w:r>
    </w:p>
    <w:p>
      <w:pPr>
        <w:spacing w:after="0" w:line="2" w:lineRule="exact"/>
        <w:rPr>
          <w:sz w:val="20"/>
          <w:szCs w:val="20"/>
          <w:color w:val="auto"/>
        </w:rPr>
      </w:pPr>
    </w:p>
    <w:p>
      <w:pPr>
        <w:ind w:left="20" w:right="160"/>
        <w:spacing w:after="0" w:line="234" w:lineRule="auto"/>
        <w:rPr>
          <w:sz w:val="20"/>
          <w:szCs w:val="20"/>
          <w:color w:val="auto"/>
        </w:rPr>
      </w:pPr>
      <w:r>
        <w:rPr>
          <w:rFonts w:ascii="Arial" w:cs="Arial" w:eastAsia="Arial" w:hAnsi="Arial"/>
          <w:sz w:val="18"/>
          <w:szCs w:val="18"/>
          <w:color w:val="auto"/>
        </w:rPr>
        <w:t>Finance lease liabilities arising from obtaining ROU assets</w:t>
      </w:r>
    </w:p>
    <w:p>
      <w:pPr>
        <w:spacing w:after="0" w:line="202" w:lineRule="exact"/>
        <w:rPr>
          <w:sz w:val="20"/>
          <w:szCs w:val="20"/>
          <w:color w:val="auto"/>
        </w:rPr>
      </w:pPr>
    </w:p>
    <w:p>
      <w:pPr>
        <w:ind w:left="20" w:right="340"/>
        <w:spacing w:after="0" w:line="341" w:lineRule="auto"/>
        <w:rPr>
          <w:sz w:val="20"/>
          <w:szCs w:val="20"/>
          <w:color w:val="auto"/>
        </w:rPr>
      </w:pPr>
      <w:r>
        <w:rPr>
          <w:rFonts w:ascii="Arial" w:cs="Arial" w:eastAsia="Arial" w:hAnsi="Arial"/>
          <w:sz w:val="16"/>
          <w:szCs w:val="16"/>
          <w:color w:val="auto"/>
        </w:rPr>
        <w:t>Weighted-average remaining operating lease term Weighted-average remaining finance lease term</w:t>
      </w:r>
    </w:p>
    <w:p>
      <w:pPr>
        <w:spacing w:after="0" w:line="124" w:lineRule="exact"/>
        <w:rPr>
          <w:sz w:val="20"/>
          <w:szCs w:val="20"/>
          <w:color w:val="auto"/>
        </w:rPr>
      </w:pPr>
    </w:p>
    <w:p>
      <w:pPr>
        <w:ind w:left="20" w:right="520"/>
        <w:spacing w:after="0" w:line="380" w:lineRule="auto"/>
        <w:rPr>
          <w:sz w:val="20"/>
          <w:szCs w:val="20"/>
          <w:color w:val="auto"/>
        </w:rPr>
      </w:pPr>
      <w:r>
        <w:rPr>
          <w:rFonts w:ascii="Arial" w:cs="Arial" w:eastAsia="Arial" w:hAnsi="Arial"/>
          <w:sz w:val="15"/>
          <w:szCs w:val="15"/>
          <w:color w:val="auto"/>
        </w:rPr>
        <w:t>Weighted-average operating lease discount rate Weighted-average finance lease discount rate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32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1"/>
              </w:rPr>
              <w:t>Three Months Ended September 30,</w:t>
            </w:r>
          </w:p>
        </w:tc>
        <w:tc>
          <w:tcPr>
            <w:tcW w:w="260" w:type="dxa"/>
            <w:vAlign w:val="bottom"/>
          </w:tcPr>
          <w:p>
            <w:pPr>
              <w:spacing w:after="0"/>
              <w:rPr>
                <w:sz w:val="20"/>
                <w:szCs w:val="20"/>
                <w:color w:val="auto"/>
              </w:rPr>
            </w:pPr>
          </w:p>
        </w:tc>
        <w:tc>
          <w:tcPr>
            <w:tcW w:w="34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09"/>
        </w:trPr>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195"/>
        </w:trPr>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22,820</w:t>
            </w:r>
          </w:p>
        </w:tc>
        <w:tc>
          <w:tcPr>
            <w:tcW w:w="28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20,490</w:t>
            </w:r>
          </w:p>
        </w:tc>
        <w:tc>
          <w:tcPr>
            <w:tcW w:w="30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66,162</w:t>
            </w:r>
          </w:p>
        </w:tc>
        <w:tc>
          <w:tcPr>
            <w:tcW w:w="280" w:type="dxa"/>
            <w:vAlign w:val="bottom"/>
          </w:tcPr>
          <w:p>
            <w:pPr>
              <w:spacing w:after="0"/>
              <w:rPr>
                <w:sz w:val="16"/>
                <w:szCs w:val="16"/>
                <w:color w:val="auto"/>
              </w:rPr>
            </w:pPr>
          </w:p>
        </w:tc>
        <w:tc>
          <w:tcPr>
            <w:tcW w:w="38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59,831</w:t>
            </w:r>
          </w:p>
        </w:tc>
        <w:tc>
          <w:tcPr>
            <w:tcW w:w="160" w:type="dxa"/>
            <w:vAlign w:val="bottom"/>
          </w:tcPr>
          <w:p>
            <w:pPr>
              <w:spacing w:after="0"/>
              <w:rPr>
                <w:sz w:val="16"/>
                <w:szCs w:val="16"/>
                <w:color w:val="auto"/>
              </w:rPr>
            </w:pP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876</w:t>
            </w:r>
          </w:p>
        </w:tc>
        <w:tc>
          <w:tcPr>
            <w:tcW w:w="160" w:type="dxa"/>
            <w:vAlign w:val="bottom"/>
          </w:tcPr>
          <w:p>
            <w:pPr>
              <w:spacing w:after="0"/>
              <w:rPr>
                <w:sz w:val="18"/>
                <w:szCs w:val="18"/>
                <w:color w:val="auto"/>
              </w:rPr>
            </w:pP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0"/>
                <w:szCs w:val="20"/>
                <w:color w:val="auto"/>
              </w:rPr>
            </w:pPr>
          </w:p>
        </w:tc>
      </w:tr>
      <w:tr>
        <w:trPr>
          <w:trHeight w:val="52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44,471</w:t>
            </w:r>
          </w:p>
        </w:tc>
        <w:tc>
          <w:tcPr>
            <w:tcW w:w="28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12,251</w:t>
            </w:r>
          </w:p>
        </w:tc>
        <w:tc>
          <w:tcPr>
            <w:tcW w:w="3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72,482</w:t>
            </w:r>
          </w:p>
        </w:tc>
        <w:tc>
          <w:tcPr>
            <w:tcW w:w="2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44,271</w:t>
            </w:r>
          </w:p>
        </w:tc>
        <w:tc>
          <w:tcPr>
            <w:tcW w:w="160" w:type="dxa"/>
            <w:vAlign w:val="bottom"/>
          </w:tcPr>
          <w:p>
            <w:pPr>
              <w:spacing w:after="0"/>
              <w:rPr>
                <w:sz w:val="24"/>
                <w:szCs w:val="24"/>
                <w:color w:val="auto"/>
              </w:rPr>
            </w:pPr>
          </w:p>
        </w:tc>
      </w:tr>
      <w:tr>
        <w:trPr>
          <w:trHeight w:val="405"/>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r>
      <w:tr>
        <w:trPr>
          <w:trHeight w:val="511"/>
        </w:trPr>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14.22</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24"/>
                <w:szCs w:val="24"/>
                <w:color w:val="auto"/>
              </w:rPr>
            </w:pPr>
          </w:p>
        </w:tc>
      </w:tr>
      <w:tr>
        <w:trPr>
          <w:trHeight w:val="230"/>
        </w:trPr>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17.51</w:t>
            </w:r>
          </w:p>
        </w:tc>
        <w:tc>
          <w:tcPr>
            <w:tcW w:w="160" w:type="dxa"/>
            <w:vAlign w:val="bottom"/>
          </w:tcPr>
          <w:p>
            <w:pPr>
              <w:spacing w:after="0"/>
              <w:rPr>
                <w:sz w:val="20"/>
                <w:szCs w:val="20"/>
                <w:color w:val="auto"/>
              </w:rPr>
            </w:pPr>
          </w:p>
        </w:tc>
      </w:tr>
      <w:tr>
        <w:trPr>
          <w:trHeight w:val="417"/>
        </w:trPr>
        <w:tc>
          <w:tcPr>
            <w:tcW w:w="140" w:type="dxa"/>
            <w:vAlign w:val="bottom"/>
          </w:tcPr>
          <w:p>
            <w:pPr>
              <w:spacing w:after="0"/>
              <w:rPr>
                <w:sz w:val="24"/>
                <w:szCs w:val="24"/>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7.18 %</w:t>
            </w:r>
          </w:p>
        </w:tc>
        <w:tc>
          <w:tcPr>
            <w:tcW w:w="320" w:type="dxa"/>
            <w:vAlign w:val="bottom"/>
          </w:tcPr>
          <w:p>
            <w:pPr>
              <w:spacing w:after="0"/>
              <w:rPr>
                <w:sz w:val="24"/>
                <w:szCs w:val="2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6.45 %</w:t>
            </w:r>
          </w:p>
        </w:tc>
        <w:tc>
          <w:tcPr>
            <w:tcW w:w="260" w:type="dxa"/>
            <w:vAlign w:val="bottom"/>
          </w:tcPr>
          <w:p>
            <w:pPr>
              <w:spacing w:after="0"/>
              <w:rPr>
                <w:sz w:val="24"/>
                <w:szCs w:val="2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7.18 %</w:t>
            </w:r>
          </w:p>
        </w:tc>
        <w:tc>
          <w:tcPr>
            <w:tcW w:w="3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6.45 %</w:t>
            </w:r>
          </w:p>
        </w:tc>
      </w:tr>
      <w:tr>
        <w:trPr>
          <w:trHeight w:val="230"/>
        </w:trPr>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7.33 %</w:t>
            </w:r>
          </w:p>
        </w:tc>
        <w:tc>
          <w:tcPr>
            <w:tcW w:w="3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7.33 %</w:t>
            </w:r>
          </w:p>
        </w:tc>
        <w:tc>
          <w:tcPr>
            <w:tcW w:w="26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7.33 %</w:t>
            </w:r>
          </w:p>
        </w:tc>
        <w:tc>
          <w:tcPr>
            <w:tcW w:w="3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7.33 %</w:t>
            </w:r>
          </w:p>
        </w:tc>
      </w:tr>
      <w:tr>
        <w:trPr>
          <w:trHeight w:val="418"/>
        </w:trPr>
        <w:tc>
          <w:tcPr>
            <w:tcW w:w="140" w:type="dxa"/>
            <w:vAlign w:val="bottom"/>
          </w:tcPr>
          <w:p>
            <w:pPr>
              <w:spacing w:after="0"/>
              <w:rPr>
                <w:sz w:val="24"/>
                <w:szCs w:val="24"/>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-2148840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-1874520</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-1343660</wp:posOffset>
            </wp:positionV>
            <wp:extent cx="7132320" cy="257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-812800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-401955</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38735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940" w:space="220"/>
            <w:col w:w="7140"/>
          </w:cols>
          <w:pgMar w:left="320" w:top="323" w:right="27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231F20"/>
                <w:w w:val="98"/>
              </w:rPr>
              <w:t>As of September 30, 2022, lease obligation maturities were as follows: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Fiscal Year Ending:</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Operating Leases</w:t>
            </w:r>
          </w:p>
        </w:tc>
        <w:tc>
          <w:tcPr>
            <w:tcW w:w="340" w:type="dxa"/>
            <w:vAlign w:val="bottom"/>
          </w:tcPr>
          <w:p>
            <w:pPr>
              <w:spacing w:after="0"/>
              <w:rPr>
                <w:sz w:val="24"/>
                <w:szCs w:val="24"/>
                <w:color w:val="auto"/>
              </w:rPr>
            </w:pPr>
          </w:p>
        </w:tc>
        <w:tc>
          <w:tcPr>
            <w:tcW w:w="21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Finance Leases</w:t>
            </w:r>
          </w:p>
        </w:tc>
      </w:tr>
      <w:tr>
        <w:trPr>
          <w:trHeight w:val="209"/>
        </w:trPr>
        <w:tc>
          <w:tcPr>
            <w:tcW w:w="55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2022 (remaining three months)</w:t>
            </w:r>
          </w:p>
        </w:tc>
        <w:tc>
          <w:tcPr>
            <w:tcW w:w="4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23,101</w:t>
            </w:r>
          </w:p>
        </w:tc>
        <w:tc>
          <w:tcPr>
            <w:tcW w:w="4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92,772</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92,427</w:t>
            </w: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92,217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91,180</w:t>
            </w: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895,891</w:t>
            </w:r>
          </w:p>
        </w:tc>
        <w:tc>
          <w:tcPr>
            <w:tcW w:w="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22,090</w:t>
            </w:r>
          </w:p>
        </w:tc>
        <w:tc>
          <w:tcPr>
            <w:tcW w:w="100" w:type="dxa"/>
            <w:vAlign w:val="bottom"/>
          </w:tcPr>
          <w:p>
            <w:pPr>
              <w:spacing w:after="0"/>
              <w:rPr>
                <w:sz w:val="18"/>
                <w:szCs w:val="18"/>
                <w:color w:val="auto"/>
              </w:rPr>
            </w:pPr>
          </w:p>
        </w:tc>
      </w:tr>
      <w:tr>
        <w:trPr>
          <w:trHeight w:val="20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obligations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1,287,588</w:t>
            </w: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29,638</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(497,323 )</w:t>
            </w:r>
          </w:p>
        </w:tc>
        <w:tc>
          <w:tcPr>
            <w:tcW w:w="340" w:type="dxa"/>
            <w:vAlign w:val="bottom"/>
          </w:tcPr>
          <w:p>
            <w:pPr>
              <w:spacing w:after="0"/>
              <w:rPr>
                <w:sz w:val="18"/>
                <w:szCs w:val="18"/>
                <w:color w:val="auto"/>
              </w:rPr>
            </w:pP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(14,035 )</w:t>
            </w:r>
          </w:p>
        </w:tc>
      </w:tr>
      <w:tr>
        <w:trPr>
          <w:trHeight w:val="20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net future minimum lease obligations</w:t>
            </w:r>
          </w:p>
        </w:tc>
        <w:tc>
          <w:tcPr>
            <w:tcW w:w="4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790,265</w:t>
            </w:r>
          </w:p>
        </w:tc>
        <w:tc>
          <w:tcPr>
            <w:tcW w:w="4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15,603</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(39,336 )</w:t>
            </w:r>
          </w:p>
        </w:tc>
        <w:tc>
          <w:tcPr>
            <w:tcW w:w="340" w:type="dxa"/>
            <w:vAlign w:val="bottom"/>
          </w:tcPr>
          <w:p>
            <w:pPr>
              <w:spacing w:after="0"/>
              <w:rPr>
                <w:sz w:val="18"/>
                <w:szCs w:val="18"/>
                <w:color w:val="auto"/>
              </w:rPr>
            </w:pP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(648 )</w:t>
            </w:r>
          </w:p>
        </w:tc>
      </w:tr>
      <w:tr>
        <w:trPr>
          <w:trHeight w:val="249"/>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obligations</w:t>
            </w:r>
          </w:p>
        </w:tc>
        <w:tc>
          <w:tcPr>
            <w:tcW w:w="4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750,929</w:t>
            </w:r>
          </w:p>
        </w:tc>
        <w:tc>
          <w:tcPr>
            <w:tcW w:w="4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Forward-Starting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231F20"/>
        </w:rPr>
        <w:t>As of September 30, 2022, the Company entered into six leases that had not yet commenced related to build-to-suit arrangements for car wash locations.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231F20"/>
        </w:rPr>
        <w:t>These leases will commence in the remainder of 2022, or in 2023 or 2024 with initial lease terms of 15 to 20 years.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2021, the Company entered into eight leases that had not yet commenced related to build-to-suit arrangements for car wash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These leases will commence in the remainder of 2022 or in 2023 with initial lease terms of five to 20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Sale-Leaseback Transactions</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231F20"/>
        </w:rPr>
        <w:t>During the three months ended September 30, 2022 and 2021, the Company completed two and one sale-leaseback transactions related to its car wash locations, with aggregate consideration of $60,894 and $5,000, respectively, resulting in a net gain of $860 and net loss of $6, respectively, which are included in (Gain) loss on sale of assets in the accompanying unaudited condensed consolidated statements of operations and comprehensive income (loss). Contemporaneously with the closing of the sales, the Company entered into lease agreements for the properties for initial 15- to 20-year terms. For the sale-leaseback transactions consummated in the three months ended September 30, 2022, the cumulative initial annual rent for the properties was approximately $3,605, subject to annual escalations. These leases are accounted for as operating leases. For the sale-leaseback transactions consummated in the three months ended September 30, 2021, the cumulative initial annual rent for the properties was approximately $310, subject to annual escalations. These leases are accounted for as operating leases.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231F20"/>
        </w:rPr>
        <w:t>During the nine months ended September 30, 2022 and 2021, the Company completed three and five sale-leaseback transactions related to its car wash locations, respectively, with aggregate consideration of $64,694 and $51,267, resulting in a net gain of $4,063 and $6,840, respectively, which are included in (Gain) loss on sale of assets in the accompanying unaudited condensed consolidated statements of operations and comprehensive income (loss). Contemporaneously with the closing of the sales, the Company entered into lease agreements for the properties for initial 15- to 20-year terms. For the sale-leaseback transactions consummated in the nine months ended September 30, 2022, the cumulative initial annual rent for the properties was approximately $3,787, subject to annual escalations. These leases are accounted for as operating leases. For the sale-leaseback transactions consummated in the nine months ended September 30, 2021, the cumulative initial annual rent for the properties was approximately $3,192, subject to annual escalations. These leases are accounted for as operating leases.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Stockholders’ Equity</w:t>
      </w:r>
    </w:p>
    <w:p>
      <w:pPr>
        <w:spacing w:after="0" w:line="10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231F20"/>
        </w:rPr>
        <w:t>As of September 30, 2022, there were 1,000,000,000 shares of common stock authorized, 307,798,561 shares of common stock issued, and 304,624,334 shares of common stock outstanding. As of September 30, 2022, there were 5,000,000 shares of preferred stock authorized and none were issued or outstanding.</w:t>
      </w:r>
    </w:p>
    <w:p>
      <w:pPr>
        <w:spacing w:after="0" w:line="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As of December 31, 2021, there were 1,000,000,000 shares of common stock authorized, 303,294,678 shares of common stock issued, and 300,120,451 shares of common stock outstanding.</w:t>
      </w:r>
    </w:p>
    <w:p>
      <w:pPr>
        <w:spacing w:after="0" w:line="48"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231F20"/>
        </w:rPr>
        <w:t xml:space="preserve">As of September 30, 2022, and December 31, 2021, the Company had 3,174,227 shares of treasury stock. As of September 30, 2022 and December 31, 2021, the cost of treasury stock included in additional paid-in capital in </w:t>
      </w:r>
      <w:r>
        <w:rPr>
          <w:rFonts w:ascii="Arial" w:cs="Arial" w:eastAsia="Arial" w:hAnsi="Arial"/>
          <w:sz w:val="16"/>
          <w:szCs w:val="16"/>
          <w:color w:val="000000"/>
        </w:rPr>
        <w:t>the accompanying unaudited condensed consolidated balance sheets was $6,091.</w:t>
      </w:r>
    </w:p>
    <w:p>
      <w:pPr>
        <w:spacing w:after="0" w:line="25" w:lineRule="exact"/>
        <w:rPr>
          <w:sz w:val="20"/>
          <w:szCs w:val="20"/>
          <w:color w:val="auto"/>
        </w:rPr>
      </w:pPr>
    </w:p>
    <w:p>
      <w:pPr>
        <w:ind w:right="8780" w:firstLine="8"/>
        <w:spacing w:after="0" w:line="383" w:lineRule="auto"/>
        <w:tabs>
          <w:tab w:leader="none" w:pos="360" w:val="left"/>
        </w:tabs>
        <w:numPr>
          <w:ilvl w:val="0"/>
          <w:numId w:val="5"/>
        </w:numPr>
        <w:rPr>
          <w:rFonts w:ascii="Arial" w:cs="Arial" w:eastAsia="Arial" w:hAnsi="Arial"/>
          <w:sz w:val="17"/>
          <w:szCs w:val="17"/>
          <w:b w:val="1"/>
          <w:bCs w:val="1"/>
          <w:color w:val="231F20"/>
        </w:rPr>
      </w:pPr>
      <w:r>
        <w:rPr>
          <w:rFonts w:ascii="Arial" w:cs="Arial" w:eastAsia="Arial" w:hAnsi="Arial"/>
          <w:sz w:val="17"/>
          <w:szCs w:val="17"/>
          <w:b w:val="1"/>
          <w:bCs w:val="1"/>
          <w:color w:val="231F20"/>
        </w:rPr>
        <w:t xml:space="preserve">Stock-Based Compensation </w:t>
      </w:r>
      <w:r>
        <w:rPr>
          <w:rFonts w:ascii="Arial" w:cs="Arial" w:eastAsia="Arial" w:hAnsi="Arial"/>
          <w:sz w:val="17"/>
          <w:szCs w:val="17"/>
          <w:b w:val="1"/>
          <w:bCs w:val="1"/>
          <w:i w:val="1"/>
          <w:iCs w:val="1"/>
          <w:color w:val="231F20"/>
        </w:rPr>
        <w:t>The 2014 Plan</w:t>
      </w:r>
    </w:p>
    <w:p>
      <w:pPr>
        <w:ind w:right="380"/>
        <w:spacing w:after="0" w:line="307" w:lineRule="auto"/>
        <w:rPr>
          <w:sz w:val="20"/>
          <w:szCs w:val="20"/>
          <w:color w:val="auto"/>
        </w:rPr>
      </w:pPr>
      <w:r>
        <w:rPr>
          <w:rFonts w:ascii="Arial" w:cs="Arial" w:eastAsia="Arial" w:hAnsi="Arial"/>
          <w:sz w:val="17"/>
          <w:szCs w:val="17"/>
          <w:color w:val="231F20"/>
        </w:rPr>
        <w:t>Under the 2014 Stock Option Plan of Hotshine Holdings, Inc. (the “2014 Plan”), the Company may grant incentive stock options or nonqualified stock options to purchase common shares of the Company to its employees, directors, officers, outside advisors and non-employee consultants.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8" w:name="page19"/>
    <w:bookmarkEnd w:id="18"/>
    <w:p>
      <w:pPr>
        <w:ind w:right="120"/>
        <w:spacing w:after="0" w:line="276" w:lineRule="auto"/>
        <w:rPr>
          <w:sz w:val="20"/>
          <w:szCs w:val="20"/>
          <w:color w:val="auto"/>
        </w:rPr>
      </w:pPr>
      <w:r>
        <w:rPr>
          <w:rFonts w:ascii="Arial" w:cs="Arial" w:eastAsia="Arial" w:hAnsi="Arial"/>
          <w:sz w:val="16"/>
          <w:szCs w:val="16"/>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w:t>
      </w:r>
    </w:p>
    <w:p>
      <w:pPr>
        <w:spacing w:after="0" w:line="2" w:lineRule="exact"/>
        <w:rPr>
          <w:sz w:val="20"/>
          <w:szCs w:val="20"/>
          <w:color w:val="auto"/>
        </w:rPr>
      </w:pPr>
    </w:p>
    <w:p>
      <w:pPr>
        <w:jc w:val="both"/>
        <w:ind w:firstLine="8"/>
        <w:spacing w:after="0" w:line="269" w:lineRule="auto"/>
        <w:tabs>
          <w:tab w:leader="none" w:pos="215"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Principal Stockholders is defined in the 2014 Plan as (a) Green Equity Investors VI, L.P., (b) Green Equity Investors Side VI, L.P.,</w:t>
      </w:r>
    </w:p>
    <w:p>
      <w:pPr>
        <w:spacing w:after="0" w:line="1" w:lineRule="exact"/>
        <w:rPr>
          <w:rFonts w:ascii="Arial" w:cs="Arial" w:eastAsia="Arial" w:hAnsi="Arial"/>
          <w:sz w:val="16"/>
          <w:szCs w:val="16"/>
          <w:color w:val="231F20"/>
        </w:rPr>
      </w:pPr>
    </w:p>
    <w:p>
      <w:pPr>
        <w:ind w:right="40" w:firstLine="8"/>
        <w:spacing w:after="0" w:line="256" w:lineRule="auto"/>
        <w:tabs>
          <w:tab w:leader="none" w:pos="244"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LGP Associates VI-A, LLC, (d) LGP Associates VI-B LLC, and (e) the affiliates of the foregoing entities. Measurement Date is defined as the date of a change in control or an initial public offering, whichever comes first. The Target Proceeds and Maximum Amount are defined and measured by either multiples of invested capital or an annual compounded pre-tax internal rate of return on investment. 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Plan</w:t>
      </w:r>
    </w:p>
    <w:p>
      <w:pPr>
        <w:spacing w:after="0" w:line="10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In June 2021, the Board adopted the 2021 Incentive Award Plan (the “2021 Plan”), which was subsequently approved by the Company's stockholders and became effective on June 25, 2021. Under the 2021 Plan, the </w:t>
      </w:r>
      <w:r>
        <w:rPr>
          <w:rFonts w:ascii="Arial" w:cs="Arial" w:eastAsia="Arial" w:hAnsi="Arial"/>
          <w:sz w:val="18"/>
          <w:szCs w:val="18"/>
          <w:color w:val="231F20"/>
        </w:rPr>
        <w:t>Company may grant incentive stock options, nonqualified stock options, restricted stock units</w:t>
      </w:r>
      <w:r>
        <w:rPr>
          <w:rFonts w:ascii="Arial" w:cs="Arial" w:eastAsia="Arial" w:hAnsi="Arial"/>
          <w:sz w:val="18"/>
          <w:szCs w:val="18"/>
          <w:color w:val="auto"/>
        </w:rPr>
        <w:t xml:space="preserve"> </w:t>
      </w:r>
      <w:r>
        <w:rPr>
          <w:rFonts w:ascii="Arial" w:cs="Arial" w:eastAsia="Arial" w:hAnsi="Arial"/>
          <w:sz w:val="18"/>
          <w:szCs w:val="18"/>
          <w:color w:val="231F20"/>
        </w:rPr>
        <w:t xml:space="preserve">("RSUs"), restricted stock, and other stock- or cash-based awards to its employees, directors, officers, and non-employee consultants. </w:t>
      </w:r>
      <w:r>
        <w:rPr>
          <w:rFonts w:ascii="Arial" w:cs="Arial" w:eastAsia="Arial" w:hAnsi="Arial"/>
          <w:sz w:val="18"/>
          <w:szCs w:val="18"/>
          <w:color w:val="000000"/>
        </w:rPr>
        <w:t>Initially, the</w:t>
      </w:r>
      <w:r>
        <w:rPr>
          <w:rFonts w:ascii="Arial" w:cs="Arial" w:eastAsia="Arial" w:hAnsi="Arial"/>
          <w:sz w:val="18"/>
          <w:szCs w:val="18"/>
          <w:color w:val="231F20"/>
        </w:rPr>
        <w:t xml:space="preserve"> </w:t>
      </w:r>
      <w:r>
        <w:rPr>
          <w:rFonts w:ascii="Arial" w:cs="Arial" w:eastAsia="Arial" w:hAnsi="Arial"/>
          <w:sz w:val="18"/>
          <w:szCs w:val="18"/>
          <w:color w:val="000000"/>
        </w:rPr>
        <w:t>maximum number of shares of the Company’s common stock that may be issued under the 2021 Plan is 29,800,000 new shares of common stock, which includes 256,431 shares of common stock that remained available for issuance under the 2014 Plan at June 25, 2021. In connection with the IPO, stock option and RSU awards were granted with respect to 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9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231F20"/>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9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RSUs granted under the 2021 Plan </w:t>
      </w:r>
      <w:r>
        <w:rPr>
          <w:rFonts w:ascii="Arial" w:cs="Arial" w:eastAsia="Arial" w:hAnsi="Arial"/>
          <w:sz w:val="18"/>
          <w:szCs w:val="18"/>
          <w:color w:val="231F20"/>
        </w:rPr>
        <w:t>are equity-classified and</w:t>
      </w:r>
      <w:r>
        <w:rPr>
          <w:rFonts w:ascii="Arial" w:cs="Arial" w:eastAsia="Arial" w:hAnsi="Arial"/>
          <w:sz w:val="18"/>
          <w:szCs w:val="18"/>
          <w:color w:val="auto"/>
        </w:rPr>
        <w:t xml:space="preserve"> contain service-based conditions and generally vest ratably over one- to five-year periods. Each RSU represents the right to receive one share of the Company’s common stock upon vesting. The fair value is calculated based upon the Company’s closing stock price on the date of grant, and the stock-based compensation expense is recognized over the requisite service period, which is generally the vesting period.</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ESPP</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In June 2021, the Board adopted the 2021 Employee Stock Purchase Plan (“2021 ESPP”), which was subsequently approved by the Company’s stockholders and became effective in June 2021. The 2021 ESPP authorizes the initial issuance of up to 5,000,000 shares of the Company’s common stock to eligible employees of the Company or, as designated by the Board, employees of a related company. The 2021 ESPP provides for offering periods not to exceed 27 months, and each offering period will include purchase periods. The Company determined that offering periods would commence at approximately the six-month period beginning with an enrollment date and ending with the next exercise date, except that the first offering period commenced on the effective date of the Company's registration statement and ended on November 9, 2021.</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 The number of shares reserved and available for issuance under the 2021 ESPP as of January 1, 2022 is 6,057,993.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Share-Based Payment Valuation</w:t>
      </w:r>
    </w:p>
    <w:p>
      <w:pPr>
        <w:spacing w:after="0" w:line="103" w:lineRule="exact"/>
        <w:rPr>
          <w:sz w:val="20"/>
          <w:szCs w:val="20"/>
          <w:color w:val="auto"/>
        </w:rPr>
      </w:pPr>
    </w:p>
    <w:p>
      <w:pPr>
        <w:ind w:right="660"/>
        <w:spacing w:after="0" w:line="307" w:lineRule="auto"/>
        <w:rPr>
          <w:sz w:val="20"/>
          <w:szCs w:val="20"/>
          <w:color w:val="auto"/>
        </w:rPr>
      </w:pPr>
      <w:r>
        <w:rPr>
          <w:rFonts w:ascii="Arial" w:cs="Arial" w:eastAsia="Arial" w:hAnsi="Arial"/>
          <w:sz w:val="17"/>
          <w:szCs w:val="17"/>
          <w:color w:val="231F20"/>
        </w:rPr>
        <w:t>The grant date fair value of Time Vesting Options granted is determined using the Black-Scholes option-pricing model. The grant date fair value of Performance Vesting Options is determined using a Monte Carlo simulation model and a barrier-adjusted Black-Scholes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9" w:name="page20"/>
    <w:bookmarkEnd w:id="19"/>
    <w:p>
      <w:pPr>
        <w:ind w:right="60"/>
        <w:spacing w:after="0" w:line="277" w:lineRule="auto"/>
        <w:rPr>
          <w:sz w:val="20"/>
          <w:szCs w:val="20"/>
          <w:color w:val="auto"/>
        </w:rPr>
      </w:pPr>
      <w:r>
        <w:rPr>
          <w:rFonts w:ascii="Arial" w:cs="Arial" w:eastAsia="Arial" w:hAnsi="Arial"/>
          <w:sz w:val="18"/>
          <w:szCs w:val="18"/>
          <w:color w:val="231F20"/>
        </w:rPr>
        <w:t xml:space="preserve">option-pricing model. The grant date fair value of </w:t>
      </w:r>
      <w:r>
        <w:rPr>
          <w:rFonts w:ascii="Arial" w:cs="Arial" w:eastAsia="Arial" w:hAnsi="Arial"/>
          <w:sz w:val="18"/>
          <w:szCs w:val="18"/>
          <w:color w:val="000000"/>
        </w:rPr>
        <w:t>stock purchase rights</w:t>
      </w:r>
      <w:r>
        <w:rPr>
          <w:rFonts w:ascii="Arial" w:cs="Arial" w:eastAsia="Arial" w:hAnsi="Arial"/>
          <w:sz w:val="18"/>
          <w:szCs w:val="18"/>
          <w:color w:val="231F20"/>
        </w:rPr>
        <w:t xml:space="preserve"> granted under the 2021 ESPP is determined using the Black-Scholes option-pricing model.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2021 ESPP Valuation</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 xml:space="preserve">The following table presents, on a weighted-average basis, the assumptions used in the Black-Scholes option-pricing model to determine the grant date fair value of </w:t>
      </w:r>
      <w:r>
        <w:rPr>
          <w:rFonts w:ascii="Arial" w:cs="Arial" w:eastAsia="Arial" w:hAnsi="Arial"/>
          <w:sz w:val="18"/>
          <w:szCs w:val="18"/>
          <w:color w:val="000000"/>
        </w:rPr>
        <w:t>stock purchase rights granted under the 2021 ESPP</w:t>
      </w:r>
      <w:r>
        <w:rPr>
          <w:rFonts w:ascii="Arial" w:cs="Arial" w:eastAsia="Arial" w:hAnsi="Arial"/>
          <w:sz w:val="18"/>
          <w:szCs w:val="18"/>
          <w:color w:val="231F20"/>
        </w:rPr>
        <w:t xml:space="preserve"> during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09"/>
        </w:trPr>
        <w:tc>
          <w:tcPr>
            <w:tcW w:w="8120" w:type="dxa"/>
            <w:vAlign w:val="bottom"/>
          </w:tcPr>
          <w:p>
            <w:pPr>
              <w:spacing w:after="0"/>
              <w:rPr>
                <w:sz w:val="18"/>
                <w:szCs w:val="18"/>
                <w:color w:val="auto"/>
              </w:rPr>
            </w:pPr>
          </w:p>
        </w:tc>
        <w:tc>
          <w:tcPr>
            <w:tcW w:w="3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09"/>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w:t>
            </w:r>
          </w:p>
        </w:tc>
        <w:tc>
          <w:tcPr>
            <w:tcW w:w="1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- 52.72%</w:t>
            </w:r>
          </w:p>
        </w:tc>
      </w:tr>
      <w:tr>
        <w:trPr>
          <w:trHeight w:val="216"/>
        </w:trPr>
        <w:tc>
          <w:tcPr>
            <w:tcW w:w="81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right"/>
              <w:spacing w:after="0"/>
              <w:rPr>
                <w:sz w:val="20"/>
                <w:szCs w:val="20"/>
                <w:color w:val="auto"/>
              </w:rPr>
            </w:pPr>
            <w:r>
              <w:rPr>
                <w:rFonts w:ascii="Arial" w:cs="Arial" w:eastAsia="Arial" w:hAnsi="Arial"/>
                <w:sz w:val="18"/>
                <w:szCs w:val="18"/>
                <w:color w:val="auto"/>
              </w:rPr>
              <w:t>0.07%</w:t>
            </w:r>
          </w:p>
        </w:tc>
        <w:tc>
          <w:tcPr>
            <w:tcW w:w="1600" w:type="dxa"/>
            <w:vAlign w:val="bottom"/>
          </w:tcPr>
          <w:p>
            <w:pPr>
              <w:ind w:left="20"/>
              <w:spacing w:after="0"/>
              <w:rPr>
                <w:sz w:val="20"/>
                <w:szCs w:val="20"/>
                <w:color w:val="auto"/>
              </w:rPr>
            </w:pPr>
            <w:r>
              <w:rPr>
                <w:rFonts w:ascii="Arial" w:cs="Arial" w:eastAsia="Arial" w:hAnsi="Arial"/>
                <w:sz w:val="18"/>
                <w:szCs w:val="18"/>
                <w:color w:val="auto"/>
              </w:rPr>
              <w:t>- 1.54%</w:t>
            </w:r>
          </w:p>
        </w:tc>
      </w:tr>
      <w:tr>
        <w:trPr>
          <w:trHeight w:val="216"/>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- 0.50</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120" w:type="dxa"/>
            <w:vAlign w:val="bottom"/>
            <w:gridSpan w:val="2"/>
          </w:tcPr>
          <w:p>
            <w:pPr>
              <w:jc w:val="center"/>
              <w:spacing w:after="0"/>
              <w:rPr>
                <w:sz w:val="20"/>
                <w:szCs w:val="20"/>
                <w:color w:val="auto"/>
              </w:rPr>
            </w:pPr>
            <w:r>
              <w:rPr>
                <w:rFonts w:ascii="Arial" w:cs="Arial" w:eastAsia="Arial" w:hAnsi="Arial"/>
                <w:sz w:val="18"/>
                <w:szCs w:val="18"/>
                <w:color w:val="auto"/>
                <w:w w:val="92"/>
              </w:rPr>
              <w:t>None</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Time Vesting Options</w:t>
      </w:r>
    </w:p>
    <w:p>
      <w:pPr>
        <w:spacing w:after="0" w:line="10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231F20"/>
        </w:rPr>
        <w:t>The following table presents, on a weighted-average basis, the assumptions used in the Black-Scholes option-pricing model to determine the grant date fair value of Time Vesting Options granted under the 2014 Plan and 2021 Plan during the periods presented: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Nine Months Ended September 30,</w:t>
            </w:r>
          </w:p>
        </w:tc>
      </w:tr>
      <w:tr>
        <w:trPr>
          <w:trHeight w:val="209"/>
        </w:trPr>
        <w:tc>
          <w:tcPr>
            <w:tcW w:w="6220" w:type="dxa"/>
            <w:vAlign w:val="bottom"/>
          </w:tcPr>
          <w:p>
            <w:pPr>
              <w:spacing w:after="0"/>
              <w:rPr>
                <w:sz w:val="18"/>
                <w:szCs w:val="18"/>
                <w:color w:val="auto"/>
              </w:rPr>
            </w:pPr>
          </w:p>
        </w:tc>
        <w:tc>
          <w:tcPr>
            <w:tcW w:w="240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2022</w:t>
            </w:r>
          </w:p>
        </w:tc>
        <w:tc>
          <w:tcPr>
            <w:tcW w:w="2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2021</w:t>
            </w:r>
          </w:p>
        </w:tc>
      </w:tr>
      <w:tr>
        <w:trPr>
          <w:trHeight w:val="209"/>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1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- 35.87%</w:t>
            </w:r>
          </w:p>
        </w:tc>
        <w:tc>
          <w:tcPr>
            <w:tcW w:w="240" w:type="dxa"/>
            <w:vAlign w:val="bottom"/>
            <w:shd w:val="clear" w:color="auto" w:fill="CFF0FC"/>
          </w:tcPr>
          <w:p>
            <w:pPr>
              <w:spacing w:after="0"/>
              <w:rPr>
                <w:sz w:val="18"/>
                <w:szCs w:val="18"/>
                <w:color w:val="auto"/>
              </w:rPr>
            </w:pPr>
          </w:p>
        </w:tc>
        <w:tc>
          <w:tcPr>
            <w:tcW w:w="2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40.83% - 44.75%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1260" w:type="dxa"/>
            <w:vAlign w:val="bottom"/>
          </w:tcPr>
          <w:p>
            <w:pPr>
              <w:ind w:left="20"/>
              <w:spacing w:after="0"/>
              <w:rPr>
                <w:sz w:val="20"/>
                <w:szCs w:val="20"/>
                <w:color w:val="auto"/>
              </w:rPr>
            </w:pPr>
            <w:r>
              <w:rPr>
                <w:rFonts w:ascii="Arial" w:cs="Arial" w:eastAsia="Arial" w:hAnsi="Arial"/>
                <w:sz w:val="18"/>
                <w:szCs w:val="18"/>
                <w:color w:val="auto"/>
              </w:rPr>
              <w:t>- 3.34%</w:t>
            </w:r>
          </w:p>
        </w:tc>
        <w:tc>
          <w:tcPr>
            <w:tcW w:w="26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0.9% - 1.19%</w:t>
            </w:r>
          </w:p>
        </w:tc>
      </w:tr>
      <w:tr>
        <w:trPr>
          <w:trHeight w:val="216"/>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400" w:type="dxa"/>
            <w:vAlign w:val="bottom"/>
            <w:gridSpan w:val="2"/>
            <w:shd w:val="clear" w:color="auto" w:fill="CFF0FC"/>
          </w:tcPr>
          <w:p>
            <w:pPr>
              <w:jc w:val="right"/>
              <w:ind w:right="1010"/>
              <w:spacing w:after="0"/>
              <w:rPr>
                <w:sz w:val="20"/>
                <w:szCs w:val="20"/>
                <w:color w:val="auto"/>
              </w:rPr>
            </w:pPr>
            <w:r>
              <w:rPr>
                <w:rFonts w:ascii="Arial" w:cs="Arial" w:eastAsia="Arial" w:hAnsi="Arial"/>
                <w:sz w:val="18"/>
                <w:szCs w:val="18"/>
                <w:color w:val="auto"/>
              </w:rPr>
              <w:t>6.0</w:t>
            </w:r>
          </w:p>
        </w:tc>
        <w:tc>
          <w:tcPr>
            <w:tcW w:w="26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1"/>
              </w:rPr>
              <w:t>6.43 - 6.5</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400" w:type="dxa"/>
            <w:vAlign w:val="bottom"/>
            <w:gridSpan w:val="2"/>
          </w:tcPr>
          <w:p>
            <w:pPr>
              <w:ind w:left="100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p>
        </w:tc>
        <w:tc>
          <w:tcPr>
            <w:tcW w:w="2380" w:type="dxa"/>
            <w:vAlign w:val="bottom"/>
          </w:tcPr>
          <w:p>
            <w:pPr>
              <w:ind w:left="1000"/>
              <w:spacing w:after="0"/>
              <w:rPr>
                <w:sz w:val="20"/>
                <w:szCs w:val="20"/>
                <w:color w:val="auto"/>
              </w:rPr>
            </w:pPr>
            <w:r>
              <w:rPr>
                <w:rFonts w:ascii="Arial" w:cs="Arial" w:eastAsia="Arial" w:hAnsi="Arial"/>
                <w:sz w:val="18"/>
                <w:szCs w:val="18"/>
                <w:color w:val="auto"/>
              </w:rPr>
              <w:t>None</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Performance Vesting Options</w:t>
      </w:r>
    </w:p>
    <w:p>
      <w:pPr>
        <w:spacing w:after="0" w:line="10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231F20"/>
        </w:rPr>
        <w:t>The following table presents, on a weighted-average basis, the assumptions used in the Black-Scholes option-pricing model to determine the grant date fair value of Performance Vesting Options granted under the 2014 Plan during the periods presented: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Borders>
              <w:bottom w:val="single" w:sz="8" w:color="auto"/>
            </w:tcBorders>
            <w:gridSpan w:val="9"/>
          </w:tcPr>
          <w:p>
            <w:pPr>
              <w:ind w:left="11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200" w:type="dxa"/>
            <w:vAlign w:val="bottom"/>
            <w:vMerge w:val="restart"/>
          </w:tcPr>
          <w:p>
            <w:pPr>
              <w:ind w:left="20"/>
              <w:spacing w:after="0"/>
              <w:rPr>
                <w:sz w:val="20"/>
                <w:szCs w:val="20"/>
                <w:color w:val="auto"/>
              </w:rPr>
            </w:pPr>
            <w:r>
              <w:rPr>
                <w:rFonts w:ascii="Arial" w:cs="Arial" w:eastAsia="Arial" w:hAnsi="Arial"/>
                <w:sz w:val="18"/>
                <w:szCs w:val="18"/>
                <w:color w:val="auto"/>
              </w:rPr>
              <w:t>Expected volatility</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b w:val="1"/>
                <w:bCs w:val="1"/>
                <w:color w:val="auto"/>
                <w:w w:val="89"/>
              </w:rPr>
              <w:t>2022</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6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left="97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690"/>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center"/>
              <w:ind w:left="12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ind w:right="670"/>
              <w:spacing w:after="0"/>
              <w:rPr>
                <w:sz w:val="20"/>
                <w:szCs w:val="20"/>
                <w:color w:val="auto"/>
              </w:rPr>
            </w:pPr>
            <w:r>
              <w:rPr>
                <w:rFonts w:ascii="Arial" w:cs="Arial" w:eastAsia="Arial" w:hAnsi="Arial"/>
                <w:sz w:val="18"/>
                <w:szCs w:val="18"/>
                <w:color w:val="auto"/>
                <w:w w:val="90"/>
              </w:rPr>
              <w:t>0.63%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left="12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670"/>
              <w:spacing w:after="0"/>
              <w:rPr>
                <w:sz w:val="20"/>
                <w:szCs w:val="20"/>
                <w:color w:val="auto"/>
              </w:rPr>
            </w:pPr>
            <w:r>
              <w:rPr>
                <w:rFonts w:ascii="Arial" w:cs="Arial" w:eastAsia="Arial" w:hAnsi="Arial"/>
                <w:sz w:val="18"/>
                <w:szCs w:val="18"/>
                <w:color w:val="auto"/>
                <w:w w:val="87"/>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center"/>
              <w:ind w:left="12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26"/>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780" w:type="dxa"/>
            <w:vAlign w:val="bottom"/>
            <w:gridSpan w:val="6"/>
          </w:tcPr>
          <w:p>
            <w:pPr>
              <w:spacing w:after="0"/>
              <w:rPr>
                <w:sz w:val="20"/>
                <w:szCs w:val="20"/>
                <w:color w:val="auto"/>
              </w:rPr>
            </w:pPr>
            <w:r>
              <w:rPr>
                <w:rFonts w:ascii="Arial" w:cs="Arial" w:eastAsia="Arial" w:hAnsi="Arial"/>
                <w:sz w:val="18"/>
                <w:szCs w:val="18"/>
                <w:color w:val="231F20"/>
              </w:rPr>
              <w:t>A summary of the Company’s stock option activity during the period presented is as follows: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200" w:type="dxa"/>
            <w:vAlign w:val="bottom"/>
          </w:tcPr>
          <w:p>
            <w:pPr>
              <w:spacing w:after="0"/>
              <w:rPr>
                <w:sz w:val="24"/>
                <w:szCs w:val="24"/>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Time Vesting</w:t>
            </w:r>
          </w:p>
        </w:tc>
        <w:tc>
          <w:tcPr>
            <w:tcW w:w="240" w:type="dxa"/>
            <w:vAlign w:val="bottom"/>
          </w:tcPr>
          <w:p>
            <w:pPr>
              <w:spacing w:after="0"/>
              <w:rPr>
                <w:sz w:val="24"/>
                <w:szCs w:val="2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0"/>
              </w:rPr>
              <w:t>Performance</w:t>
            </w:r>
          </w:p>
        </w:tc>
        <w:tc>
          <w:tcPr>
            <w:tcW w:w="17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7"/>
              </w:rPr>
              <w:t>Total Number of</w:t>
            </w: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Options</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8"/>
              </w:rPr>
              <w:t>Vesting Options</w:t>
            </w:r>
          </w:p>
        </w:tc>
        <w:tc>
          <w:tcPr>
            <w:tcW w:w="178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18,513,356</w:t>
            </w:r>
          </w:p>
        </w:tc>
        <w:tc>
          <w:tcPr>
            <w:tcW w:w="240" w:type="dxa"/>
            <w:vAlign w:val="bottom"/>
            <w:shd w:val="clear" w:color="auto" w:fill="CFF0FC"/>
          </w:tcPr>
          <w:p>
            <w:pPr>
              <w:spacing w:after="0"/>
              <w:rPr>
                <w:sz w:val="18"/>
                <w:szCs w:val="18"/>
                <w:color w:val="auto"/>
              </w:rPr>
            </w:pPr>
          </w:p>
        </w:tc>
        <w:tc>
          <w:tcPr>
            <w:tcW w:w="1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12,239,595</w:t>
            </w:r>
          </w:p>
        </w:tc>
        <w:tc>
          <w:tcPr>
            <w:tcW w:w="240" w:type="dxa"/>
            <w:vAlign w:val="bottom"/>
            <w:shd w:val="clear" w:color="auto" w:fill="CFF0FC"/>
          </w:tcPr>
          <w:p>
            <w:pPr>
              <w:spacing w:after="0"/>
              <w:rPr>
                <w:sz w:val="18"/>
                <w:szCs w:val="18"/>
                <w:color w:val="auto"/>
              </w:rPr>
            </w:pPr>
          </w:p>
        </w:tc>
        <w:tc>
          <w:tcPr>
            <w:tcW w:w="15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30,752,951</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412,703</w:t>
            </w:r>
          </w:p>
        </w:tc>
        <w:tc>
          <w:tcPr>
            <w:tcW w:w="2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412,703</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(2,131,052 )</w:t>
            </w:r>
          </w:p>
        </w:tc>
        <w:tc>
          <w:tcPr>
            <w:tcW w:w="18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(1,506,933 )</w:t>
            </w:r>
          </w:p>
        </w:tc>
        <w:tc>
          <w:tcPr>
            <w:tcW w:w="178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(3,637,985 )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(277,091 )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8"/>
                <w:szCs w:val="18"/>
                <w:color w:val="auto"/>
              </w:rPr>
              <w:t>(277,091 )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2022</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16,517,916</w:t>
            </w:r>
          </w:p>
        </w:tc>
        <w:tc>
          <w:tcPr>
            <w:tcW w:w="2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10,732,662</w:t>
            </w:r>
          </w:p>
        </w:tc>
        <w:tc>
          <w:tcPr>
            <w:tcW w:w="24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27,250,578</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200" w:type="dxa"/>
            <w:vAlign w:val="bottom"/>
          </w:tcPr>
          <w:p>
            <w:pPr>
              <w:ind w:left="20"/>
              <w:spacing w:after="0" w:line="155" w:lineRule="exact"/>
              <w:rPr>
                <w:sz w:val="20"/>
                <w:szCs w:val="20"/>
                <w:color w:val="auto"/>
              </w:rPr>
            </w:pPr>
            <w:r>
              <w:rPr>
                <w:rFonts w:ascii="Arial" w:cs="Arial" w:eastAsia="Arial" w:hAnsi="Arial"/>
                <w:sz w:val="17"/>
                <w:szCs w:val="17"/>
                <w:color w:val="auto"/>
                <w:w w:val="99"/>
              </w:rPr>
              <w:t>Options vested or expected to vest as of September 30,</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16,028,201</w:t>
            </w:r>
          </w:p>
        </w:tc>
        <w:tc>
          <w:tcPr>
            <w:tcW w:w="240" w:type="dxa"/>
            <w:vAlign w:val="bottom"/>
          </w:tcPr>
          <w:p>
            <w:pPr>
              <w:spacing w:after="0"/>
              <w:rPr>
                <w:sz w:val="13"/>
                <w:szCs w:val="13"/>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10,732,662</w:t>
            </w:r>
          </w:p>
        </w:tc>
        <w:tc>
          <w:tcPr>
            <w:tcW w:w="240" w:type="dxa"/>
            <w:vAlign w:val="bottom"/>
          </w:tcPr>
          <w:p>
            <w:pPr>
              <w:spacing w:after="0"/>
              <w:rPr>
                <w:sz w:val="13"/>
                <w:szCs w:val="13"/>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8"/>
                <w:szCs w:val="18"/>
                <w:color w:val="auto"/>
              </w:rPr>
              <w:t>26,760,863</w:t>
            </w:r>
          </w:p>
        </w:tc>
        <w:tc>
          <w:tcPr>
            <w:tcW w:w="2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20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2022</w:t>
            </w:r>
          </w:p>
        </w:tc>
        <w:tc>
          <w:tcPr>
            <w:tcW w:w="1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200" w:type="dxa"/>
            <w:vAlign w:val="bottom"/>
            <w:vMerge w:val="continue"/>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exercisable as of September 30, 2022</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12,624,906</w:t>
            </w:r>
          </w:p>
        </w:tc>
        <w:tc>
          <w:tcPr>
            <w:tcW w:w="2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10,732,662</w:t>
            </w:r>
          </w:p>
        </w:tc>
        <w:tc>
          <w:tcPr>
            <w:tcW w:w="24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23,357,568</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-778510</wp:posOffset>
            </wp:positionV>
            <wp:extent cx="2320290" cy="2825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20290" cy="28257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-358775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-341630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-358775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-341630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-358775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-341630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231F20"/>
        </w:rPr>
        <w:t>The number and weighted-average grant date fair value of stock options during the period presented are as follows:</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Weighted-Average</w:t>
            </w:r>
          </w:p>
        </w:tc>
        <w:tc>
          <w:tcPr>
            <w:tcW w:w="100" w:type="dxa"/>
            <w:vAlign w:val="bottom"/>
          </w:tcPr>
          <w:p>
            <w:pPr>
              <w:spacing w:after="0"/>
              <w:rPr>
                <w:sz w:val="17"/>
                <w:szCs w:val="17"/>
                <w:color w:val="auto"/>
              </w:rPr>
            </w:pPr>
          </w:p>
        </w:tc>
      </w:tr>
      <w:tr>
        <w:trPr>
          <w:trHeight w:val="234"/>
        </w:trPr>
        <w:tc>
          <w:tcPr>
            <w:tcW w:w="3900" w:type="dxa"/>
            <w:vAlign w:val="bottom"/>
          </w:tcPr>
          <w:p>
            <w:pPr>
              <w:spacing w:after="0"/>
              <w:rPr>
                <w:sz w:val="20"/>
                <w:szCs w:val="20"/>
                <w:color w:val="auto"/>
              </w:rPr>
            </w:pPr>
          </w:p>
        </w:tc>
        <w:tc>
          <w:tcPr>
            <w:tcW w:w="31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Number of Stock Options</w:t>
            </w: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Grant Date Fair Value</w:t>
            </w:r>
          </w:p>
        </w:tc>
        <w:tc>
          <w:tcPr>
            <w:tcW w:w="100" w:type="dxa"/>
            <w:vAlign w:val="bottom"/>
          </w:tcPr>
          <w:p>
            <w:pPr>
              <w:spacing w:after="0"/>
              <w:rPr>
                <w:sz w:val="20"/>
                <w:szCs w:val="20"/>
                <w:color w:val="auto"/>
              </w:rPr>
            </w:pPr>
          </w:p>
        </w:tc>
      </w:tr>
      <w:tr>
        <w:trPr>
          <w:trHeight w:val="164"/>
        </w:trPr>
        <w:tc>
          <w:tcPr>
            <w:tcW w:w="3900" w:type="dxa"/>
            <w:vAlign w:val="bottom"/>
          </w:tcPr>
          <w:p>
            <w:pPr>
              <w:spacing w:after="0"/>
              <w:rPr>
                <w:sz w:val="14"/>
                <w:szCs w:val="14"/>
                <w:color w:val="auto"/>
              </w:rPr>
            </w:pPr>
          </w:p>
        </w:tc>
        <w:tc>
          <w:tcPr>
            <w:tcW w:w="1680" w:type="dxa"/>
            <w:vAlign w:val="bottom"/>
            <w:gridSpan w:val="2"/>
          </w:tcPr>
          <w:p>
            <w:pPr>
              <w:jc w:val="right"/>
              <w:ind w:right="500"/>
              <w:spacing w:after="0" w:line="164" w:lineRule="exact"/>
              <w:rPr>
                <w:sz w:val="20"/>
                <w:szCs w:val="20"/>
                <w:color w:val="auto"/>
              </w:rPr>
            </w:pPr>
            <w:r>
              <w:rPr>
                <w:rFonts w:ascii="Arial" w:cs="Arial" w:eastAsia="Arial" w:hAnsi="Arial"/>
                <w:sz w:val="18"/>
                <w:szCs w:val="18"/>
                <w:b w:val="1"/>
                <w:bCs w:val="1"/>
                <w:color w:val="auto"/>
              </w:rPr>
              <w:t>Time Vesting</w:t>
            </w:r>
          </w:p>
        </w:tc>
        <w:tc>
          <w:tcPr>
            <w:tcW w:w="144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0"/>
              </w:rPr>
              <w:t>Performance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130"/>
              <w:spacing w:after="0" w:line="164" w:lineRule="exact"/>
              <w:rPr>
                <w:sz w:val="20"/>
                <w:szCs w:val="20"/>
                <w:color w:val="auto"/>
              </w:rPr>
            </w:pPr>
            <w:r>
              <w:rPr>
                <w:rFonts w:ascii="Arial" w:cs="Arial" w:eastAsia="Arial" w:hAnsi="Arial"/>
                <w:sz w:val="18"/>
                <w:szCs w:val="18"/>
                <w:b w:val="1"/>
                <w:bCs w:val="1"/>
                <w:color w:val="auto"/>
                <w:w w:val="91"/>
              </w:rPr>
              <w:t>Time Vesting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right"/>
              <w:ind w:right="170"/>
              <w:spacing w:after="0" w:line="164" w:lineRule="exact"/>
              <w:rPr>
                <w:sz w:val="20"/>
                <w:szCs w:val="20"/>
                <w:color w:val="auto"/>
              </w:rPr>
            </w:pPr>
            <w:r>
              <w:rPr>
                <w:rFonts w:ascii="Arial" w:cs="Arial" w:eastAsia="Arial" w:hAnsi="Arial"/>
                <w:sz w:val="18"/>
                <w:szCs w:val="18"/>
                <w:b w:val="1"/>
                <w:bCs w:val="1"/>
                <w:color w:val="auto"/>
                <w:w w:val="89"/>
              </w:rPr>
              <w:t>Performance Vesting</w:t>
            </w:r>
          </w:p>
        </w:tc>
        <w:tc>
          <w:tcPr>
            <w:tcW w:w="100" w:type="dxa"/>
            <w:vAlign w:val="bottom"/>
          </w:tcPr>
          <w:p>
            <w:pPr>
              <w:spacing w:after="0"/>
              <w:rPr>
                <w:sz w:val="14"/>
                <w:szCs w:val="14"/>
                <w:color w:val="auto"/>
              </w:rPr>
            </w:pPr>
          </w:p>
        </w:tc>
      </w:tr>
      <w:tr>
        <w:trPr>
          <w:trHeight w:val="234"/>
        </w:trPr>
        <w:tc>
          <w:tcPr>
            <w:tcW w:w="3900" w:type="dxa"/>
            <w:vAlign w:val="bottom"/>
          </w:tcPr>
          <w:p>
            <w:pPr>
              <w:spacing w:after="0"/>
              <w:rPr>
                <w:sz w:val="20"/>
                <w:szCs w:val="20"/>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Options</w:t>
            </w:r>
          </w:p>
        </w:tc>
        <w:tc>
          <w:tcPr>
            <w:tcW w:w="144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Vesting Options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jc w:val="right"/>
              <w:ind w:right="6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r>
      <w:tr>
        <w:trPr>
          <w:trHeight w:val="20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Non-vested as of December 31, 2021</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5,266,469</w:t>
            </w:r>
          </w:p>
        </w:tc>
        <w:tc>
          <w:tcPr>
            <w:tcW w:w="28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Non-vested as of September 30, 2022</w:t>
            </w:r>
          </w:p>
        </w:tc>
        <w:tc>
          <w:tcPr>
            <w:tcW w:w="1400" w:type="dxa"/>
            <w:vAlign w:val="bottom"/>
          </w:tcPr>
          <w:p>
            <w:pPr>
              <w:jc w:val="right"/>
              <w:spacing w:after="0"/>
              <w:rPr>
                <w:sz w:val="20"/>
                <w:szCs w:val="20"/>
                <w:color w:val="auto"/>
              </w:rPr>
            </w:pPr>
            <w:r>
              <w:rPr>
                <w:rFonts w:ascii="Arial" w:cs="Arial" w:eastAsia="Arial" w:hAnsi="Arial"/>
                <w:sz w:val="18"/>
                <w:szCs w:val="18"/>
                <w:color w:val="auto"/>
              </w:rPr>
              <w:t>3,893,010</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Granted during the period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412,703</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Vested during the period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(1,509,071 )</w:t>
            </w:r>
          </w:p>
        </w:tc>
        <w:tc>
          <w:tcPr>
            <w:tcW w:w="1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Forfeited/canceled during the period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(277,091 )</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The Company granted 412,703 Time Vesting Options with a grant date fair value of $2,018 during the nine months ended September 30, 2022. There were no Performance Vesting Options granted during the nine months ended September 30, 2022.</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fair value of shares attributable to stock options that vested during the nine months ended September 30, 2022 was </w:t>
      </w:r>
      <w:r>
        <w:rPr>
          <w:rFonts w:ascii="Arial" w:cs="Arial" w:eastAsia="Arial" w:hAnsi="Arial"/>
          <w:sz w:val="18"/>
          <w:szCs w:val="18"/>
          <w:color w:val="000000"/>
        </w:rPr>
        <w:t>$19,254</w:t>
      </w:r>
      <w:r>
        <w:rPr>
          <w:rFonts w:ascii="Arial" w:cs="Arial" w:eastAsia="Arial" w:hAnsi="Arial"/>
          <w:sz w:val="18"/>
          <w:szCs w:val="18"/>
          <w:color w:val="231F20"/>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231F20"/>
        </w:rPr>
        <w:t>As of September 30, 2022, the weighted-average remaining contractual life of outstanding stock options was approximately 4.12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summarizes the Company’s RSU activity since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Weighted-Average Grant</w:t>
            </w:r>
          </w:p>
        </w:tc>
        <w:tc>
          <w:tcPr>
            <w:tcW w:w="100" w:type="dxa"/>
            <w:vAlign w:val="bottom"/>
          </w:tcPr>
          <w:p>
            <w:pPr>
              <w:spacing w:after="0"/>
              <w:rPr>
                <w:sz w:val="17"/>
                <w:szCs w:val="17"/>
                <w:color w:val="auto"/>
              </w:rPr>
            </w:pPr>
          </w:p>
        </w:tc>
      </w:tr>
      <w:tr>
        <w:trPr>
          <w:trHeight w:val="234"/>
        </w:trPr>
        <w:tc>
          <w:tcPr>
            <w:tcW w:w="6160" w:type="dxa"/>
            <w:vAlign w:val="bottom"/>
          </w:tcPr>
          <w:p>
            <w:pPr>
              <w:spacing w:after="0"/>
              <w:rPr>
                <w:sz w:val="20"/>
                <w:szCs w:val="20"/>
                <w:color w:val="auto"/>
              </w:rPr>
            </w:pPr>
          </w:p>
        </w:tc>
        <w:tc>
          <w:tcPr>
            <w:tcW w:w="26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Restricted Stock Units</w:t>
            </w:r>
          </w:p>
        </w:tc>
        <w:tc>
          <w:tcPr>
            <w:tcW w:w="140" w:type="dxa"/>
            <w:vAlign w:val="bottom"/>
          </w:tcPr>
          <w:p>
            <w:pPr>
              <w:spacing w:after="0"/>
              <w:rPr>
                <w:sz w:val="20"/>
                <w:szCs w:val="20"/>
                <w:color w:val="auto"/>
              </w:rPr>
            </w:pPr>
          </w:p>
        </w:tc>
        <w:tc>
          <w:tcPr>
            <w:tcW w:w="2200" w:type="dxa"/>
            <w:vAlign w:val="bottom"/>
          </w:tcPr>
          <w:p>
            <w:pPr>
              <w:jc w:val="right"/>
              <w:ind w:right="470"/>
              <w:spacing w:after="0"/>
              <w:rPr>
                <w:sz w:val="20"/>
                <w:szCs w:val="20"/>
                <w:color w:val="auto"/>
              </w:rPr>
            </w:pPr>
            <w:r>
              <w:rPr>
                <w:rFonts w:ascii="Arial" w:cs="Arial" w:eastAsia="Arial" w:hAnsi="Arial"/>
                <w:sz w:val="18"/>
                <w:szCs w:val="18"/>
                <w:b w:val="1"/>
                <w:bCs w:val="1"/>
                <w:color w:val="auto"/>
              </w:rPr>
              <w:t>Date Fair Value</w:t>
            </w:r>
          </w:p>
        </w:tc>
        <w:tc>
          <w:tcPr>
            <w:tcW w:w="100" w:type="dxa"/>
            <w:vAlign w:val="bottom"/>
          </w:tcPr>
          <w:p>
            <w:pPr>
              <w:spacing w:after="0"/>
              <w:rPr>
                <w:sz w:val="20"/>
                <w:szCs w:val="20"/>
                <w:color w:val="auto"/>
              </w:rPr>
            </w:pPr>
          </w:p>
        </w:tc>
      </w:tr>
      <w:tr>
        <w:trPr>
          <w:trHeight w:val="209"/>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as of December 31, 2021</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1,683,077</w:t>
            </w:r>
          </w:p>
        </w:tc>
        <w:tc>
          <w:tcPr>
            <w:tcW w:w="3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spacing w:after="0"/>
              <w:rPr>
                <w:sz w:val="20"/>
                <w:szCs w:val="20"/>
                <w:color w:val="auto"/>
              </w:rPr>
            </w:pPr>
            <w:r>
              <w:rPr>
                <w:rFonts w:ascii="Arial" w:cs="Arial" w:eastAsia="Arial" w:hAnsi="Arial"/>
                <w:sz w:val="18"/>
                <w:szCs w:val="18"/>
                <w:color w:val="auto"/>
              </w:rPr>
              <w:t>1,126,748</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2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(457,372 )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2640" w:type="dxa"/>
            <w:vAlign w:val="bottom"/>
            <w:gridSpan w:val="2"/>
          </w:tcPr>
          <w:p>
            <w:pPr>
              <w:jc w:val="right"/>
              <w:ind w:right="280"/>
              <w:spacing w:after="0"/>
              <w:rPr>
                <w:sz w:val="20"/>
                <w:szCs w:val="20"/>
                <w:color w:val="auto"/>
              </w:rPr>
            </w:pPr>
            <w:r>
              <w:rPr>
                <w:rFonts w:ascii="Arial" w:cs="Arial" w:eastAsia="Arial" w:hAnsi="Arial"/>
                <w:sz w:val="18"/>
                <w:szCs w:val="18"/>
                <w:color w:val="auto"/>
              </w:rPr>
              <w:t>(190,418 )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r>
      <w:tr>
        <w:trPr>
          <w:trHeight w:val="249"/>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September 30, 2022</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2,162,035</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31F20"/>
        </w:rPr>
        <w:t>The Company granted 1,126,748 RSUs with a grant date fair value of $13,835 during the nine months ended September 30,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fair value of shares attributable to RSUs that vested during the </w:t>
      </w:r>
      <w:r>
        <w:rPr>
          <w:rFonts w:ascii="Arial" w:cs="Arial" w:eastAsia="Arial" w:hAnsi="Arial"/>
          <w:sz w:val="18"/>
          <w:szCs w:val="18"/>
          <w:color w:val="000000"/>
        </w:rPr>
        <w:t>nine months ended September 30, 2022 was $4,976.</w:t>
      </w:r>
    </w:p>
    <w:p>
      <w:pPr>
        <w:spacing w:after="0" w:line="103" w:lineRule="exact"/>
        <w:rPr>
          <w:sz w:val="20"/>
          <w:szCs w:val="20"/>
          <w:color w:val="auto"/>
        </w:rPr>
      </w:pPr>
    </w:p>
    <w:p>
      <w:pPr>
        <w:ind w:right="2040"/>
        <w:spacing w:after="0" w:line="367" w:lineRule="auto"/>
        <w:rPr>
          <w:sz w:val="20"/>
          <w:szCs w:val="20"/>
          <w:color w:val="auto"/>
        </w:rPr>
      </w:pPr>
      <w:r>
        <w:rPr>
          <w:rFonts w:ascii="Arial" w:cs="Arial" w:eastAsia="Arial" w:hAnsi="Arial"/>
          <w:sz w:val="18"/>
          <w:szCs w:val="18"/>
          <w:color w:val="auto"/>
        </w:rPr>
        <w:t xml:space="preserve">As of September 30, 2022, the weighted-average remaining contractual life of outstanding RSUs was approximately 9.22 years. </w:t>
      </w:r>
      <w:r>
        <w:rPr>
          <w:rFonts w:ascii="Arial" w:cs="Arial" w:eastAsia="Arial" w:hAnsi="Arial"/>
          <w:sz w:val="18"/>
          <w:szCs w:val="18"/>
          <w:b w:val="1"/>
          <w:bCs w:val="1"/>
          <w:i w:val="1"/>
          <w:iCs w:val="1"/>
          <w:color w:val="auto"/>
        </w:rPr>
        <w:t>Stock-Based Compensation Expense</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31F20"/>
        </w:rPr>
        <w:t>The Company estimated a forfeiture rate of 6.96% for awards with service-based vesting conditions based on historical experience and future expectations of the vesting of these share-based payments. The Company used this rate as an assumption in calculating stock-based compensation expense for Time Vesting Options, RSUs, and stock purchase rights granted under the 2021 ESPP.</w:t>
      </w:r>
    </w:p>
    <w:p>
      <w:pPr>
        <w:spacing w:after="0" w:line="6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231F20"/>
        </w:rPr>
        <w:t>Total stock-based compensation expense, by caption, recorded in the unaudited condensed consolidated statements of operations and comprehensive income (loss) for the periods presented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9"/>
              </w:rPr>
              <w:t>Three Months Ended September 30,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100" w:type="dxa"/>
            <w:vAlign w:val="bottom"/>
          </w:tcPr>
          <w:p>
            <w:pPr>
              <w:spacing w:after="0"/>
              <w:rPr>
                <w:sz w:val="20"/>
                <w:szCs w:val="20"/>
                <w:color w:val="auto"/>
              </w:rPr>
            </w:pPr>
          </w:p>
        </w:tc>
      </w:tr>
      <w:tr>
        <w:trPr>
          <w:trHeight w:val="209"/>
        </w:trPr>
        <w:tc>
          <w:tcPr>
            <w:tcW w:w="42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34,248</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176,044</w:t>
            </w:r>
          </w:p>
        </w:tc>
        <w:tc>
          <w:tcPr>
            <w:tcW w:w="100" w:type="dxa"/>
            <w:vAlign w:val="bottom"/>
          </w:tcPr>
          <w:p>
            <w:pPr>
              <w:spacing w:after="0"/>
              <w:rPr>
                <w:sz w:val="18"/>
                <w:szCs w:val="18"/>
                <w:color w:val="auto"/>
              </w:rPr>
            </w:pPr>
          </w:p>
        </w:tc>
      </w:tr>
      <w:tr>
        <w:trPr>
          <w:trHeight w:val="249"/>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16,959</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210,292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-24765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-7620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Total stock-based compensation expense, by award type, recorded in the unaudited condensed consolidated statements of operations and comprehensive income (loss) for the periods presented is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4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w w:val="99"/>
              </w:rPr>
              <w:t>Three Months Ended September 30,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09"/>
        </w:trPr>
        <w:tc>
          <w:tcPr>
            <w:tcW w:w="42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0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 Vesting Options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231F20"/>
                <w:w w:val="79"/>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231F20"/>
              </w:rPr>
              <w:t>1,521</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231F20"/>
                <w:w w:val="9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2,184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231F20"/>
                <w:w w:val="99"/>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5,388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231F20"/>
                <w:w w:val="9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3,458</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Performance Vesting Options</w:t>
            </w:r>
          </w:p>
        </w:tc>
        <w:tc>
          <w:tcPr>
            <w:tcW w:w="100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231F20"/>
              </w:rPr>
              <w:t>201,985</w:t>
            </w:r>
          </w:p>
        </w:tc>
      </w:tr>
      <w:tr>
        <w:trPr>
          <w:trHeight w:val="21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231F20"/>
              </w:rPr>
              <w:t>3,587</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3,076</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10,505</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3,358</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2021 ESPP</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31F20"/>
              </w:rPr>
              <w:t>353</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1,491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1,066</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1,491</w:t>
            </w:r>
          </w:p>
        </w:tc>
      </w:tr>
      <w:tr>
        <w:trPr>
          <w:trHeight w:val="249"/>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5,461</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6,751</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16,959</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-24765</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-7620</wp:posOffset>
            </wp:positionV>
            <wp:extent cx="111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-24765</wp:posOffset>
            </wp:positionV>
            <wp:extent cx="1028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-24765</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-7620</wp:posOffset>
            </wp:positionV>
            <wp:extent cx="102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231F20"/>
        </w:rPr>
        <w:t xml:space="preserve">As of September 30, 2022, total </w:t>
      </w:r>
      <w:r>
        <w:rPr>
          <w:rFonts w:ascii="Arial" w:cs="Arial" w:eastAsia="Arial" w:hAnsi="Arial"/>
          <w:sz w:val="18"/>
          <w:szCs w:val="18"/>
          <w:color w:val="000000"/>
        </w:rPr>
        <w:t>unrecognized</w:t>
      </w:r>
      <w:r>
        <w:rPr>
          <w:rFonts w:ascii="Arial" w:cs="Arial" w:eastAsia="Arial" w:hAnsi="Arial"/>
          <w:sz w:val="18"/>
          <w:szCs w:val="18"/>
          <w:color w:val="231F20"/>
        </w:rPr>
        <w:t xml:space="preserve"> compensation expense related to unvested Time Vesting Options was </w:t>
      </w:r>
      <w:r>
        <w:rPr>
          <w:rFonts w:ascii="Arial" w:cs="Arial" w:eastAsia="Arial" w:hAnsi="Arial"/>
          <w:sz w:val="18"/>
          <w:szCs w:val="18"/>
          <w:color w:val="000000"/>
        </w:rPr>
        <w:t>$9,121</w:t>
      </w:r>
      <w:r>
        <w:rPr>
          <w:rFonts w:ascii="Arial" w:cs="Arial" w:eastAsia="Arial" w:hAnsi="Arial"/>
          <w:sz w:val="18"/>
          <w:szCs w:val="18"/>
          <w:color w:val="231F20"/>
        </w:rPr>
        <w:t>, which is expected to be recognized over a weighted-average period of 3.23 years.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231F20"/>
        </w:rPr>
        <w:t xml:space="preserve">As of September 30, 2022, </w:t>
      </w:r>
      <w:r>
        <w:rPr>
          <w:rFonts w:ascii="Arial" w:cs="Arial" w:eastAsia="Arial" w:hAnsi="Arial"/>
          <w:sz w:val="18"/>
          <w:szCs w:val="18"/>
          <w:color w:val="000000"/>
        </w:rPr>
        <w:t>there was no unrecognized compensation expense related to unvested</w:t>
      </w:r>
      <w:r>
        <w:rPr>
          <w:rFonts w:ascii="Arial" w:cs="Arial" w:eastAsia="Arial" w:hAnsi="Arial"/>
          <w:sz w:val="18"/>
          <w:szCs w:val="18"/>
          <w:color w:val="231F20"/>
        </w:rPr>
        <w:t xml:space="preserve"> Performance Vesting Options </w:t>
      </w:r>
      <w:r>
        <w:rPr>
          <w:rFonts w:ascii="Arial" w:cs="Arial" w:eastAsia="Arial" w:hAnsi="Arial"/>
          <w:sz w:val="18"/>
          <w:szCs w:val="18"/>
          <w:color w:val="000000"/>
        </w:rPr>
        <w:t>as the completion of the IPO</w:t>
      </w:r>
      <w:r>
        <w:rPr>
          <w:rFonts w:ascii="Arial" w:cs="Arial" w:eastAsia="Arial" w:hAnsi="Arial"/>
          <w:sz w:val="18"/>
          <w:szCs w:val="18"/>
          <w:color w:val="231F20"/>
        </w:rPr>
        <w:t xml:space="preserve"> </w:t>
      </w:r>
      <w:r>
        <w:rPr>
          <w:rFonts w:ascii="Arial" w:cs="Arial" w:eastAsia="Arial" w:hAnsi="Arial"/>
          <w:sz w:val="18"/>
          <w:szCs w:val="18"/>
          <w:color w:val="000000"/>
        </w:rPr>
        <w:t xml:space="preserve">satisfied the performance condition and as a result, all outstanding </w:t>
      </w:r>
      <w:r>
        <w:rPr>
          <w:rFonts w:ascii="Arial" w:cs="Arial" w:eastAsia="Arial" w:hAnsi="Arial"/>
          <w:sz w:val="18"/>
          <w:szCs w:val="18"/>
          <w:color w:val="231F20"/>
        </w:rPr>
        <w:t>Performance Vesting Options vested.</w:t>
      </w:r>
    </w:p>
    <w:p>
      <w:pPr>
        <w:spacing w:after="0" w:line="4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231F20"/>
        </w:rPr>
        <w:t xml:space="preserve">As of September 30, 2022, total unrecognized compensation expense related to unvested RSUs was </w:t>
      </w:r>
      <w:r>
        <w:rPr>
          <w:rFonts w:ascii="Arial" w:cs="Arial" w:eastAsia="Arial" w:hAnsi="Arial"/>
          <w:sz w:val="18"/>
          <w:szCs w:val="18"/>
          <w:color w:val="000000"/>
        </w:rPr>
        <w:t>$20,017</w:t>
      </w:r>
      <w:r>
        <w:rPr>
          <w:rFonts w:ascii="Arial" w:cs="Arial" w:eastAsia="Arial" w:hAnsi="Arial"/>
          <w:sz w:val="18"/>
          <w:szCs w:val="18"/>
          <w:color w:val="231F20"/>
        </w:rPr>
        <w:t>, which is expected to be recognized over a weighted-average period of 2.73 years.</w:t>
      </w:r>
    </w:p>
    <w:p>
      <w:pPr>
        <w:spacing w:after="0" w:line="7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231F20"/>
        </w:rPr>
        <w:t xml:space="preserve">As of September 30, 2022, total unrecognized compensation expense related to unvested stock purchase rights under the 2021 ESPP was </w:t>
      </w:r>
      <w:r>
        <w:rPr>
          <w:rFonts w:ascii="Arial" w:cs="Arial" w:eastAsia="Arial" w:hAnsi="Arial"/>
          <w:sz w:val="18"/>
          <w:szCs w:val="18"/>
          <w:color w:val="000000"/>
        </w:rPr>
        <w:t>$177</w:t>
      </w:r>
      <w:r>
        <w:rPr>
          <w:rFonts w:ascii="Arial" w:cs="Arial" w:eastAsia="Arial" w:hAnsi="Arial"/>
          <w:sz w:val="18"/>
          <w:szCs w:val="18"/>
          <w:color w:val="231F20"/>
        </w:rPr>
        <w:t>, which is expected to be recognized over a weighted-average period of 0.13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Options</w:t>
      </w:r>
    </w:p>
    <w:p>
      <w:pPr>
        <w:spacing w:after="0" w:line="11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In February 2021, the Company modified a total of 7,874,304 shares of Performance Vesting Options for 12 grantees to provide for an additional service-based vesting condition related to the acceleration of vesting in connection with a grantees’ death. The modification resulted in an incremental increase to unrecognized compensation expense related to unvested Performance Vesting Options of $75,217, which was recognized in June 2021 in connection with the completion of the IPO. The Company did not recognize current incremental stock-based compensation expense in connection with the modification during the three months ended March 31, 2021 because the grants vest upon the earlier of a performance condition or a service condition.</w:t>
      </w:r>
    </w:p>
    <w:p>
      <w:pPr>
        <w:spacing w:after="0" w:line="4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This modification resulted in incremental stock-based compensation expense of $117,708</w:t>
      </w:r>
      <w:r>
        <w:rPr>
          <w:rFonts w:ascii="Arial" w:cs="Arial" w:eastAsia="Arial" w:hAnsi="Arial"/>
          <w:sz w:val="18"/>
          <w:szCs w:val="18"/>
          <w:color w:val="231F20"/>
        </w:rPr>
        <w:t>, which</w:t>
      </w:r>
      <w:r>
        <w:rPr>
          <w:rFonts w:ascii="Arial" w:cs="Arial" w:eastAsia="Arial" w:hAnsi="Arial"/>
          <w:sz w:val="18"/>
          <w:szCs w:val="18"/>
          <w:color w:val="auto"/>
        </w:rPr>
        <w:t xml:space="preserve"> was recognized in the three months ended June 30, 2021 in connection with the completion of the IPO.</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14.  Business Combinations</w:t>
      </w:r>
    </w:p>
    <w:p>
      <w:pPr>
        <w:spacing w:after="0" w:line="1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231F20"/>
        </w:rPr>
        <w:t>From time to time, the Company may pursue acquisitions of conveyorized car washes that either strategically fit with the Company’s business or expand the Company’s presence in new and attractive markets.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231F20"/>
        </w:rPr>
        <w:t>The Company accounts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the Company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63"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231F20"/>
        </w:rPr>
        <w:t xml:space="preserve">The unaudited condensed consolidated financial statements reflect the operations of an acquired business starting from the effective date of the acquisition. The Company expensed </w:t>
      </w:r>
      <w:r>
        <w:rPr>
          <w:rFonts w:ascii="Arial" w:cs="Arial" w:eastAsia="Arial" w:hAnsi="Arial"/>
          <w:sz w:val="18"/>
          <w:szCs w:val="18"/>
          <w:color w:val="000000"/>
        </w:rPr>
        <w:t>$82</w:t>
      </w:r>
      <w:r>
        <w:rPr>
          <w:rFonts w:ascii="Arial" w:cs="Arial" w:eastAsia="Arial" w:hAnsi="Arial"/>
          <w:sz w:val="18"/>
          <w:szCs w:val="18"/>
          <w:color w:val="231F20"/>
        </w:rPr>
        <w:t xml:space="preserve"> and </w:t>
      </w:r>
      <w:r>
        <w:rPr>
          <w:rFonts w:ascii="Arial" w:cs="Arial" w:eastAsia="Arial" w:hAnsi="Arial"/>
          <w:sz w:val="18"/>
          <w:szCs w:val="18"/>
          <w:color w:val="000000"/>
        </w:rPr>
        <w:t>$26</w:t>
      </w:r>
      <w:r>
        <w:rPr>
          <w:rFonts w:ascii="Arial" w:cs="Arial" w:eastAsia="Arial" w:hAnsi="Arial"/>
          <w:sz w:val="18"/>
          <w:szCs w:val="18"/>
          <w:color w:val="231F20"/>
        </w:rPr>
        <w:t xml:space="preserve"> of acquisition-related costs for the three months ended September 30, 2022 and 2021, respectively. The Company expensed $517 and $269 of acquisition-related costs for the nine months ended September 30, 2022 and 2021, respectively. These acquisition-related costs are expensed as incurred and are included in general and administrative expenses in the accompanying unaudited condensed consolidated statements of operations and comprehensive income (loss).</w:t>
      </w:r>
    </w:p>
    <w:p>
      <w:pPr>
        <w:spacing w:after="0" w:line="90" w:lineRule="exact"/>
        <w:rPr>
          <w:sz w:val="20"/>
          <w:szCs w:val="20"/>
          <w:color w:val="auto"/>
        </w:rPr>
      </w:pPr>
    </w:p>
    <w:p>
      <w:pPr>
        <w:jc w:val="both"/>
        <w:ind w:right="180"/>
        <w:spacing w:after="0" w:line="247" w:lineRule="auto"/>
        <w:rPr>
          <w:sz w:val="20"/>
          <w:szCs w:val="20"/>
          <w:color w:val="auto"/>
        </w:rPr>
      </w:pPr>
      <w:r>
        <w:rPr>
          <w:rFonts w:ascii="Arial" w:cs="Arial" w:eastAsia="Arial" w:hAnsi="Arial"/>
          <w:sz w:val="18"/>
          <w:szCs w:val="18"/>
          <w:color w:val="231F20"/>
        </w:rPr>
        <w:t>For the three and nine months ended September 30, 2022, the amount of acquired goodwill not deductible for income tax purposes was $692 and $1,078, respectively. For the three and nine months ended September 30, 2021, the amount of acquired goodwill not deductible for income tax purposes was $114 and $1,196,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2022 Acquisitions</w:t>
      </w:r>
    </w:p>
    <w:p>
      <w:pPr>
        <w:spacing w:after="0" w:line="10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231F20"/>
        </w:rPr>
        <w:t>For the three months ended September 30, 2022, the Company acquired the assets and liabilities of three conveyorized car washes in one acquisition for total consideration of approximately $22,800, which was paid in cash. For the nine months ended September 30, 2022, the Company acquired the assets and liabilities of eight conveyorized car washes in three acquisitions for total consideration of $77,407, which were paid in cash. The acquisitions resulted in the preliminary recognition of $55,113 of goodwill, $21,058 of property and equipment, $1,050 of intangible assets related to covenants not to compete, and $185 in other assets and liabilities. Adjustments related to 2022 acquisitions were not material in the current year.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231F20"/>
        </w:rPr>
        <w:t>The weighted-average amortization period for the acquired covenants not to compete is 5.0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231F20"/>
        </w:rPr>
        <w:t>The acquisitions were located in the following markets: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(Seller)</w:t>
            </w:r>
          </w:p>
        </w:tc>
        <w:tc>
          <w:tcPr>
            <w:tcW w:w="4460" w:type="dxa"/>
            <w:vAlign w:val="bottom"/>
            <w:tcBorders>
              <w:bottom w:val="single" w:sz="8" w:color="auto"/>
            </w:tcBorders>
          </w:tcPr>
          <w:p>
            <w:pPr>
              <w:jc w:val="center"/>
              <w:ind w:left="2670"/>
              <w:spacing w:after="0"/>
              <w:rPr>
                <w:sz w:val="20"/>
                <w:szCs w:val="20"/>
                <w:color w:val="auto"/>
              </w:rPr>
            </w:pPr>
            <w:r>
              <w:rPr>
                <w:rFonts w:ascii="Arial" w:cs="Arial" w:eastAsia="Arial" w:hAnsi="Arial"/>
                <w:sz w:val="18"/>
                <w:szCs w:val="18"/>
                <w:b w:val="1"/>
                <w:bCs w:val="1"/>
                <w:color w:val="auto"/>
                <w:w w:val="89"/>
              </w:rPr>
              <w:t>Number of Washes</w:t>
            </w:r>
          </w:p>
        </w:tc>
        <w:tc>
          <w:tcPr>
            <w:tcW w:w="1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 Acquired</w:t>
            </w:r>
          </w:p>
        </w:tc>
      </w:tr>
      <w:tr>
        <w:trPr>
          <w:trHeight w:val="20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Georgia (Bamboo Carwash)</w:t>
            </w:r>
          </w:p>
        </w:tc>
        <w:tc>
          <w:tcPr>
            <w:tcW w:w="4460" w:type="dxa"/>
            <w:vAlign w:val="bottom"/>
            <w:shd w:val="clear" w:color="auto" w:fill="CFF0FC"/>
          </w:tcPr>
          <w:p>
            <w:pPr>
              <w:jc w:val="center"/>
              <w:ind w:left="2670"/>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April</w:t>
            </w: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California (Speedwash)</w:t>
            </w:r>
          </w:p>
        </w:tc>
        <w:tc>
          <w:tcPr>
            <w:tcW w:w="4460" w:type="dxa"/>
            <w:vAlign w:val="bottom"/>
          </w:tcPr>
          <w:p>
            <w:pPr>
              <w:jc w:val="center"/>
              <w:ind w:left="2670"/>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April</w:t>
            </w: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Minnesota (Top Wash)</w:t>
            </w:r>
          </w:p>
        </w:tc>
        <w:tc>
          <w:tcPr>
            <w:tcW w:w="4460" w:type="dxa"/>
            <w:vAlign w:val="bottom"/>
            <w:shd w:val="clear" w:color="auto" w:fill="CFF0FC"/>
          </w:tcPr>
          <w:p>
            <w:pPr>
              <w:jc w:val="center"/>
              <w:ind w:left="2670"/>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August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2021 Acquisitions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231F20"/>
        </w:rPr>
        <w:t>In 2021, the Company acquired the assets and liabilities of 37 conveyorized car washes in five acquisitions for total consideration of approximately</w:t>
      </w:r>
    </w:p>
    <w:p>
      <w:pPr>
        <w:spacing w:after="0" w:line="3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231F20"/>
        </w:rPr>
        <w:t xml:space="preserve">$524,839, which was paid in cash. These acquisitions resulted in the preliminary recognition of $323,477 of goodwill, $202,708 of property and equipment, $4,300 of intangible assets related to customer relationships, $3,970 of intangible assets related to covenants not to compete, and $9,665 of net liabilities. </w:t>
      </w:r>
      <w:r>
        <w:rPr>
          <w:rFonts w:ascii="Arial" w:cs="Arial" w:eastAsia="Arial" w:hAnsi="Arial"/>
          <w:sz w:val="16"/>
          <w:szCs w:val="16"/>
          <w:color w:val="000000"/>
        </w:rPr>
        <w:t>In</w:t>
      </w:r>
      <w:r>
        <w:rPr>
          <w:rFonts w:ascii="Arial" w:cs="Arial" w:eastAsia="Arial" w:hAnsi="Arial"/>
          <w:sz w:val="16"/>
          <w:szCs w:val="16"/>
          <w:color w:val="231F20"/>
        </w:rPr>
        <w:t xml:space="preserve"> </w:t>
      </w:r>
      <w:r>
        <w:rPr>
          <w:rFonts w:ascii="Arial" w:cs="Arial" w:eastAsia="Arial" w:hAnsi="Arial"/>
          <w:sz w:val="16"/>
          <w:szCs w:val="16"/>
          <w:color w:val="000000"/>
        </w:rPr>
        <w:t xml:space="preserve">connection with the Downtowner Car Wash acquisition, the Company recognized a contingent consideration liability of $5,750. See Note 9 Fair Value Measurements for additional information regarding the contingent consideration liability. During the nine months ended September 30, 2022, as a result of receiving $11,845 in escrow funds associated with an acquired location that did not receive zoning permits as required under the purchase agreement, the Company recorded an adjustment during the measurement period to its Clean Streak Ventures LLC purchase price allocation which reduced goodwill by $10,670 and land by $1,175. </w:t>
      </w:r>
      <w:r>
        <w:rPr>
          <w:rFonts w:ascii="Arial" w:cs="Arial" w:eastAsia="Arial" w:hAnsi="Arial"/>
          <w:sz w:val="16"/>
          <w:szCs w:val="16"/>
          <w:color w:val="231F20"/>
        </w:rPr>
        <w:t>Additional adjustments related to 2021 acquisitions were not material in the current year.</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231F20"/>
        </w:rPr>
        <w:t>The weighted-average amortization periods for the acquired customer relationships and covenants not to compete are 7.0 years and 5.0 years,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231F20"/>
        </w:rPr>
        <w:t>The acquisitions were located in the following markets: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(Seller)</w:t>
            </w:r>
          </w:p>
        </w:tc>
        <w:tc>
          <w:tcPr>
            <w:tcW w:w="414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w w:val="95"/>
              </w:rPr>
              <w:t>Number of Washes</w:t>
            </w:r>
          </w:p>
        </w:tc>
        <w:tc>
          <w:tcPr>
            <w:tcW w:w="1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 Acquired</w:t>
            </w:r>
          </w:p>
        </w:tc>
      </w:tr>
      <w:tr>
        <w:trPr>
          <w:trHeight w:val="209"/>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Florida (Superwash Express)</w:t>
            </w:r>
          </w:p>
        </w:tc>
        <w:tc>
          <w:tcPr>
            <w:tcW w:w="4140" w:type="dxa"/>
            <w:vAlign w:val="bottom"/>
            <w:shd w:val="clear" w:color="auto" w:fill="CFF0FC"/>
          </w:tcPr>
          <w:p>
            <w:pPr>
              <w:jc w:val="center"/>
              <w:ind w:left="2350"/>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1"/>
              </w:rPr>
              <w:t>June</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Texas (Super Suds Car Wash)</w:t>
            </w:r>
          </w:p>
        </w:tc>
        <w:tc>
          <w:tcPr>
            <w:tcW w:w="4140" w:type="dxa"/>
            <w:vAlign w:val="bottom"/>
          </w:tcPr>
          <w:p>
            <w:pPr>
              <w:jc w:val="center"/>
              <w:ind w:left="2350"/>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July</w:t>
            </w: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Texas (Daddy O's Car Wash)</w:t>
            </w:r>
          </w:p>
        </w:tc>
        <w:tc>
          <w:tcPr>
            <w:tcW w:w="4140" w:type="dxa"/>
            <w:vAlign w:val="bottom"/>
            <w:shd w:val="clear" w:color="auto" w:fill="CFF0FC"/>
          </w:tcPr>
          <w:p>
            <w:pPr>
              <w:jc w:val="center"/>
              <w:ind w:left="2350"/>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November</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Florida (Downtowner Car Wash)</w:t>
            </w:r>
          </w:p>
        </w:tc>
        <w:tc>
          <w:tcPr>
            <w:tcW w:w="4140" w:type="dxa"/>
            <w:vAlign w:val="bottom"/>
          </w:tcPr>
          <w:p>
            <w:pPr>
              <w:jc w:val="center"/>
              <w:ind w:left="2350"/>
              <w:spacing w:after="0"/>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w:t>
            </w: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Florida (Clean Streak Ventures LLC)</w:t>
            </w:r>
          </w:p>
        </w:tc>
        <w:tc>
          <w:tcPr>
            <w:tcW w:w="4140" w:type="dxa"/>
            <w:vAlign w:val="bottom"/>
            <w:shd w:val="clear" w:color="auto" w:fill="CFF0FC"/>
          </w:tcPr>
          <w:p>
            <w:pPr>
              <w:jc w:val="center"/>
              <w:ind w:left="2350"/>
              <w:spacing w:after="0"/>
              <w:rPr>
                <w:sz w:val="20"/>
                <w:szCs w:val="20"/>
                <w:color w:val="auto"/>
              </w:rPr>
            </w:pPr>
            <w:r>
              <w:rPr>
                <w:rFonts w:ascii="Arial" w:cs="Arial" w:eastAsia="Arial" w:hAnsi="Arial"/>
                <w:sz w:val="18"/>
                <w:szCs w:val="18"/>
                <w:color w:val="auto"/>
                <w:w w:val="89"/>
              </w:rPr>
              <w:t>23</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15.  Related-Party Transactions</w:t>
      </w:r>
    </w:p>
    <w:p>
      <w:pPr>
        <w:spacing w:after="0" w:line="10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231F20"/>
        </w:rPr>
        <w:t>For various advisory and monitoring services provided to the Company, Leonard Green &amp; Partners ("LGP"), the majority owner of the Company, historically received $1,000 annually for various advisory and monitoring services provided to the Company pursuant to a management services agreement. For the three and nine months ended September 30, 2022, the Company did not pay fees and expenses to LGP. For the three and nine months ended September 30, 2021, total fees and expenses paid by the Company to LGP were $0 and $500, respectively. Fees and expenses paid to LGP are included in general and administrative expenses in the accompanying unaudited condensed consolidated statements of operations and comprehensive income (loss). The management services agreement terminated in June 2021 upon the consummation of the IPO.</w:t>
      </w:r>
    </w:p>
    <w:p>
      <w:pPr>
        <w:spacing w:after="0" w:line="6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231F20"/>
        </w:rPr>
        <w:t>LGP was one of the Company’s creditors under the Amended Second Lien Credit Agreement with an investment in 2020 of $5,625 in the Second Lien Term Loan. The Company made a voluntary prepayment of all outstanding balances under the Second Lien Term Loan in June 2021. See Note 8 Debt for additional information.</w:t>
      </w:r>
    </w:p>
    <w:p>
      <w:pPr>
        <w:spacing w:after="0" w:line="64" w:lineRule="exact"/>
        <w:rPr>
          <w:sz w:val="20"/>
          <w:szCs w:val="20"/>
          <w:color w:val="auto"/>
        </w:rPr>
      </w:pPr>
    </w:p>
    <w:p>
      <w:pPr>
        <w:ind w:right="8320" w:firstLine="8"/>
        <w:spacing w:after="0" w:line="369" w:lineRule="auto"/>
        <w:tabs>
          <w:tab w:leader="none" w:pos="360" w:val="left"/>
        </w:tabs>
        <w:numPr>
          <w:ilvl w:val="0"/>
          <w:numId w:val="8"/>
        </w:numPr>
        <w:rPr>
          <w:rFonts w:ascii="Arial" w:cs="Arial" w:eastAsia="Arial" w:hAnsi="Arial"/>
          <w:sz w:val="18"/>
          <w:szCs w:val="18"/>
          <w:b w:val="1"/>
          <w:bCs w:val="1"/>
          <w:color w:val="231F20"/>
        </w:rPr>
      </w:pPr>
      <w:r>
        <w:rPr>
          <w:rFonts w:ascii="Arial" w:cs="Arial" w:eastAsia="Arial" w:hAnsi="Arial"/>
          <w:sz w:val="18"/>
          <w:szCs w:val="18"/>
          <w:b w:val="1"/>
          <w:bCs w:val="1"/>
          <w:color w:val="231F20"/>
        </w:rPr>
        <w:t>Commitments and Contingencies Litigation</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231F20"/>
        </w:rPr>
        <w:t>From time to time, the Company is party to pending or threatened lawsuits arising out of or incident to the ordinary course of business. The Company carries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Insurance</w:t>
      </w:r>
    </w:p>
    <w:p>
      <w:pPr>
        <w:spacing w:after="0" w:line="10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31F20"/>
        </w:rPr>
        <w:t xml:space="preserve">The Company carries a broad range of insurance coverage, including general and business auto liability, commercial property, workers’ compensation, cyber risk, and general umbrella policies. As of September 30, 2022 and December 31, 2021, the Company accrued </w:t>
      </w:r>
      <w:r>
        <w:rPr>
          <w:rFonts w:ascii="Arial" w:cs="Arial" w:eastAsia="Arial" w:hAnsi="Arial"/>
          <w:sz w:val="16"/>
          <w:szCs w:val="16"/>
          <w:color w:val="000000"/>
        </w:rPr>
        <w:t>$3,731 and</w:t>
      </w:r>
      <w:r>
        <w:rPr>
          <w:rFonts w:ascii="Arial" w:cs="Arial" w:eastAsia="Arial" w:hAnsi="Arial"/>
          <w:sz w:val="16"/>
          <w:szCs w:val="16"/>
          <w:color w:val="231F20"/>
        </w:rPr>
        <w:t xml:space="preserve"> $3,169, respectively, for assessments on insurance claims filed, which are included in other accrued expenses in the accompanying unaudited condensed consolidated balance sheets. As of September 30, 2022 and December 31, 2021, the Company recorded </w:t>
      </w:r>
      <w:r>
        <w:rPr>
          <w:rFonts w:ascii="Arial" w:cs="Arial" w:eastAsia="Arial" w:hAnsi="Arial"/>
          <w:sz w:val="16"/>
          <w:szCs w:val="16"/>
          <w:color w:val="000000"/>
        </w:rPr>
        <w:t>$2,977 and</w:t>
      </w:r>
      <w:r>
        <w:rPr>
          <w:rFonts w:ascii="Arial" w:cs="Arial" w:eastAsia="Arial" w:hAnsi="Arial"/>
          <w:sz w:val="16"/>
          <w:szCs w:val="16"/>
          <w:color w:val="231F20"/>
        </w:rPr>
        <w:t xml:space="preserve"> $2,594, respectively, in receivables from its non-healthcare insurance carriers related to these insurance claims, which are included in other receivables in the accompanying unaudited condensed consolidated balance sheets. The receivables are paid when the claim is finalized and the reserved amounts on these claims are expected to be paid within one year.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Environmental Matters</w:t>
      </w:r>
    </w:p>
    <w:p>
      <w:pPr>
        <w:spacing w:after="0" w:line="12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231F20"/>
        </w:rPr>
        <w:t>Operations at certain facilities currently or previously owned or leased by the Company utilize, or in the past have utilized, hazardous substances generally in compliance with applicable law. Periodically, the Company has had minor claims asserted against it by regulatory agencies or private parties for environmental matters relating to the handling of hazardous substances by the Company, and it has incurred obligations for investigations or remedial actions with respect to certain of these matters. There can be no assurances that activities at these facilities, or future facilities owned or operated by the Company, may not result in additional environmental claims being asserted against the Company or additional investigations or remedial actions being required. The Company is not aware of any significant remediation matters as of September 30, 2022. Because of various factors including the difficulty of identifying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3" w:name="page24"/>
    <w:bookmarkEnd w:id="23"/>
    <w:p>
      <w:pPr>
        <w:ind w:right="120"/>
        <w:spacing w:after="0" w:line="248" w:lineRule="auto"/>
        <w:rPr>
          <w:sz w:val="20"/>
          <w:szCs w:val="20"/>
          <w:color w:val="auto"/>
        </w:rPr>
      </w:pPr>
      <w:r>
        <w:rPr>
          <w:rFonts w:ascii="Arial" w:cs="Arial" w:eastAsia="Arial" w:hAnsi="Arial"/>
          <w:sz w:val="18"/>
          <w:szCs w:val="18"/>
          <w:color w:val="231F20"/>
        </w:rPr>
        <w:t>responsible parties for any particular site, the complexity of determining the relative liability among them, the uncertainty as to the most desirable remediation techniques and the amount of damages and clean-up costs and the time period during which such costs may be incurred, the Company is unable to reasonably estimate the ultimate cost of claims asserted against the Company related to environmental matters; however, the Company does not believe such costs will be material to its unaudited condensed consolidated financial statements.</w:t>
      </w:r>
    </w:p>
    <w:p>
      <w:pPr>
        <w:spacing w:after="0" w:line="88" w:lineRule="exact"/>
        <w:rPr>
          <w:sz w:val="20"/>
          <w:szCs w:val="20"/>
          <w:color w:val="auto"/>
        </w:rPr>
      </w:pPr>
    </w:p>
    <w:p>
      <w:pPr>
        <w:spacing w:after="0" w:line="245" w:lineRule="auto"/>
        <w:rPr>
          <w:sz w:val="20"/>
          <w:szCs w:val="20"/>
          <w:color w:val="auto"/>
        </w:rPr>
      </w:pPr>
      <w:r>
        <w:rPr>
          <w:rFonts w:ascii="Arial" w:cs="Arial" w:eastAsia="Arial" w:hAnsi="Arial"/>
          <w:sz w:val="18"/>
          <w:szCs w:val="18"/>
          <w:color w:val="231F20"/>
        </w:rPr>
        <w:t>In addition to potential claims asserted against the Company, there are certain regulatory obligations associated with these facilities. The Company also has a third-party specialist to review the sites subject to these regulations annually, for the purpose of assigning future cost. A third party has conducted a preliminary assessment of site restoration provisions arising from these regulations and the Company has recognized a provisional amount. As of September 30, 2022 and December 31, 2021, the Company recorded an environmental remediation accrual of $12, which is included in other accrued expenses in the accompanying unaudited condensed consolidated balance sheets.</w:t>
      </w: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7"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6"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and the audited consolidated financial statements and related notes included in our 2021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2021 10-K.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07"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Mister Car Wash, Inc. is the largest national car wash brand, primarily offering express exterior cleaning services, with interior cleaning services at select locations, across 420 car washes in 21 states as of September 30, 2022. Founded in 1996, we employ an efficient, repeatable, and scalable process, which we call the “Mister Experience,” to deliver a clean, dry, and shiny car every time. The core pillars of the “Mister Experience” are greeting every customer with a wave and smile, providing the highest quality car wash, and delivering the experience quickly and conveniently. We offer a monthly subscription program, which we call the Unlimited Wash Club(R) (“UWC”), as a flexible, quick, and convenient option for customers to keep their cars clean. As of September 30, 2022 and September 30, 2021, we had approximately 1.9 million and approximately 1.6 million UWC Members, respectively. This represented an increase of approximately 19% over the same time last year. For the three months ended September 30, 2022 and 2021, UWC sales represented 69% and 66% of our total wash sales, respectively, and UWC volume represented 77% and 74% of our total wash volume, respectively. Our scale and over 25 years of innovation allow us to drive operating efficiencies and invest in training, infrastructure, and technology that improve speed of service, quality, and sustainability and realize strong financial performance.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Trends</w:t>
      </w:r>
    </w:p>
    <w:p>
      <w:pPr>
        <w:spacing w:after="0" w:line="1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believe that our business and growth depend on a number of factors that present significant opportunities for us and may pose risks and challenges, including those discussed below and in Part I, Item 1A. “Risk Factors” of our 2021 10-K.</w:t>
      </w:r>
    </w:p>
    <w:p>
      <w:pPr>
        <w:spacing w:after="0" w:line="142" w:lineRule="exact"/>
        <w:rPr>
          <w:sz w:val="20"/>
          <w:szCs w:val="20"/>
          <w:color w:val="auto"/>
        </w:rPr>
      </w:pPr>
    </w:p>
    <w:p>
      <w:pPr>
        <w:ind w:left="480" w:right="60" w:hanging="337"/>
        <w:spacing w:after="0" w:line="230"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Growth in comparable store sales. </w:t>
      </w:r>
      <w:r>
        <w:rPr>
          <w:rFonts w:ascii="Arial" w:cs="Arial" w:eastAsia="Arial" w:hAnsi="Arial"/>
          <w:sz w:val="18"/>
          <w:szCs w:val="18"/>
          <w:color w:val="auto"/>
        </w:rPr>
        <w:t>Comparable store sales have been a strong driver of our net revenue growth and we expect it to continue to play a</w:t>
      </w:r>
      <w:r>
        <w:rPr>
          <w:rFonts w:ascii="Arial" w:cs="Arial" w:eastAsia="Arial" w:hAnsi="Arial"/>
          <w:sz w:val="18"/>
          <w:szCs w:val="18"/>
          <w:i w:val="1"/>
          <w:iCs w:val="1"/>
          <w:color w:val="auto"/>
        </w:rPr>
        <w:t xml:space="preserve"> </w:t>
      </w:r>
      <w:r>
        <w:rPr>
          <w:rFonts w:ascii="Arial" w:cs="Arial" w:eastAsia="Arial" w:hAnsi="Arial"/>
          <w:sz w:val="18"/>
          <w:szCs w:val="18"/>
          <w:color w:val="auto"/>
        </w:rPr>
        <w:t>key role in our future growth and profitability. We will seek to continue to grow our comparable store sales by increasing the number of UWC Members, increasing efficiency and throughput of our car wash locations, increasing marketing spend to add new customers, and increasing customer visitation frequency.</w:t>
      </w:r>
    </w:p>
    <w:p>
      <w:pPr>
        <w:spacing w:after="0" w:line="204" w:lineRule="exact"/>
        <w:rPr>
          <w:rFonts w:ascii="Arial" w:cs="Arial" w:eastAsia="Arial" w:hAnsi="Arial"/>
          <w:sz w:val="18"/>
          <w:szCs w:val="18"/>
          <w:color w:val="auto"/>
        </w:rPr>
      </w:pPr>
    </w:p>
    <w:p>
      <w:pPr>
        <w:ind w:left="480" w:right="220" w:hanging="337"/>
        <w:spacing w:after="0" w:line="235"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Number and loyalty of UWC Members</w:t>
      </w:r>
      <w:r>
        <w:rPr>
          <w:rFonts w:ascii="Arial" w:cs="Arial" w:eastAsia="Arial" w:hAnsi="Arial"/>
          <w:sz w:val="18"/>
          <w:szCs w:val="18"/>
          <w:color w:val="auto"/>
        </w:rPr>
        <w:t>. The UWC program is a critical element of our business. UWC Members contribute a significant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net revenue and provide recurring revenue through their monthly Membership fees.</w:t>
      </w:r>
    </w:p>
    <w:p>
      <w:pPr>
        <w:spacing w:after="0" w:line="201" w:lineRule="exact"/>
        <w:rPr>
          <w:rFonts w:ascii="Arial" w:cs="Arial" w:eastAsia="Arial" w:hAnsi="Arial"/>
          <w:sz w:val="18"/>
          <w:szCs w:val="18"/>
          <w:color w:val="auto"/>
        </w:rPr>
      </w:pPr>
    </w:p>
    <w:p>
      <w:pPr>
        <w:ind w:left="480" w:right="120" w:hanging="337"/>
        <w:spacing w:after="0" w:line="228"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Labor management. </w:t>
      </w:r>
      <w:r>
        <w:rPr>
          <w:rFonts w:ascii="Arial" w:cs="Arial" w:eastAsia="Arial" w:hAnsi="Arial"/>
          <w:sz w:val="18"/>
          <w:szCs w:val="18"/>
          <w:color w:val="auto"/>
        </w:rPr>
        <w:t>Hiring and retaining skilled team members and experienced management represents one of our largest costs. We believe people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Greenfield Location Development</w:t>
      </w:r>
    </w:p>
    <w:p>
      <w:pPr>
        <w:spacing w:after="0" w:line="103"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Our primary historical growth strategy has involved acquiring local and regional car wash operators, upgrading the facilities and equipment, training the team to provide the “Mister Experience,” and converting the site to the “Mister” brand. More recently, we have also grown through greenfield development of Mister Car Wash locations, with particular focus on Express Exterior Locations, and anticipate further pursuit of this strategy in the future. In the three and nine months ended September 30, 2022, we successfully opened eight and 15 greenfield locations, respectively. Our future location growth will be dependent on greenfield development.</w:t>
      </w:r>
    </w:p>
    <w:p>
      <w:pPr>
        <w:spacing w:after="0" w:line="7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In the three months ended September 30, 2022, we completed one acquisition consisting of three properties that operated as conveyorized car washes. In the nine months ended September 30, 2022, we completed three acquisitions consisting of eight properties that operated as conveyorized car washes.</w:t>
      </w:r>
    </w:p>
    <w:p>
      <w:pPr>
        <w:spacing w:after="0" w:line="1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Following an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the newest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See Note 14 Business Combinations to our unaudited condensed consolidated financial statements included elsewhere in this Quarterly Report on Form 10-Q for additional discussion.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three and nine months ended September 30, 2022 and 2021.</w:t>
      </w:r>
    </w:p>
    <w:p>
      <w:pPr>
        <w:spacing w:after="0" w:line="179"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0"/>
              </w:rPr>
              <w:t>Three Months Ended September 30,</w:t>
            </w:r>
          </w:p>
        </w:tc>
        <w:tc>
          <w:tcPr>
            <w:tcW w:w="160" w:type="dxa"/>
            <w:vAlign w:val="bottom"/>
          </w:tcPr>
          <w:p>
            <w:pPr>
              <w:spacing w:after="0"/>
              <w:rPr>
                <w:sz w:val="20"/>
                <w:szCs w:val="20"/>
                <w:color w:val="auto"/>
              </w:rPr>
            </w:pPr>
          </w:p>
        </w:tc>
        <w:tc>
          <w:tcPr>
            <w:tcW w:w="316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4100" w:type="dxa"/>
            <w:vAlign w:val="bottom"/>
          </w:tcPr>
          <w:p>
            <w:pPr>
              <w:ind w:left="120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and Operating Data</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Location count (end of period)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Comparable store sales growth</w:t>
            </w: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2.9 %</w:t>
            </w:r>
          </w:p>
        </w:tc>
        <w:tc>
          <w:tcPr>
            <w:tcW w:w="3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21.3 %</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5.3 %</w:t>
            </w:r>
          </w:p>
        </w:tc>
        <w:tc>
          <w:tcPr>
            <w:tcW w:w="32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38.6 %</w:t>
            </w: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UWC Members (in thousands, end of period)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UWC sales as a percentage of total wash sales</w:t>
            </w: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69 %</w:t>
            </w:r>
          </w:p>
        </w:tc>
        <w:tc>
          <w:tcPr>
            <w:tcW w:w="3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66 %</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67 %</w:t>
            </w:r>
          </w:p>
        </w:tc>
        <w:tc>
          <w:tcPr>
            <w:tcW w:w="32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63 %</w:t>
            </w: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23,997</w:t>
            </w:r>
          </w:p>
        </w:tc>
        <w:tc>
          <w:tcPr>
            <w:tcW w:w="3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27,366</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95,144</w:t>
            </w:r>
          </w:p>
        </w:tc>
        <w:tc>
          <w:tcPr>
            <w:tcW w:w="2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(58,350 )</w:t>
            </w:r>
          </w:p>
        </w:tc>
        <w:tc>
          <w:tcPr>
            <w:tcW w:w="120" w:type="dxa"/>
            <w:vAlign w:val="bottom"/>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11.0 %</w:t>
            </w:r>
          </w:p>
        </w:tc>
        <w:tc>
          <w:tcPr>
            <w:tcW w:w="3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14.1 %</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14.4 %</w:t>
            </w:r>
          </w:p>
        </w:tc>
        <w:tc>
          <w:tcPr>
            <w:tcW w:w="3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(10.3 )%</w:t>
            </w: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66,132</w:t>
            </w:r>
          </w:p>
        </w:tc>
        <w:tc>
          <w:tcPr>
            <w:tcW w:w="3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62,450</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215,457</w:t>
            </w:r>
          </w:p>
        </w:tc>
        <w:tc>
          <w:tcPr>
            <w:tcW w:w="2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30.4 %</w:t>
            </w:r>
          </w:p>
        </w:tc>
        <w:tc>
          <w:tcPr>
            <w:tcW w:w="3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32.1 %</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32.5 %</w:t>
            </w:r>
          </w:p>
        </w:tc>
        <w:tc>
          <w:tcPr>
            <w:tcW w:w="32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-958215</wp:posOffset>
            </wp:positionV>
            <wp:extent cx="684149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41490" cy="137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-684530</wp:posOffset>
            </wp:positionV>
            <wp:extent cx="684149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41490" cy="137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-410210</wp:posOffset>
            </wp:positionV>
            <wp:extent cx="684149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41490" cy="137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-136525</wp:posOffset>
            </wp:positionV>
            <wp:extent cx="684149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41490" cy="13716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Count (end of period)</w:t>
      </w:r>
    </w:p>
    <w:p>
      <w:pPr>
        <w:spacing w:after="0" w:line="11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Our location count refers to the total number of car wash locations at the end of a period, inclusive of new greenfield locations and acquired locations. The total number of locations that we operate, as well as the timing of location openings, acquisitions, and closings, have, and will continue to have, an impact on our performance. In the three months ended September 30, 2022, we increased our location count by 11 locations, comprised of eight greenfield locations and three acquired locations. In the nine months ended September 30, 2022, we increased our location count by 24 locations, comprised of 15 greenfield locations and nine acquired locations. One location, which was part of a 2021 acquisition, opened during the second quarter of 2022 and is included as an acquired location above.</w:t>
      </w:r>
    </w:p>
    <w:p>
      <w:pPr>
        <w:spacing w:after="0" w:line="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Express Exterior Locations, which offer express exterior cleaning services, comprise 345 of our current locations and our Interior Cleaning Locations, which offer both express exterior cleaning services and interior cleaning services, comprise 75 of our current locations.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 Growth</w:t>
      </w:r>
    </w:p>
    <w:p>
      <w:pPr>
        <w:spacing w:after="0" w:line="103"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 location is considered a comparable store on the first day of the 13th full calendar month following a location’s first day of operations.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88"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Opening new locations is a primary component of our growth strategy and as we continue to execute on our growth strategy, we expect that a significant portion of our sales growth will be attributable to non-comparable store sales. Accordingly, comparable store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26" w:name="page27"/>
    <w:bookmarkEnd w:id="26"/>
    <w:p>
      <w:pPr>
        <w:ind w:right="360"/>
        <w:spacing w:after="0" w:line="277" w:lineRule="auto"/>
        <w:rPr>
          <w:sz w:val="20"/>
          <w:szCs w:val="20"/>
          <w:color w:val="auto"/>
        </w:rPr>
      </w:pPr>
      <w:r>
        <w:rPr>
          <w:rFonts w:ascii="Arial" w:cs="Arial" w:eastAsia="Arial" w:hAnsi="Arial"/>
          <w:sz w:val="18"/>
          <w:szCs w:val="18"/>
          <w:color w:val="auto"/>
        </w:rPr>
        <w:t>sales are only one measure we use to assess the success of our growth strategy. For the three months ended September 30, 2022, comparable store sales increased to 2.9% compared to an increase of 21.3% in the three months ended September 30, 2021.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Members (end of period)</w:t>
      </w:r>
    </w:p>
    <w:p>
      <w:pPr>
        <w:spacing w:after="0" w:line="103"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1.9 million and approximately 1.6 million UWC Members as of September 30, 2022 and September 30, 2021, respectively. There were approximately 1.7 million UWC Members as of December 31, 2021.</w:t>
      </w:r>
    </w:p>
    <w:p>
      <w:pPr>
        <w:spacing w:after="0" w:line="7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UWC Members grew by approximately 19% from September 30, 2021 through September 30, 2022 and approximately 12% from December 31, 2021 through September 30,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Sales as a Percentage of Total Wash Sales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have consistently grown this measure over time as we educate customers as to the value of our subscription offering. UWC sales were 69% and 66% of our total wash sales for the three months ended September 30, 2022 and 2021, respectively. UWC sales were 67% and 63% of our total wash sales for the nine months ended September 30, 2022 and 2021,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0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Adjusted EBITDA is a non-GAAP measure of our financial performance and should not be considered as an alternative to net income as a measure of financial performance or any other performance measure derived in accordance with generally accepted accounting principles in the United States of America (“U.S. GAAP”) and should not be construed as an inference that our future results will be unaffected by unusual or nonrecurring items. Adjusted EBITDA is defined as net income (loss) before interest expense, net, income tax provision (benefit), depreciation and amortization expense, (gain) loss on sale of assets, loss on extinguishment of debt, stock-based compensation expense, acquisition expenses, management fees, non-cash rent expense, expenses associated with the IPO, expenses associated with the secondary public offering, and other nonrecurring charges. Adjusted EBITDA margin is defined as Adjusted EBITDA divided by net revenues for a given period.</w:t>
      </w:r>
    </w:p>
    <w:p>
      <w:pPr>
        <w:spacing w:after="0" w:line="68"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53"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Amended A&amp;R First Lien Credit Agreement uses measures similar to Adjusted EBITDA to measure our compliance with certain covenants.</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157" w:lineRule="exact"/>
        <w:rPr>
          <w:sz w:val="20"/>
          <w:szCs w:val="20"/>
          <w:color w:val="auto"/>
        </w:rPr>
      </w:pPr>
    </w:p>
    <w:p>
      <w:pPr>
        <w:ind w:left="480" w:hanging="337"/>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 or future requirements for capital expenditures or contractual commitments;</w:t>
      </w:r>
    </w:p>
    <w:p>
      <w:pPr>
        <w:spacing w:after="0" w:line="386" w:lineRule="exact"/>
        <w:rPr>
          <w:rFonts w:ascii="Arial" w:cs="Arial" w:eastAsia="Arial" w:hAnsi="Arial"/>
          <w:sz w:val="18"/>
          <w:szCs w:val="18"/>
          <w:color w:val="auto"/>
        </w:rPr>
      </w:pPr>
    </w:p>
    <w:p>
      <w:pPr>
        <w:ind w:left="480" w:hanging="337"/>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changes in our cash requirements for our working capital needs;</w:t>
      </w:r>
    </w:p>
    <w:p>
      <w:pPr>
        <w:spacing w:after="0" w:line="386" w:lineRule="exact"/>
        <w:rPr>
          <w:rFonts w:ascii="Arial" w:cs="Arial" w:eastAsia="Arial" w:hAnsi="Arial"/>
          <w:sz w:val="18"/>
          <w:szCs w:val="18"/>
          <w:color w:val="auto"/>
        </w:rPr>
      </w:pPr>
    </w:p>
    <w:p>
      <w:pPr>
        <w:ind w:left="480" w:hanging="337"/>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and the cash requirements necessary to service interest or principal payments on our debt;</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480" w:hanging="337"/>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replacement of assets that are being depreciated and amortized;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7" w:name="page28"/>
    <w:bookmarkEnd w:id="27"/>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non-cash compensation, which is a key element of our overall long-term compensation;</w:t>
      </w:r>
    </w:p>
    <w:p>
      <w:pPr>
        <w:spacing w:after="0" w:line="386" w:lineRule="exact"/>
        <w:rPr>
          <w:rFonts w:ascii="Arial" w:cs="Arial" w:eastAsia="Arial" w:hAnsi="Arial"/>
          <w:sz w:val="18"/>
          <w:szCs w:val="18"/>
          <w:color w:val="auto"/>
        </w:rPr>
      </w:pPr>
    </w:p>
    <w:p>
      <w:pPr>
        <w:ind w:left="480" w:right="80" w:hanging="337"/>
        <w:spacing w:after="0" w:line="245"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the impact of certain cash charges or cash receipts resulting from matters we do not find indicative of our ongoing operations; and</w:t>
      </w:r>
    </w:p>
    <w:p>
      <w:pPr>
        <w:spacing w:after="0" w:line="170" w:lineRule="exact"/>
        <w:rPr>
          <w:rFonts w:ascii="Arial" w:cs="Arial" w:eastAsia="Arial" w:hAnsi="Arial"/>
          <w:sz w:val="18"/>
          <w:szCs w:val="18"/>
          <w:color w:val="auto"/>
        </w:rPr>
      </w:pPr>
    </w:p>
    <w:p>
      <w:pPr>
        <w:ind w:left="480" w:hanging="33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w:t>
      </w:r>
    </w:p>
    <w:p>
      <w:pPr>
        <w:spacing w:after="0" w:line="305"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Adjusted EBITDA was approximately $66.1 million and $62.5 million in the three months ended September 30, 2022 and 2021, respectively. Our Adjusted EBITDA margin was 30.4% and 32.1% in the three months ended September 30, 2022 and 2021, respectively. Adjusted EBITDA was approximately $215.5 million and $197.0 million in the nine months ended September 30, 2022 and 2021, respectively. Our Adjusted EBITDA margin was 32.5% and 34.8% in the nine months ended September 30, 2022 and 2021. The following is a reconciliation of our net income (loss) to Adjusted EBITDA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3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2"/>
              </w:rPr>
              <w:t>Three Months Ended September 30,</w:t>
            </w:r>
          </w:p>
        </w:tc>
        <w:tc>
          <w:tcPr>
            <w:tcW w:w="29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5020" w:type="dxa"/>
            <w:vAlign w:val="bottom"/>
          </w:tcPr>
          <w:p>
            <w:pPr>
              <w:ind w:left="156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of net income (loss) to Adjusted EBITDA:</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23,997</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27,366</w:t>
            </w:r>
          </w:p>
        </w:tc>
        <w:tc>
          <w:tcPr>
            <w:tcW w:w="3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95,144</w:t>
            </w:r>
          </w:p>
        </w:tc>
        <w:tc>
          <w:tcPr>
            <w:tcW w:w="3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(58,350 )</w:t>
            </w: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10,100</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26,988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(29,747 )</w:t>
            </w: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15,193</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12,980</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45,274</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(Gain) loss on sale of assets (a)</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(649 )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(3,336 )</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(5,559 )</w:t>
            </w: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Stock-based compensation expense (b)</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16,959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210,292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Acquisition expenses (c)</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Management fees (d)</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Non-cash rent expense (e)</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Expenses associated with initial public offering (f)</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Expenses associated with secondary public offering (g)</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Other (h)</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66,132</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62,450</w:t>
            </w:r>
          </w:p>
        </w:tc>
        <w:tc>
          <w:tcPr>
            <w:tcW w:w="3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215,457</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197,000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5020" w:type="dxa"/>
            <w:vAlign w:val="bottom"/>
          </w:tcPr>
          <w:p>
            <w:pPr>
              <w:ind w:left="20"/>
              <w:spacing w:after="0" w:line="196" w:lineRule="exact"/>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217,576</w:t>
            </w:r>
          </w:p>
        </w:tc>
        <w:tc>
          <w:tcPr>
            <w:tcW w:w="32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194,310</w:t>
            </w:r>
          </w:p>
        </w:tc>
        <w:tc>
          <w:tcPr>
            <w:tcW w:w="36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662,154</w:t>
            </w:r>
          </w:p>
        </w:tc>
        <w:tc>
          <w:tcPr>
            <w:tcW w:w="3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566,898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30.4 %</w:t>
            </w: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32.1 %</w:t>
            </w:r>
          </w:p>
        </w:tc>
        <w:tc>
          <w:tcPr>
            <w:tcW w:w="2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32.5 %</w:t>
            </w:r>
          </w:p>
        </w:tc>
        <w:tc>
          <w:tcPr>
            <w:tcW w:w="2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2997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74" w:lineRule="exact"/>
        <w:rPr>
          <w:sz w:val="20"/>
          <w:szCs w:val="20"/>
          <w:color w:val="auto"/>
        </w:rPr>
      </w:pPr>
    </w:p>
    <w:p>
      <w:pPr>
        <w:ind w:left="1020" w:right="140" w:hanging="504"/>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gains and losses on the disposition of assets associated with sale-leaseback transactions, store closures or the sale of property and equipment.</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non-cash expense associated with our share-based payments.</w:t>
      </w:r>
    </w:p>
    <w:p>
      <w:pPr>
        <w:spacing w:after="0" w:line="103" w:lineRule="exact"/>
        <w:rPr>
          <w:rFonts w:ascii="Arial" w:cs="Arial" w:eastAsia="Arial" w:hAnsi="Arial"/>
          <w:sz w:val="18"/>
          <w:szCs w:val="18"/>
          <w:color w:val="auto"/>
        </w:rPr>
      </w:pPr>
    </w:p>
    <w:p>
      <w:pPr>
        <w:ind w:left="1020" w:right="140" w:hanging="504"/>
        <w:spacing w:after="0" w:line="277"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w:t>
      </w:r>
    </w:p>
    <w:p>
      <w:pPr>
        <w:spacing w:after="0" w:line="51" w:lineRule="exact"/>
        <w:rPr>
          <w:rFonts w:ascii="Arial" w:cs="Arial" w:eastAsia="Arial" w:hAnsi="Arial"/>
          <w:sz w:val="17"/>
          <w:szCs w:val="17"/>
          <w:color w:val="auto"/>
        </w:rPr>
      </w:pPr>
    </w:p>
    <w:p>
      <w:pPr>
        <w:ind w:left="1020" w:right="760" w:hanging="504"/>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fees paid to Leonard Green &amp; Partners in accordance with our management services agreement, which terminated on the consummation of our initial public offering in June 2021 (“IPO”).</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difference between cash paid for rent expense and U.S. GAAP rent expense.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nonrecurring expenses associated with the consummation of our IPO in June 2021.</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nonrecurring expenses associated with the consummation of our secondary public offering in August 2021.</w:t>
      </w:r>
    </w:p>
    <w:p>
      <w:pPr>
        <w:spacing w:after="0" w:line="116" w:lineRule="exact"/>
        <w:rPr>
          <w:rFonts w:ascii="Arial" w:cs="Arial" w:eastAsia="Arial" w:hAnsi="Arial"/>
          <w:sz w:val="18"/>
          <w:szCs w:val="18"/>
          <w:color w:val="auto"/>
        </w:rPr>
      </w:pPr>
    </w:p>
    <w:p>
      <w:pPr>
        <w:ind w:left="1020" w:right="400" w:hanging="504"/>
        <w:spacing w:after="0" w:line="293"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other items as determined by management not to be reflective of our ongoing operating performance, such as costs associated with our one-time rebranding initiative costs, severance pay, non-deferred legal fees and other expenses related to credit agreement amendments, legal settlements and legal fees related to contract terminations, and nonrecurring strategic project costs.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30" w:right="279" w:bottom="1440" w:gutter="0" w:footer="0" w:header="0"/>
        </w:sectPr>
      </w:pPr>
    </w:p>
    <w:bookmarkStart w:id="28" w:name="page29"/>
    <w:bookmarkEnd w:id="28"/>
    <w:p>
      <w:pPr>
        <w:spacing w:after="0" w:line="279" w:lineRule="auto"/>
        <w:rPr>
          <w:sz w:val="20"/>
          <w:szCs w:val="20"/>
          <w:color w:val="auto"/>
        </w:rPr>
      </w:pPr>
      <w:r>
        <w:rPr>
          <w:rFonts w:ascii="Arial" w:cs="Arial" w:eastAsia="Arial" w:hAnsi="Arial"/>
          <w:sz w:val="16"/>
          <w:szCs w:val="16"/>
          <w:color w:val="auto"/>
        </w:rPr>
        <w:t xml:space="preserve">We recognize revenue in two main streams: (i) the UWC program that entitles the customer to unlimited washes for a monthly subscription fee, cancellable at any time and (ii) retail car washes and other services. In the UWC program, we enter into a contract with the customer that falls under the definition of a customer contract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Customers are automatically charged on a credit card or debit card on the same date of the month that they originally signed up. Our performance obligations are to provide unlimited car wash services for a monthly fee. Revenue from the UWC program is recognized ratably over the month in which it is earned and amounts unearned are recorded as deferred revenue on the unaudited condensed consolidated balance sheets; all amounts recorded as deferred revenue at year-end are recognized as revenue in the following year. Revenue from retail car wash and other services is recognized at the point in time at which services are rendered and the customer pays with cash, debit card, or credit card. Revenues are net of sales tax, refunds, and discounts applied as a reduction of revenue at the time of payment.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Store operating costs consist of cost of labor and chemicals and other car wash store operating expenses.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 and Chemicals</w:t>
      </w:r>
    </w:p>
    <w:p>
      <w:pPr>
        <w:spacing w:after="0" w:line="117"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 xml:space="preserve">Cost of labor and chemicals include compensation and related employee benefit expenses associated with car wash employees, maintenance employees, warehouse employees, chemicals and associated supplies, including wages, cash bonuses, stock-based compensation, taxes, insurance, and workers compensation payments as reported in the unaudited condensed consolidated statements of operations and comprehensive </w:t>
      </w:r>
      <w:r>
        <w:rPr>
          <w:rFonts w:ascii="Arial" w:cs="Arial" w:eastAsia="Arial" w:hAnsi="Arial"/>
          <w:sz w:val="18"/>
          <w:szCs w:val="18"/>
          <w:color w:val="231F20"/>
        </w:rPr>
        <w:t>income</w:t>
      </w:r>
      <w:r>
        <w:rPr>
          <w:rFonts w:ascii="Arial" w:cs="Arial" w:eastAsia="Arial" w:hAnsi="Arial"/>
          <w:sz w:val="18"/>
          <w:szCs w:val="18"/>
          <w:color w:val="auto"/>
        </w:rPr>
        <w:t xml:space="preserve"> included elsewhere in this Quarterly Report on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Store Operating Expenses</w:t>
      </w:r>
    </w:p>
    <w:p>
      <w:pPr>
        <w:spacing w:after="0" w:line="103" w:lineRule="exact"/>
        <w:rPr>
          <w:sz w:val="20"/>
          <w:szCs w:val="20"/>
          <w:color w:val="auto"/>
        </w:rPr>
      </w:pPr>
    </w:p>
    <w:p>
      <w:pPr>
        <w:ind w:right="100"/>
        <w:spacing w:after="0" w:line="330" w:lineRule="auto"/>
        <w:rPr>
          <w:sz w:val="20"/>
          <w:szCs w:val="20"/>
          <w:color w:val="auto"/>
        </w:rPr>
      </w:pPr>
      <w:r>
        <w:rPr>
          <w:rFonts w:ascii="Arial" w:cs="Arial" w:eastAsia="Arial" w:hAnsi="Arial"/>
          <w:sz w:val="15"/>
          <w:szCs w:val="15"/>
          <w:color w:val="auto"/>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assets, utilities, property taxes, and depreciation expense on assets at the car wash and warehouse locations.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General and administrative expenses include compensation expenses and the related employee benefits of headquarters employees, including wages, cash bonuses, stock-based compensation, taxes, insurance, and workers compensation payments, as well as information technology expenses, administrative office expenses, professional services and other related expenses, depreciation expense on held-for-use assets used at our headquarters, and amortization expense associated with our intangible assets.</w:t>
      </w:r>
    </w:p>
    <w:p>
      <w:pPr>
        <w:spacing w:after="0" w:line="7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 xml:space="preserve">We will continue to incur significant expenses on an ongoing basis that we did not incur as a private company. Those costs include additional director and officer liability insurance expenses, as well as third-party and internal resources related to accounting, auditing, Sarbanes-Oxley Act compliance, legal, and investor and public relations expenses. We expect such expenses to further increase after we are no longer an emerging growth company starting in 2023. These costs will generally be expensed under general and administrative expenses in the unaudited condensed consolidated statements of operations and comprehensive </w:t>
      </w:r>
      <w:r>
        <w:rPr>
          <w:rFonts w:ascii="Arial" w:cs="Arial" w:eastAsia="Arial" w:hAnsi="Arial"/>
          <w:sz w:val="17"/>
          <w:szCs w:val="17"/>
          <w:color w:val="231F20"/>
        </w:rPr>
        <w:t>income (loss)</w:t>
      </w:r>
      <w:r>
        <w:rPr>
          <w:rFonts w:ascii="Arial" w:cs="Arial" w:eastAsia="Arial" w:hAnsi="Arial"/>
          <w:sz w:val="17"/>
          <w:szCs w:val="17"/>
          <w:color w:val="auto"/>
        </w:rPr>
        <w:t xml:space="preserve"> included elsewhere in this Quarterly Report on Form 10-Q.</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(Gain) Loss on sale of assets includes gains and losses on the sale-leaseback of our locations and sale of property and equipment.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Interest expense, net consists primarily of cash and non-cash interest expense on borrowings, partially offset by interest income earned on our cash balances.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Loss on extinguishment of debt includes losses associated with amendments to our existing debt that are accounted for as extinguishments, as well as losses associated with partial or whole payments on our debt that qualify for extinguishment accounting.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29" w:name="page30"/>
    <w:bookmarkEnd w:id="29"/>
    <w:p>
      <w:pPr>
        <w:ind w:right="420"/>
        <w:spacing w:after="0" w:line="255" w:lineRule="auto"/>
        <w:rPr>
          <w:sz w:val="20"/>
          <w:szCs w:val="20"/>
          <w:color w:val="auto"/>
        </w:rPr>
      </w:pPr>
      <w:r>
        <w:rPr>
          <w:rFonts w:ascii="Arial" w:cs="Arial" w:eastAsia="Arial" w:hAnsi="Arial"/>
          <w:sz w:val="18"/>
          <w:szCs w:val="18"/>
          <w:color w:val="auto"/>
        </w:rPr>
        <w:t>We recognize deferred tax assets and liabilities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spacing w:after="0" w:line="68"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 xml:space="preserve">We have adopted a more-likely-than-not threshold for financial statement recognition and measurement of an uncertain tax position taken or expected to be taken in a tax return. We recognize interest and penalties related to uncertain tax positions in income tax provision in our unaudited condensed consolidated statements of operations and comprehensive </w:t>
      </w:r>
      <w:r>
        <w:rPr>
          <w:rFonts w:ascii="Arial" w:cs="Arial" w:eastAsia="Arial" w:hAnsi="Arial"/>
          <w:sz w:val="17"/>
          <w:szCs w:val="17"/>
          <w:color w:val="231F20"/>
        </w:rPr>
        <w:t>income (loss)</w:t>
      </w:r>
      <w:r>
        <w:rPr>
          <w:rFonts w:ascii="Arial" w:cs="Arial" w:eastAsia="Arial" w:hAnsi="Arial"/>
          <w:sz w:val="17"/>
          <w:szCs w:val="17"/>
          <w:color w:val="auto"/>
        </w:rPr>
        <w:t xml:space="preserve"> included elsewhere in this Quarterly Report on Form 10-Q.</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2022 and 2021 (Unaudited)</w:t>
      </w:r>
    </w:p>
    <w:p>
      <w:pPr>
        <w:spacing w:after="0" w:line="12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unaudited results of operations data for the three months ended September 30, 2022 and 2021 have been derived from the unaudited condensed consolidated financial statements included elsewhere in this Quarterly Report on Form 10-Q.</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Three Months Ended September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13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Amount</w:t>
            </w:r>
          </w:p>
        </w:tc>
        <w:tc>
          <w:tcPr>
            <w:tcW w:w="1300" w:type="dxa"/>
            <w:vAlign w:val="bottom"/>
          </w:tcPr>
          <w:p>
            <w:pPr>
              <w:ind w:left="100"/>
              <w:spacing w:after="0"/>
              <w:rPr>
                <w:sz w:val="20"/>
                <w:szCs w:val="20"/>
                <w:color w:val="auto"/>
              </w:rPr>
            </w:pPr>
            <w:r>
              <w:rPr>
                <w:rFonts w:ascii="Arial" w:cs="Arial" w:eastAsia="Arial" w:hAnsi="Arial"/>
                <w:sz w:val="18"/>
                <w:szCs w:val="18"/>
                <w:b w:val="1"/>
                <w:bCs w:val="1"/>
                <w:color w:val="auto"/>
                <w:w w:val="99"/>
              </w:rPr>
              <w:t>% of Revenue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Amount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217,576</w:t>
            </w:r>
          </w:p>
        </w:tc>
        <w:tc>
          <w:tcPr>
            <w:tcW w:w="4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194,310</w:t>
            </w:r>
          </w:p>
        </w:tc>
        <w:tc>
          <w:tcPr>
            <w:tcW w:w="3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31"/>
        </w:trPr>
        <w:tc>
          <w:tcPr>
            <w:tcW w:w="4760" w:type="dxa"/>
            <w:vAlign w:val="bottom"/>
          </w:tcPr>
          <w:p>
            <w:pPr>
              <w:ind w:left="20"/>
              <w:spacing w:after="0"/>
              <w:rPr>
                <w:sz w:val="20"/>
                <w:szCs w:val="20"/>
                <w:color w:val="auto"/>
              </w:rPr>
            </w:pPr>
            <w:r>
              <w:rPr>
                <w:rFonts w:ascii="Arial" w:cs="Arial" w:eastAsia="Arial" w:hAnsi="Arial"/>
                <w:sz w:val="18"/>
                <w:szCs w:val="18"/>
                <w:color w:val="auto"/>
              </w:rPr>
              <w:t>Store operating costs: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68,228</w:t>
            </w:r>
          </w:p>
        </w:tc>
        <w:tc>
          <w:tcPr>
            <w:tcW w:w="400" w:type="dxa"/>
            <w:vAlign w:val="bottom"/>
          </w:tcPr>
          <w:p>
            <w:pPr>
              <w:spacing w:after="0"/>
              <w:rPr>
                <w:sz w:val="18"/>
                <w:szCs w:val="18"/>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31 %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63,438</w:t>
            </w:r>
          </w:p>
        </w:tc>
        <w:tc>
          <w:tcPr>
            <w:tcW w:w="3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82,343</w:t>
            </w:r>
          </w:p>
        </w:tc>
        <w:tc>
          <w:tcPr>
            <w:tcW w:w="400" w:type="dxa"/>
            <w:vAlign w:val="bottom"/>
          </w:tcPr>
          <w:p>
            <w:pPr>
              <w:spacing w:after="0"/>
              <w:rPr>
                <w:sz w:val="18"/>
                <w:szCs w:val="18"/>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38 %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68,435</w:t>
            </w:r>
          </w:p>
        </w:tc>
        <w:tc>
          <w:tcPr>
            <w:tcW w:w="3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24,743</w:t>
            </w:r>
          </w:p>
        </w:tc>
        <w:tc>
          <w:tcPr>
            <w:tcW w:w="400" w:type="dxa"/>
            <w:vAlign w:val="bottom"/>
          </w:tcPr>
          <w:p>
            <w:pPr>
              <w:spacing w:after="0"/>
              <w:rPr>
                <w:sz w:val="18"/>
                <w:szCs w:val="18"/>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22,166</w:t>
            </w:r>
          </w:p>
        </w:tc>
        <w:tc>
          <w:tcPr>
            <w:tcW w:w="3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(Gain) loss on sale of assets</w:t>
            </w:r>
          </w:p>
        </w:tc>
        <w:tc>
          <w:tcPr>
            <w:tcW w:w="2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(649 )</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(0 )%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w:t>
            </w:r>
          </w:p>
        </w:tc>
        <w:tc>
          <w:tcPr>
            <w:tcW w:w="3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174,665</w:t>
            </w:r>
          </w:p>
        </w:tc>
        <w:tc>
          <w:tcPr>
            <w:tcW w:w="4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154,787</w:t>
            </w:r>
          </w:p>
        </w:tc>
        <w:tc>
          <w:tcPr>
            <w:tcW w:w="3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760" w:type="dxa"/>
            <w:vAlign w:val="bottom"/>
          </w:tcPr>
          <w:p>
            <w:pPr>
              <w:ind w:left="12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42,911</w:t>
            </w:r>
          </w:p>
        </w:tc>
        <w:tc>
          <w:tcPr>
            <w:tcW w:w="400" w:type="dxa"/>
            <w:vAlign w:val="bottom"/>
          </w:tcPr>
          <w:p>
            <w:pPr>
              <w:spacing w:after="0"/>
              <w:rPr>
                <w:sz w:val="18"/>
                <w:szCs w:val="18"/>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18"/>
                <w:szCs w:val="18"/>
                <w:color w:val="auto"/>
                <w:highlight w:val="white"/>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39,523</w:t>
            </w:r>
          </w:p>
        </w:tc>
        <w:tc>
          <w:tcPr>
            <w:tcW w:w="3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10,100</w:t>
            </w:r>
          </w:p>
        </w:tc>
        <w:tc>
          <w:tcPr>
            <w:tcW w:w="400" w:type="dxa"/>
            <w:vAlign w:val="bottom"/>
          </w:tcPr>
          <w:p>
            <w:pPr>
              <w:spacing w:after="0"/>
              <w:rPr>
                <w:sz w:val="18"/>
                <w:szCs w:val="18"/>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5 %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5,717</w:t>
            </w:r>
          </w:p>
        </w:tc>
        <w:tc>
          <w:tcPr>
            <w:tcW w:w="3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0 %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Arial" w:cs="Arial" w:eastAsia="Arial" w:hAnsi="Arial"/>
                <w:sz w:val="18"/>
                <w:szCs w:val="18"/>
                <w:color w:val="auto"/>
              </w:rPr>
              <w:t>Total other expense</w:t>
            </w: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10,100</w:t>
            </w:r>
          </w:p>
        </w:tc>
        <w:tc>
          <w:tcPr>
            <w:tcW w:w="400" w:type="dxa"/>
            <w:vAlign w:val="bottom"/>
          </w:tcPr>
          <w:p>
            <w:pPr>
              <w:spacing w:after="0"/>
              <w:rPr>
                <w:sz w:val="18"/>
                <w:szCs w:val="18"/>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color w:val="auto"/>
                <w:highlight w:val="white"/>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5,717</w:t>
            </w:r>
          </w:p>
        </w:tc>
        <w:tc>
          <w:tcPr>
            <w:tcW w:w="3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Income (loss) before taxes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32,811</w:t>
            </w:r>
          </w:p>
        </w:tc>
        <w:tc>
          <w:tcPr>
            <w:tcW w:w="4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33,806</w:t>
            </w:r>
          </w:p>
        </w:tc>
        <w:tc>
          <w:tcPr>
            <w:tcW w:w="3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8,814</w:t>
            </w:r>
          </w:p>
        </w:tc>
        <w:tc>
          <w:tcPr>
            <w:tcW w:w="400" w:type="dxa"/>
            <w:vAlign w:val="bottom"/>
          </w:tcPr>
          <w:p>
            <w:pPr>
              <w:spacing w:after="0"/>
              <w:rPr>
                <w:sz w:val="18"/>
                <w:szCs w:val="18"/>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6,440</w:t>
            </w:r>
          </w:p>
        </w:tc>
        <w:tc>
          <w:tcPr>
            <w:tcW w:w="3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23,997</w:t>
            </w:r>
          </w:p>
        </w:tc>
        <w:tc>
          <w:tcPr>
            <w:tcW w:w="4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27,366</w:t>
            </w:r>
          </w:p>
        </w:tc>
        <w:tc>
          <w:tcPr>
            <w:tcW w:w="3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-1857375</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-1583690</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-1301115</wp:posOffset>
            </wp:positionV>
            <wp:extent cx="7132320" cy="290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-735965</wp:posOffset>
            </wp:positionV>
            <wp:extent cx="7132320" cy="4279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6"/>
              </w:rPr>
              <w:t>Three Months Ended September 30,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8"/>
              </w:rPr>
              <w:t>$ Change</w:t>
            </w:r>
          </w:p>
        </w:tc>
        <w:tc>
          <w:tcPr>
            <w:tcW w:w="400" w:type="dxa"/>
            <w:vAlign w:val="bottom"/>
          </w:tcPr>
          <w:p>
            <w:pPr>
              <w:spacing w:after="0"/>
              <w:rPr>
                <w:sz w:val="24"/>
                <w:szCs w:val="24"/>
                <w:color w:val="auto"/>
              </w:rPr>
            </w:pPr>
          </w:p>
        </w:tc>
        <w:tc>
          <w:tcPr>
            <w:tcW w:w="1580" w:type="dxa"/>
            <w:vAlign w:val="bottom"/>
            <w:gridSpan w:val="2"/>
            <w:vMerge w:val="restart"/>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860" w:type="dxa"/>
            <w:vAlign w:val="bottom"/>
          </w:tcPr>
          <w:p>
            <w:pPr>
              <w:ind w:left="94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Pr>
          <w:p>
            <w:pPr>
              <w:spacing w:after="0"/>
              <w:rPr>
                <w:sz w:val="18"/>
                <w:szCs w:val="18"/>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217,576</w:t>
            </w:r>
          </w:p>
        </w:tc>
        <w:tc>
          <w:tcPr>
            <w:tcW w:w="34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194,310</w:t>
            </w:r>
          </w:p>
        </w:tc>
        <w:tc>
          <w:tcPr>
            <w:tcW w:w="4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23,266</w:t>
            </w:r>
          </w:p>
        </w:tc>
        <w:tc>
          <w:tcPr>
            <w:tcW w:w="4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1"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Net revenues were $217.6 million for the three months ended September 30, 2022 compared to $194.3 million for the three months ended September 30, 2021, an increase of $23.3 million, or 12%. The increase in net revenues was primarily attributable to the increase in car wash sales due to growth in UWC Members and the year-over-year addition of 60 locations.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 and Chemicals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w w:val="96"/>
              </w:rPr>
              <w:t>Three Months Ended September 30,</w:t>
            </w:r>
          </w:p>
        </w:tc>
        <w:tc>
          <w:tcPr>
            <w:tcW w:w="200" w:type="dxa"/>
            <w:vAlign w:val="bottom"/>
          </w:tcPr>
          <w:p>
            <w:pPr>
              <w:spacing w:after="0"/>
              <w:rPr>
                <w:sz w:val="20"/>
                <w:szCs w:val="20"/>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6"/>
              </w:rPr>
              <w:t>$ Change</w:t>
            </w:r>
          </w:p>
        </w:tc>
        <w:tc>
          <w:tcPr>
            <w:tcW w:w="320" w:type="dxa"/>
            <w:vAlign w:val="bottom"/>
          </w:tcPr>
          <w:p>
            <w:pPr>
              <w:spacing w:after="0"/>
              <w:rPr>
                <w:sz w:val="20"/>
                <w:szCs w:val="20"/>
                <w:color w:val="auto"/>
              </w:rPr>
            </w:pPr>
          </w:p>
        </w:tc>
        <w:tc>
          <w:tcPr>
            <w:tcW w:w="166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860" w:type="dxa"/>
            <w:vAlign w:val="bottom"/>
          </w:tcPr>
          <w:p>
            <w:pPr>
              <w:ind w:left="940"/>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68,228</w:t>
            </w:r>
          </w:p>
        </w:tc>
        <w:tc>
          <w:tcPr>
            <w:tcW w:w="44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63,438</w:t>
            </w:r>
          </w:p>
        </w:tc>
        <w:tc>
          <w:tcPr>
            <w:tcW w:w="4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3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30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31 %</w:t>
            </w:r>
          </w:p>
        </w:tc>
        <w:tc>
          <w:tcPr>
            <w:tcW w:w="38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33 %</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Cost of labor and chemicals was $68.2 million for the three months ended September 30, 2022 compared to $63.4 million for the three months ended September 30, 2021, an increase of $4.8 million, or 8%. The increase in the cost of labor and chemicals is primarily driven by an increase in labor and benefits of approximately $3.6 million and an increase in wash chemicals and supplies of approximately $1.2 million during the three months ended September 30, 2022, both attributable to an increase in volume and the</w:t>
      </w: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5" w:right="279" w:bottom="1440" w:gutter="0" w:footer="0" w:header="0"/>
        </w:sectPr>
      </w:pPr>
    </w:p>
    <w:bookmarkStart w:id="30" w:name="page31"/>
    <w:bookmarkEnd w:id="30"/>
    <w:p>
      <w:pPr>
        <w:jc w:val="both"/>
        <w:ind w:right="340"/>
        <w:spacing w:after="0" w:line="255" w:lineRule="auto"/>
        <w:rPr>
          <w:sz w:val="20"/>
          <w:szCs w:val="20"/>
          <w:color w:val="auto"/>
        </w:rPr>
      </w:pPr>
      <w:r>
        <w:rPr>
          <w:rFonts w:ascii="Arial" w:cs="Arial" w:eastAsia="Arial" w:hAnsi="Arial"/>
          <w:sz w:val="18"/>
          <w:szCs w:val="18"/>
          <w:color w:val="auto"/>
        </w:rPr>
        <w:t>year-over-year addition of 60 locations, as well as some inflationary pressures on both our labor and chemicals. As a percentage of net revenues, costs of labor and chemicals for the three months ended September 30, 2022 decreased by approximately 2% due to improved labor staffing and express volume mix as compared to the prior year period.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i w:val="1"/>
                <w:iCs w:val="1"/>
                <w:color w:val="auto"/>
              </w:rPr>
              <w:t>Other Store Operating Expenses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w w:val="95"/>
              </w:rPr>
              <w:t>Three Months Ended September 30,</w:t>
            </w:r>
          </w:p>
        </w:tc>
        <w:tc>
          <w:tcPr>
            <w:tcW w:w="240" w:type="dxa"/>
            <w:vAlign w:val="bottom"/>
          </w:tcPr>
          <w:p>
            <w:pPr>
              <w:spacing w:after="0"/>
              <w:rPr>
                <w:sz w:val="24"/>
                <w:szCs w:val="24"/>
                <w:color w:val="auto"/>
              </w:rPr>
            </w:pPr>
          </w:p>
        </w:tc>
        <w:tc>
          <w:tcPr>
            <w:tcW w:w="12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4"/>
                <w:szCs w:val="24"/>
                <w:color w:val="auto"/>
              </w:rPr>
            </w:pPr>
          </w:p>
        </w:tc>
        <w:tc>
          <w:tcPr>
            <w:tcW w:w="1800" w:type="dxa"/>
            <w:vAlign w:val="bottom"/>
            <w:gridSpan w:val="2"/>
            <w:vMerge w:val="restart"/>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640" w:type="dxa"/>
            <w:vAlign w:val="bottom"/>
          </w:tcPr>
          <w:p>
            <w:pPr>
              <w:ind w:left="86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82,343</w:t>
            </w:r>
          </w:p>
        </w:tc>
        <w:tc>
          <w:tcPr>
            <w:tcW w:w="3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68,435</w:t>
            </w:r>
          </w:p>
        </w:tc>
        <w:tc>
          <w:tcPr>
            <w:tcW w:w="3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13,908</w:t>
            </w:r>
          </w:p>
        </w:tc>
        <w:tc>
          <w:tcPr>
            <w:tcW w:w="34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38 %</w:t>
            </w:r>
          </w:p>
        </w:tc>
        <w:tc>
          <w:tcPr>
            <w:tcW w:w="36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35 %</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Other store operating expenses were $82.3 million for the three months ended September 30, 2022 compared to $68.4 million for the three months ended September 30, 2021, an increase of $13.9 million, or 20%. The increase in other store operating expenses was attributable to the year-over-year addition of 60 locations and some inflationary pressures on our utilities and maintenance expenses. Rent expense increased approximately $2.9 million with the addition of 49 new land and building leases.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4"/>
              </w:rPr>
              <w:t>Three Months Ended September 30,</w:t>
            </w:r>
          </w:p>
        </w:tc>
        <w:tc>
          <w:tcPr>
            <w:tcW w:w="280" w:type="dxa"/>
            <w:vAlign w:val="bottom"/>
          </w:tcPr>
          <w:p>
            <w:pPr>
              <w:spacing w:after="0"/>
              <w:rPr>
                <w:sz w:val="24"/>
                <w:szCs w:val="24"/>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4"/>
                <w:szCs w:val="24"/>
                <w:color w:val="auto"/>
              </w:rPr>
            </w:pPr>
          </w:p>
        </w:tc>
        <w:tc>
          <w:tcPr>
            <w:tcW w:w="1860" w:type="dxa"/>
            <w:vAlign w:val="bottom"/>
            <w:gridSpan w:val="2"/>
            <w:vMerge w:val="restart"/>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620" w:type="dxa"/>
            <w:vAlign w:val="bottom"/>
          </w:tcPr>
          <w:p>
            <w:pPr>
              <w:ind w:left="84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24,743</w:t>
            </w:r>
          </w:p>
        </w:tc>
        <w:tc>
          <w:tcPr>
            <w:tcW w:w="3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22,166</w:t>
            </w: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3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11 %</w:t>
            </w:r>
          </w:p>
        </w:tc>
        <w:tc>
          <w:tcPr>
            <w:tcW w:w="3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11 %</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400" w:firstLine="509"/>
        <w:spacing w:after="0" w:line="249" w:lineRule="auto"/>
        <w:rPr>
          <w:sz w:val="20"/>
          <w:szCs w:val="20"/>
          <w:color w:val="auto"/>
        </w:rPr>
      </w:pPr>
      <w:r>
        <w:rPr>
          <w:rFonts w:ascii="Arial" w:cs="Arial" w:eastAsia="Arial" w:hAnsi="Arial"/>
          <w:sz w:val="18"/>
          <w:szCs w:val="18"/>
          <w:color w:val="auto"/>
        </w:rPr>
        <w:t>General and administrative expenses were $24.7 million for the three months ended September 30, 2022 compared to $22.2 million for the three months ended September 30, 2021, an increase of $2.6 million, or 12%. The increase in general and administrative expenses was primarily driven by an increase of approximately $0.9 million in salaries and benefits and an increase of approximately $2.4 million in other costs, which were primarily attributable to the increased costs of being a public company and increase in corporate headcount. These increases were offset by a decrease of approximately $0.7 million in stock-based compensation costs.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(Gain) Loss on Sale of Assets</w:t>
            </w: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80" w:type="dxa"/>
            <w:vAlign w:val="bottom"/>
          </w:tcPr>
          <w:p>
            <w:pPr>
              <w:spacing w:after="0"/>
              <w:rPr>
                <w:sz w:val="24"/>
                <w:szCs w:val="24"/>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vMerge w:val="restart"/>
          </w:tcPr>
          <w:p>
            <w:pPr>
              <w:jc w:val="right"/>
              <w:ind w:right="621"/>
              <w:spacing w:after="0"/>
              <w:rPr>
                <w:sz w:val="20"/>
                <w:szCs w:val="20"/>
                <w:color w:val="auto"/>
              </w:rPr>
            </w:pPr>
            <w:r>
              <w:rPr>
                <w:rFonts w:ascii="Arial" w:cs="Arial" w:eastAsia="Arial" w:hAnsi="Arial"/>
                <w:sz w:val="18"/>
                <w:szCs w:val="18"/>
                <w:b w:val="1"/>
                <w:bCs w:val="1"/>
                <w:color w:val="auto"/>
              </w:rPr>
              <w:t>$ Change</w:t>
            </w:r>
          </w:p>
        </w:tc>
        <w:tc>
          <w:tcPr>
            <w:tcW w:w="1780" w:type="dxa"/>
            <w:vAlign w:val="bottom"/>
            <w:gridSpan w:val="2"/>
            <w:vMerge w:val="restart"/>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680" w:type="dxa"/>
            <w:vAlign w:val="bottom"/>
          </w:tcPr>
          <w:p>
            <w:pPr>
              <w:ind w:left="880"/>
              <w:spacing w:after="0"/>
              <w:rPr>
                <w:sz w:val="20"/>
                <w:szCs w:val="20"/>
                <w:color w:val="auto"/>
              </w:rPr>
            </w:pPr>
            <w:r>
              <w:rPr>
                <w:rFonts w:ascii="Arial" w:cs="Arial" w:eastAsia="Arial" w:hAnsi="Arial"/>
                <w:sz w:val="18"/>
                <w:szCs w:val="18"/>
                <w:b w:val="1"/>
                <w:bCs w:val="1"/>
                <w:color w:val="auto"/>
              </w:rPr>
              <w:t>(Dollars in thousands)</w:t>
            </w: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20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20"/>
              <w:spacing w:after="0"/>
              <w:rPr>
                <w:sz w:val="20"/>
                <w:szCs w:val="20"/>
                <w:color w:val="auto"/>
              </w:rPr>
            </w:pPr>
            <w:r>
              <w:rPr>
                <w:rFonts w:ascii="Arial" w:cs="Arial" w:eastAsia="Arial" w:hAnsi="Arial"/>
                <w:sz w:val="18"/>
                <w:szCs w:val="18"/>
                <w:color w:val="auto"/>
              </w:rPr>
              <w:t>(Gain) loss on sale of assets</w:t>
            </w:r>
          </w:p>
        </w:tc>
        <w:tc>
          <w:tcPr>
            <w:tcW w:w="122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4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2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(0 )%</w:t>
            </w:r>
          </w:p>
        </w:tc>
        <w:tc>
          <w:tcPr>
            <w:tcW w:w="118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0 %</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(Gain) loss on sale of assets reflected a gain of $0.6 million for the three months ended September 30, 2022 compared to a loss of $0.7 million for the three months ended September 30, 2021, a decrease of $1.4 million, or 187%. The decrease in (gain) loss on sale of assets was primarily driven by gains associated with our sale-leaseback transactions in the current year.</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4"/>
              </w:rPr>
              <w:t>Three Months Ended September 30,</w:t>
            </w:r>
          </w:p>
        </w:tc>
        <w:tc>
          <w:tcPr>
            <w:tcW w:w="280" w:type="dxa"/>
            <w:vAlign w:val="bottom"/>
          </w:tcPr>
          <w:p>
            <w:pPr>
              <w:spacing w:after="0"/>
              <w:rPr>
                <w:sz w:val="24"/>
                <w:szCs w:val="24"/>
                <w:color w:val="auto"/>
              </w:rPr>
            </w:pPr>
          </w:p>
        </w:tc>
        <w:tc>
          <w:tcPr>
            <w:tcW w:w="13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4"/>
                <w:szCs w:val="24"/>
                <w:color w:val="auto"/>
              </w:rPr>
            </w:pPr>
          </w:p>
        </w:tc>
        <w:tc>
          <w:tcPr>
            <w:tcW w:w="1920" w:type="dxa"/>
            <w:vAlign w:val="bottom"/>
            <w:gridSpan w:val="2"/>
            <w:vMerge w:val="restart"/>
          </w:tcPr>
          <w:p>
            <w:pPr>
              <w:jc w:val="right"/>
              <w:ind w:right="5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56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10,100</w:t>
            </w:r>
          </w:p>
        </w:tc>
        <w:tc>
          <w:tcPr>
            <w:tcW w:w="360" w:type="dxa"/>
            <w:vAlign w:val="bottom"/>
          </w:tcPr>
          <w:p>
            <w:pPr>
              <w:spacing w:after="0"/>
              <w:rPr>
                <w:sz w:val="18"/>
                <w:szCs w:val="18"/>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30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4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c>
          <w:tcPr>
            <w:tcW w:w="3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3 %</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7" w:lineRule="exact"/>
        <w:rPr>
          <w:sz w:val="20"/>
          <w:szCs w:val="20"/>
          <w:color w:val="auto"/>
        </w:rPr>
      </w:pPr>
    </w:p>
    <w:p>
      <w:pPr>
        <w:jc w:val="both"/>
        <w:ind w:right="260" w:firstLine="509"/>
        <w:spacing w:after="0" w:line="245" w:lineRule="auto"/>
        <w:rPr>
          <w:sz w:val="20"/>
          <w:szCs w:val="20"/>
          <w:color w:val="auto"/>
        </w:rPr>
      </w:pPr>
      <w:r>
        <w:rPr>
          <w:rFonts w:ascii="Arial" w:cs="Arial" w:eastAsia="Arial" w:hAnsi="Arial"/>
          <w:sz w:val="18"/>
          <w:szCs w:val="18"/>
          <w:color w:val="auto"/>
        </w:rPr>
        <w:t>Other expense was $10.1 million for the three months ended September 30, 2022 compared to $5.7 million for the three months ended September 30, 2021, an increase of $4.4 million, or 77%. The increase in other expense was primarily driven by an increase in interest expense due to higher average interest rates and borrowing levels as compared to the prior year period.</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 (Benefit)</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60" w:type="dxa"/>
            <w:vAlign w:val="bottom"/>
          </w:tcPr>
          <w:p>
            <w:pPr>
              <w:spacing w:after="0"/>
              <w:rPr>
                <w:sz w:val="24"/>
                <w:szCs w:val="24"/>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4"/>
                <w:szCs w:val="24"/>
                <w:color w:val="auto"/>
              </w:rPr>
            </w:pPr>
          </w:p>
        </w:tc>
        <w:tc>
          <w:tcPr>
            <w:tcW w:w="1820" w:type="dxa"/>
            <w:vAlign w:val="bottom"/>
            <w:gridSpan w:val="2"/>
            <w:vMerge w:val="restart"/>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660" w:type="dxa"/>
            <w:vAlign w:val="bottom"/>
          </w:tcPr>
          <w:p>
            <w:pPr>
              <w:ind w:left="86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1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8,814</w:t>
            </w:r>
          </w:p>
        </w:tc>
        <w:tc>
          <w:tcPr>
            <w:tcW w:w="380" w:type="dxa"/>
            <w:vAlign w:val="bottom"/>
          </w:tcPr>
          <w:p>
            <w:pPr>
              <w:spacing w:after="0"/>
              <w:rPr>
                <w:sz w:val="18"/>
                <w:szCs w:val="18"/>
                <w:color w:val="auto"/>
              </w:rPr>
            </w:pPr>
          </w:p>
        </w:tc>
        <w:tc>
          <w:tcPr>
            <w:tcW w:w="120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6,440</w:t>
            </w: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30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4 %</w:t>
            </w:r>
          </w:p>
        </w:tc>
        <w:tc>
          <w:tcPr>
            <w:tcW w:w="1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340" w:firstLine="509"/>
        <w:spacing w:after="0" w:line="255" w:lineRule="auto"/>
        <w:rPr>
          <w:sz w:val="20"/>
          <w:szCs w:val="20"/>
          <w:color w:val="auto"/>
        </w:rPr>
      </w:pPr>
      <w:r>
        <w:rPr>
          <w:rFonts w:ascii="Arial" w:cs="Arial" w:eastAsia="Arial" w:hAnsi="Arial"/>
          <w:sz w:val="18"/>
          <w:szCs w:val="18"/>
          <w:color w:val="auto"/>
        </w:rPr>
        <w:t>Income tax provision was $8.8 million for the three months ended September 30, 2022 compared to $6.4 million for the three months ended September 30, 2021, an increase of $2.4 million, or 37%. The increase in income tax provision was primarily driven by reduced net, income tax benefits from equity awards.</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1"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 for the Nine Months Ended September 30, 2022 and 2021 (Unaudited)</w:t>
      </w:r>
    </w:p>
    <w:p>
      <w:pPr>
        <w:spacing w:after="0" w:line="12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unaudited results of operations data for the nine months ended September 30, 2022 and 2021 have been derived from the unaudited condensed consolidated financial statements included elsewhere in this Quarterly Report on Form 10-Q.</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w w:val="95"/>
              </w:rPr>
              <w:t>Nine Months Ended September 30,</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18"/>
                <w:szCs w:val="18"/>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 of Revenue</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18"/>
                <w:szCs w:val="18"/>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of Revenue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662,154</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100 %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566,898</w:t>
            </w: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431"/>
        </w:trPr>
        <w:tc>
          <w:tcPr>
            <w:tcW w:w="4760" w:type="dxa"/>
            <w:vAlign w:val="bottom"/>
          </w:tcPr>
          <w:p>
            <w:pPr>
              <w:ind w:left="20"/>
              <w:spacing w:after="0"/>
              <w:rPr>
                <w:sz w:val="20"/>
                <w:szCs w:val="20"/>
                <w:color w:val="auto"/>
              </w:rPr>
            </w:pPr>
            <w:r>
              <w:rPr>
                <w:rFonts w:ascii="Arial" w:cs="Arial" w:eastAsia="Arial" w:hAnsi="Arial"/>
                <w:sz w:val="18"/>
                <w:szCs w:val="18"/>
                <w:color w:val="auto"/>
              </w:rPr>
              <w:t>Store operating costs: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203,117</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31 %</w:t>
            </w:r>
          </w:p>
        </w:tc>
        <w:tc>
          <w:tcPr>
            <w:tcW w:w="2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203,051</w:t>
            </w: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239,173</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36 %</w:t>
            </w:r>
          </w:p>
        </w:tc>
        <w:tc>
          <w:tcPr>
            <w:tcW w:w="2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194,889</w:t>
            </w: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74,040</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226,015</w:t>
            </w: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(Gain) loss on sale of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(3,336 )</w:t>
            </w:r>
          </w:p>
        </w:tc>
        <w:tc>
          <w:tcPr>
            <w:tcW w:w="26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(5,559 )</w:t>
            </w:r>
          </w:p>
        </w:tc>
        <w:tc>
          <w:tcPr>
            <w:tcW w:w="2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512,994</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77 %</w:t>
            </w:r>
          </w:p>
        </w:tc>
        <w:tc>
          <w:tcPr>
            <w:tcW w:w="2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618,396</w:t>
            </w: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149,160</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23 %</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(51,498 )</w:t>
            </w:r>
          </w:p>
        </w:tc>
        <w:tc>
          <w:tcPr>
            <w:tcW w:w="2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27,028</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33,416</w:t>
            </w: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0 %</w:t>
            </w:r>
          </w:p>
        </w:tc>
        <w:tc>
          <w:tcPr>
            <w:tcW w:w="2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3,183</w:t>
            </w: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Arial" w:cs="Arial" w:eastAsia="Arial" w:hAnsi="Arial"/>
                <w:sz w:val="18"/>
                <w:szCs w:val="18"/>
                <w:color w:val="auto"/>
              </w:rPr>
              <w:t>Total other expense</w:t>
            </w: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27,028</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36,599</w:t>
            </w: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Arial" w:cs="Arial" w:eastAsia="Arial" w:hAnsi="Arial"/>
                <w:sz w:val="18"/>
                <w:szCs w:val="18"/>
                <w:color w:val="auto"/>
              </w:rPr>
              <w:t>Income (loss) before taxes</w:t>
            </w: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122,132</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(88,097 )</w:t>
            </w:r>
          </w:p>
        </w:tc>
        <w:tc>
          <w:tcPr>
            <w:tcW w:w="2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26,988</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(29,747 )</w:t>
            </w:r>
          </w:p>
        </w:tc>
        <w:tc>
          <w:tcPr>
            <w:tcW w:w="2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95,144</w:t>
            </w:r>
          </w:p>
        </w:tc>
        <w:tc>
          <w:tcPr>
            <w:tcW w:w="2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(58,350 )</w:t>
            </w:r>
          </w:p>
        </w:tc>
        <w:tc>
          <w:tcPr>
            <w:tcW w:w="2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-1857375</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-1583690</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-1301115</wp:posOffset>
            </wp:positionV>
            <wp:extent cx="7132320" cy="290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-735965</wp:posOffset>
            </wp:positionV>
            <wp:extent cx="7132320" cy="427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7"/>
              </w:rPr>
              <w:t>Nine Months Ended September 30,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8"/>
              </w:rPr>
              <w:t>$ Change</w:t>
            </w:r>
          </w:p>
        </w:tc>
        <w:tc>
          <w:tcPr>
            <w:tcW w:w="280" w:type="dxa"/>
            <w:vAlign w:val="bottom"/>
          </w:tcPr>
          <w:p>
            <w:pPr>
              <w:spacing w:after="0"/>
              <w:rPr>
                <w:sz w:val="24"/>
                <w:szCs w:val="24"/>
                <w:color w:val="auto"/>
              </w:rPr>
            </w:pPr>
          </w:p>
        </w:tc>
        <w:tc>
          <w:tcPr>
            <w:tcW w:w="15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 Change</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40" w:type="dxa"/>
            <w:vAlign w:val="bottom"/>
          </w:tcPr>
          <w:p>
            <w:pPr>
              <w:ind w:left="940"/>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662,154</w:t>
            </w: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566,898</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95,256</w:t>
            </w:r>
          </w:p>
        </w:tc>
        <w:tc>
          <w:tcPr>
            <w:tcW w:w="2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8"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Net revenues were $662.2 million for the nine months ended September 30, 2022 compared to $566.9 million for the nine months ended September 30, 2021, an increase of $95.3 million, or 17%. The increase in net revenues was primarily attributable to the increase in car wash sales due to growth in UWC Members and the year-over-year addition of 60 locations.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 and Chemicals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w w:val="97"/>
              </w:rPr>
              <w:t>Nine Months Ended September 30,</w:t>
            </w:r>
          </w:p>
        </w:tc>
        <w:tc>
          <w:tcPr>
            <w:tcW w:w="220" w:type="dxa"/>
            <w:vAlign w:val="bottom"/>
          </w:tcPr>
          <w:p>
            <w:pPr>
              <w:spacing w:after="0"/>
              <w:rPr>
                <w:sz w:val="20"/>
                <w:szCs w:val="20"/>
                <w:color w:val="auto"/>
              </w:rPr>
            </w:pPr>
          </w:p>
        </w:tc>
        <w:tc>
          <w:tcPr>
            <w:tcW w:w="13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0"/>
                <w:szCs w:val="20"/>
                <w:color w:val="auto"/>
              </w:rPr>
            </w:pPr>
          </w:p>
        </w:tc>
        <w:tc>
          <w:tcPr>
            <w:tcW w:w="15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 Change</w:t>
            </w: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900"/>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203,117</w:t>
            </w:r>
          </w:p>
        </w:tc>
        <w:tc>
          <w:tcPr>
            <w:tcW w:w="3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203,051</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34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31 %</w:t>
            </w:r>
          </w:p>
        </w:tc>
        <w:tc>
          <w:tcPr>
            <w:tcW w:w="40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36 %</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Cost of labor and chemicals was $203.1 million for the nine months ended September 30, 2022 compared to $203.1 million for the nine months ended September 30, 2021, an increase of less than $0.1 million, or 0%. The net change in the cost of labor and chemicals is primarily driven by an increase in labor and benefits of approximately $27.4 million and an increase in wash chemicals and supplies of approximately $3.9 million during the nine months ended September 30, 2022, both attributable to an increase in volume and the year-over-year addition of 60 locations, as well as some inflationary pressures on both our labor and chemicals. The prior year period reflected the recognition of stock-based compensation expense of $31.3 million related to our performance-based vesting stock options that vested on the consummation of our IPO in June 2021 which offset the current year increases. As a percentage of net revenues, costs of labor and chemicals for the nine months ended September 30, 2022 decreased by approximately 5% due to improved labor staffing and express volume mix as compared to the prior year period, as well as the prior year period recognition of stock-based compensation expense as noted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Store Operating Expenses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7"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w w:val="95"/>
              </w:rPr>
              <w:t>Nine Months Ended September 30,</w:t>
            </w:r>
          </w:p>
        </w:tc>
        <w:tc>
          <w:tcPr>
            <w:tcW w:w="260" w:type="dxa"/>
            <w:vAlign w:val="bottom"/>
          </w:tcPr>
          <w:p>
            <w:pPr>
              <w:spacing w:after="0"/>
              <w:rPr>
                <w:sz w:val="20"/>
                <w:szCs w:val="20"/>
                <w:color w:val="auto"/>
              </w:rPr>
            </w:pPr>
          </w:p>
        </w:tc>
        <w:tc>
          <w:tcPr>
            <w:tcW w:w="13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7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 Change</w:t>
            </w: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840"/>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239,173</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194,889</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44,284</w:t>
            </w:r>
          </w:p>
        </w:tc>
        <w:tc>
          <w:tcPr>
            <w:tcW w:w="2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30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36 %</w:t>
            </w:r>
          </w:p>
        </w:tc>
        <w:tc>
          <w:tcPr>
            <w:tcW w:w="3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34 %</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Other store operating expenses were $239.2 million for the nine months ended September 30, 2022 compared to $194.9 million for the nine months ended September 30, 2021, an increase of $44.3 million, or 23%. The increase in other store operating expenses was attributable to the year-over-year addition of 60 locations and some inflationary pressures on our utilities and maintenance expenses. Rent expense increased approximately $7.8 million with the addition of 49 new land and building leases.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w w:val="95"/>
              </w:rPr>
              <w:t>Nine Months Ended September 30,</w:t>
            </w:r>
          </w:p>
        </w:tc>
        <w:tc>
          <w:tcPr>
            <w:tcW w:w="260" w:type="dxa"/>
            <w:vAlign w:val="bottom"/>
          </w:tcPr>
          <w:p>
            <w:pPr>
              <w:spacing w:after="0"/>
              <w:rPr>
                <w:sz w:val="24"/>
                <w:szCs w:val="24"/>
                <w:color w:val="auto"/>
              </w:rPr>
            </w:pPr>
          </w:p>
        </w:tc>
        <w:tc>
          <w:tcPr>
            <w:tcW w:w="14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4"/>
                <w:szCs w:val="24"/>
                <w:color w:val="auto"/>
              </w:rPr>
            </w:pPr>
          </w:p>
        </w:tc>
        <w:tc>
          <w:tcPr>
            <w:tcW w:w="18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 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84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74,040</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226,015</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(151,975 )</w:t>
            </w:r>
          </w:p>
        </w:tc>
        <w:tc>
          <w:tcPr>
            <w:tcW w:w="20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38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40 %</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General and administrative expenses were $74.0 million for the nine months ended September 30, 2022 compared to $226.0 million for the nine months ended September 30, 2021, a decrease of $152.0 million, or 67%. The decrease in general and administrative expenses was primarily driven by the prior year recognition of stock-based compensation expense of $170.7 million related to the performance-based vesting stock options that vested on the consummation of our IPO in June 2021. This decrease was partially offset by an increase of approximately $5.9 million in salaries and benefits, an increase of approximately $5.5 million in stock-based compensation expense not related to the performance-based vesting stock options noted above, and an increase of approximately $6.2 million in other costs, which were primarily attributable to the increased costs of being a public company and increase in corporate headcount.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(Gain) Loss on Sale of Assets</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620" w:type="dxa"/>
            <w:vAlign w:val="bottom"/>
          </w:tcPr>
          <w:p>
            <w:pPr>
              <w:spacing w:after="0"/>
              <w:rPr>
                <w:sz w:val="24"/>
                <w:szCs w:val="24"/>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4"/>
                <w:szCs w:val="24"/>
                <w:color w:val="auto"/>
              </w:rPr>
            </w:pPr>
          </w:p>
        </w:tc>
        <w:tc>
          <w:tcPr>
            <w:tcW w:w="17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860"/>
              <w:spacing w:after="0"/>
              <w:rPr>
                <w:sz w:val="20"/>
                <w:szCs w:val="20"/>
                <w:color w:val="auto"/>
              </w:rPr>
            </w:pPr>
            <w:r>
              <w:rPr>
                <w:rFonts w:ascii="Arial" w:cs="Arial" w:eastAsia="Arial" w:hAnsi="Arial"/>
                <w:sz w:val="18"/>
                <w:szCs w:val="18"/>
                <w:b w:val="1"/>
                <w:bCs w:val="1"/>
                <w:color w:val="auto"/>
              </w:rPr>
              <w:t>(Dollars in thousands)</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8"/>
                <w:szCs w:val="18"/>
                <w:color w:val="auto"/>
              </w:rPr>
              <w:t>(Gain) loss on sale of assets</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(3,336 )</w:t>
            </w:r>
          </w:p>
        </w:tc>
        <w:tc>
          <w:tcPr>
            <w:tcW w:w="200" w:type="dxa"/>
            <w:vAlign w:val="bottom"/>
          </w:tcPr>
          <w:p>
            <w:pPr>
              <w:spacing w:after="0"/>
              <w:rPr>
                <w:sz w:val="18"/>
                <w:szCs w:val="18"/>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0"/>
              </w:rPr>
              <w:t>(5,559 )</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2,223</w:t>
            </w:r>
          </w:p>
        </w:tc>
        <w:tc>
          <w:tcPr>
            <w:tcW w:w="16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1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Gain on sale of assets was $3.3 million for the nine months ended September 30, 2022 compared to $5.6 million for the nine months ended September 30, 2021, a decrease of $2.2 million, or 40%. The (gain) loss on sale of assets was primarily driven by gains associated with our sale-leaseback transactions in both years.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5"/>
              </w:rPr>
              <w:t>Nine Months Ended September 30,</w:t>
            </w:r>
          </w:p>
        </w:tc>
        <w:tc>
          <w:tcPr>
            <w:tcW w:w="280" w:type="dxa"/>
            <w:vAlign w:val="bottom"/>
          </w:tcPr>
          <w:p>
            <w:pPr>
              <w:spacing w:after="0"/>
              <w:rPr>
                <w:sz w:val="24"/>
                <w:szCs w:val="24"/>
                <w:color w:val="auto"/>
              </w:rPr>
            </w:pPr>
          </w:p>
        </w:tc>
        <w:tc>
          <w:tcPr>
            <w:tcW w:w="15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4"/>
                <w:szCs w:val="24"/>
                <w:color w:val="auto"/>
              </w:rPr>
            </w:pPr>
          </w:p>
        </w:tc>
        <w:tc>
          <w:tcPr>
            <w:tcW w:w="18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 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27,028</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36,599</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(9,571 )</w:t>
            </w:r>
          </w:p>
        </w:tc>
        <w:tc>
          <w:tcPr>
            <w:tcW w:w="1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3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Other expense was $27.0 million for the nine months ended September 30, 2022 compared to $36.6 million for the nine months ended September 30, 2021, a decrease of $9.6 million, or 26%. The decrease in other expense was primarily driven by a $6.4 million reduction in interest expense, resulting from the June 2021 pay down of the First Lien Term Loan and the June 2021 pay-off of the Second Lien Term Loan and a $3.2 million loss on extinguishment of debt recorded in the prior year period.</w:t>
      </w: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 (Benefit)</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gridSpan w:val="6"/>
          </w:tcPr>
          <w:p>
            <w:pPr>
              <w:jc w:val="right"/>
              <w:ind w:right="990"/>
              <w:spacing w:after="0"/>
              <w:rPr>
                <w:sz w:val="20"/>
                <w:szCs w:val="20"/>
                <w:color w:val="auto"/>
              </w:rPr>
            </w:pPr>
            <w:r>
              <w:rPr>
                <w:rFonts w:ascii="Arial" w:cs="Arial" w:eastAsia="Arial" w:hAnsi="Arial"/>
                <w:sz w:val="18"/>
                <w:szCs w:val="18"/>
                <w:b w:val="1"/>
                <w:bCs w:val="1"/>
                <w:color w:val="auto"/>
                <w:w w:val="95"/>
              </w:rPr>
              <w:t>Nine Months Ended September 30,</w:t>
            </w:r>
          </w:p>
        </w:tc>
        <w:tc>
          <w:tcPr>
            <w:tcW w:w="14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4"/>
                <w:szCs w:val="24"/>
                <w:color w:val="auto"/>
              </w:rPr>
            </w:pPr>
          </w:p>
        </w:tc>
        <w:tc>
          <w:tcPr>
            <w:tcW w:w="17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 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860"/>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26,988</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(29,747 )</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56,735</w:t>
            </w: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3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38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jc w:val="both"/>
        <w:ind w:right="280" w:firstLine="509"/>
        <w:spacing w:after="0" w:line="255" w:lineRule="auto"/>
        <w:rPr>
          <w:sz w:val="20"/>
          <w:szCs w:val="20"/>
          <w:color w:val="auto"/>
        </w:rPr>
      </w:pPr>
      <w:r>
        <w:rPr>
          <w:rFonts w:ascii="Arial" w:cs="Arial" w:eastAsia="Arial" w:hAnsi="Arial"/>
          <w:sz w:val="18"/>
          <w:szCs w:val="18"/>
          <w:color w:val="auto"/>
        </w:rPr>
        <w:t>Income tax provision was $27.0 million for the nine months ended September 30, 2022 compared to a benefit of $29.7 million for the nine months ended September 30, 2021, an increase of $56.7 million, or 191%. The increase in income tax provision was primarily driven by increased income before taxes for the nine months ended September 30,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Our primary requirements for liquidity and capital are to fund our investments in our core business, to pursue greenfield expansion and acquisitions, and to service our indebtedness. Historically, these cash requirements have been met through funds raised by the sale of common equity, utilization of our Revolving Commitment, First Lien Term Loan, Second Lien Term Loan, sale-leaseback transactions, and cash provided by operations. As of September 30, 2022 and December 31, 2021, we had cash and cash equivalents of $74.9 million and $19.7 million, respectively, and $149.0 million and $149.5 million, respectivel</w:t>
      </w:r>
      <w:r>
        <w:rPr>
          <w:rFonts w:ascii="Arial" w:cs="Arial" w:eastAsia="Arial" w:hAnsi="Arial"/>
          <w:sz w:val="17"/>
          <w:szCs w:val="17"/>
          <w:color w:val="231F20"/>
        </w:rPr>
        <w:t>y,</w:t>
      </w:r>
      <w:r>
        <w:rPr>
          <w:rFonts w:ascii="Arial" w:cs="Arial" w:eastAsia="Arial" w:hAnsi="Arial"/>
          <w:sz w:val="17"/>
          <w:szCs w:val="17"/>
          <w:color w:val="auto"/>
        </w:rPr>
        <w:t xml:space="preserve"> of available borrowing capacity under our Revolving Commitment.</w:t>
      </w:r>
    </w:p>
    <w:p>
      <w:pPr>
        <w:spacing w:after="0" w:line="62"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color w:val="auto"/>
        </w:rPr>
        <w:t>In June 2021, we entered into Amendment No. 2, which increased the commitments under the Revolving Commitment from $75.0 million to $150.0 million. In June 2021, we made a voluntary prepayment of all outstanding balances under our Second Lien Term Loan, which included $242.7 million in outstanding principal and $6.1 million in accrued interest expense, and a voluntary prepayment of $190.4 million of outstanding principal under our First Lien Term Loan. These voluntary prepayments were funded with the net proceeds of our IPO and the Amended Second Lien Credit Agreement was terminated.</w:t>
      </w:r>
    </w:p>
    <w:p>
      <w:pPr>
        <w:spacing w:after="0" w:line="7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2021, in connection with the Clean Streak Ventures acquisition, we entered into Amendment No. 3, which increased the principal borrowings under the First Lien Term Loan by $290.0 million to $903.0 million. For a description of our credit facilities, please see Note 8 Debt in the unaudited condensed consolidated financial statements included elsewhere in this Quarterly Report on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we were in compliance with the covenants under the Amended A&amp;R First Lien Credit Agreement.</w:t>
      </w:r>
    </w:p>
    <w:p>
      <w:pPr>
        <w:spacing w:after="0" w:line="103"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We believe that our sources of liquidity and capital will be sufficient to finance our growth strategy and resulting operations, planned capital expenditures, and the additional expenses we expect to incur as a public company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2022 and 2021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summary cash flow information for the nine months ended September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8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Nine Months Ended September 30,</w:t>
            </w:r>
          </w:p>
        </w:tc>
      </w:tr>
      <w:tr>
        <w:trPr>
          <w:trHeight w:val="209"/>
        </w:trPr>
        <w:tc>
          <w:tcPr>
            <w:tcW w:w="6700" w:type="dxa"/>
            <w:vAlign w:val="bottom"/>
          </w:tcPr>
          <w:p>
            <w:pPr>
              <w:ind w:left="2400"/>
              <w:spacing w:after="0"/>
              <w:rPr>
                <w:sz w:val="20"/>
                <w:szCs w:val="20"/>
                <w:color w:val="auto"/>
              </w:rPr>
            </w:pPr>
            <w:r>
              <w:rPr>
                <w:rFonts w:ascii="Arial" w:cs="Arial" w:eastAsia="Arial" w:hAnsi="Arial"/>
                <w:sz w:val="18"/>
                <w:szCs w:val="18"/>
                <w:b w:val="1"/>
                <w:bCs w:val="1"/>
                <w:color w:val="auto"/>
              </w:rPr>
              <w:t>(Dollars in thousands)</w:t>
            </w:r>
          </w:p>
        </w:tc>
        <w:tc>
          <w:tcPr>
            <w:tcW w:w="4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185,453</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153,309</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18"/>
                <w:szCs w:val="18"/>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8"/>
                <w:szCs w:val="18"/>
                <w:color w:val="auto"/>
              </w:rPr>
              <w:t>(133,784 )</w:t>
            </w:r>
          </w:p>
        </w:tc>
        <w:tc>
          <w:tcPr>
            <w:tcW w:w="44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(90,458 )</w:t>
            </w:r>
          </w:p>
        </w:tc>
      </w:tr>
      <w:tr>
        <w:trPr>
          <w:trHeight w:val="216"/>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(18,221 )</w:t>
            </w:r>
          </w:p>
        </w:tc>
      </w:tr>
      <w:tr>
        <w:trPr>
          <w:trHeight w:val="209"/>
        </w:trPr>
        <w:tc>
          <w:tcPr>
            <w:tcW w:w="67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increase in cash and cash equivalents, and restricted cash</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55,089</w:t>
            </w:r>
          </w:p>
        </w:tc>
        <w:tc>
          <w:tcPr>
            <w:tcW w:w="46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44,630</w:t>
            </w:r>
          </w:p>
        </w:tc>
        <w:tc>
          <w:tcPr>
            <w:tcW w:w="100" w:type="dxa"/>
            <w:vAlign w:val="bottom"/>
            <w:tcBorders>
              <w:top w:val="single" w:sz="8" w:color="CFF0FC"/>
            </w:tcBorders>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-170815</wp:posOffset>
            </wp:positionV>
            <wp:extent cx="685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both"/>
        <w:ind w:right="420" w:firstLine="509"/>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consists of net income (loss) adjusted for certain non-cash items, including stock-based compensation expense, property and equipment depreciation, gains on the disposal of property and equipment, amortization of leased assets and deferred income taxes, as well as the effect of changes in other working capital amounts.</w:t>
      </w:r>
    </w:p>
    <w:p>
      <w:pPr>
        <w:spacing w:after="0" w:line="176" w:lineRule="exact"/>
        <w:rPr>
          <w:sz w:val="20"/>
          <w:szCs w:val="20"/>
          <w:color w:val="auto"/>
        </w:rPr>
      </w:pPr>
    </w:p>
    <w:p>
      <w:pPr>
        <w:ind w:right="180" w:firstLine="509"/>
        <w:spacing w:after="0" w:line="245" w:lineRule="auto"/>
        <w:rPr>
          <w:sz w:val="20"/>
          <w:szCs w:val="20"/>
          <w:color w:val="auto"/>
        </w:rPr>
      </w:pPr>
      <w:r>
        <w:rPr>
          <w:rFonts w:ascii="Arial" w:cs="Arial" w:eastAsia="Arial" w:hAnsi="Arial"/>
          <w:sz w:val="18"/>
          <w:szCs w:val="18"/>
          <w:color w:val="auto"/>
        </w:rPr>
        <w:t>For the nine months ended September 30, 2022, net cash provided by operating activities was $185.5 million and was comprised of net income of $95.1 million, increased by $111.3 million as a result of non-cash adjustments comprised primarily of stock-based compensation expense, depreciation and amortization expense, non-cash lease expense, deferred income taxes, a gain on disposal of</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51" w:right="239" w:bottom="1440" w:gutter="0" w:footer="0" w:header="0"/>
        </w:sectPr>
      </w:pPr>
    </w:p>
    <w:bookmarkStart w:id="35" w:name="page36"/>
    <w:bookmarkEnd w:id="35"/>
    <w:p>
      <w:pPr>
        <w:ind w:right="40"/>
        <w:spacing w:after="0" w:line="277" w:lineRule="auto"/>
        <w:rPr>
          <w:sz w:val="20"/>
          <w:szCs w:val="20"/>
          <w:color w:val="auto"/>
        </w:rPr>
      </w:pPr>
      <w:r>
        <w:rPr>
          <w:rFonts w:ascii="Arial" w:cs="Arial" w:eastAsia="Arial" w:hAnsi="Arial"/>
          <w:sz w:val="17"/>
          <w:szCs w:val="17"/>
          <w:color w:val="auto"/>
        </w:rPr>
        <w:t>property and equipment, and amortization of deferred financing costs. Changes in working capital balances decreased cash provided by operating activities by $21.0 million and were primarily driven by increases in the operating lease liability, other noncurrent assets and liabilities and prepaid expenses and other current assets, offset by a decrease in other receivables, accounts payable and accrued expenses.</w:t>
      </w:r>
    </w:p>
    <w:p>
      <w:pPr>
        <w:spacing w:after="0" w:line="15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For the nine months ended September 30, 2021, net cash provided by operating activities was $153.3 million and was comprised of net loss of $58.4 million, increased by $238.6 million as a result of non-cash adjustments comprised primarily of stock-based compensation expense, deferred income taxes, depreciation and amortization expense, non-cash lease expense, a gain on disposal of property and equipment, and a loss on extinguishment of debt.</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Changes in working capital balances increased cash provided by operating activities by $27.0 million and were primarily driven by decreases in the operating lease liability and other noncurrent assets and liabilities, and increases in accounts receivable, net and prepaid expenses and other current assets, partially offset by increases in accounts payable, accrued expenses, and a decrease in deferred revenue.</w:t>
      </w:r>
    </w:p>
    <w:p>
      <w:pPr>
        <w:spacing w:after="0" w:line="165"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net cash used in investing activities primarily consists of purchases and sale of property and equipment and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car washes.</w:t>
      </w:r>
    </w:p>
    <w:p>
      <w:pPr>
        <w:spacing w:after="0" w:line="18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For the nine months ended September 30, 2022, net cash used in investing activities was $133.8 million and was primarily comprised of investment in property and equipment to support our greenfield development and other initiatives and three acquisitions, partially offset by the sale of property and equipment.</w:t>
      </w:r>
    </w:p>
    <w:p>
      <w:pPr>
        <w:spacing w:after="0" w:line="197"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For the nine months ended September 30, 2021, net cash used in investing activities was $90.5 million and was comprised of purchases of property and equipment primarily to support our greenfield and other initiatives and three acquisitions, partially offset by the sale of property and equipment including sale-leaseback transactions.</w:t>
      </w:r>
    </w:p>
    <w:p>
      <w:pPr>
        <w:spacing w:after="0" w:line="183"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Our net cash used in financing activities primarily consists of proceeds and payments on our First Lien Term Loan, Second</w:t>
      </w:r>
      <w:r>
        <w:rPr>
          <w:rFonts w:ascii="Arial" w:cs="Arial" w:eastAsia="Arial" w:hAnsi="Arial"/>
          <w:sz w:val="18"/>
          <w:szCs w:val="18"/>
          <w:i w:val="1"/>
          <w:iCs w:val="1"/>
          <w:color w:val="auto"/>
        </w:rPr>
        <w:t xml:space="preserve"> </w:t>
      </w:r>
      <w:r>
        <w:rPr>
          <w:rFonts w:ascii="Arial" w:cs="Arial" w:eastAsia="Arial" w:hAnsi="Arial"/>
          <w:sz w:val="18"/>
          <w:szCs w:val="18"/>
          <w:color w:val="auto"/>
        </w:rPr>
        <w:t>Lien Term Loan, and Revolving Commitment, as well as proceeds from our IPO.</w:t>
      </w:r>
    </w:p>
    <w:p>
      <w:pPr>
        <w:spacing w:after="0" w:line="18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For the nine months ended September 30, 2022, net cash provided by financing activities was $3.4 million and was primarily comprised of proceeds from exercise of stock options, partially offset by payments on debt borrowings.</w:t>
      </w:r>
    </w:p>
    <w:p>
      <w:pPr>
        <w:spacing w:after="0" w:line="17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For the nine months ended September 30, 2021, net cash used in financing activities was $18.2 million and was primarily comprised of repayments of our First Lien Term Loan and Second Lien Term Loan and payments of issuance costs associated with our IPO, partially offset by proceeds from the consummation of our IPO in June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unaudited condensed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6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58"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The significant accounting policies and estimates used in preparation of the unaudited condensed consolidated financial statements are described in our 2021 10-K. There have been no material changes to our significant accounting policies during the three and nine months ended September 30, 2022.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4"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See the sections titled “Summary of Significant Accounting Policies—Recently issued accounting pronouncements not yet adopted” in Note 2 to our unaudited condensed consolidated financial statements included elsewhere in this Quarterly Report on Form 10-Q for a discussion of recent accounting pronouncements.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3"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September 30, 2022 and December 31, 2021, we had $901.2 million and $903.3 million, respectively, of variable rate debt outstanding under our First Lien Term Loan. Based on the balance outstanding under our First Lien Term Loan as of September 30, 2022, an increase or decrease of 100 basis points in the effective interest rate on the First Lien Term Loan would cause an increase or decrease in interest expense of approximately $9 million over the next 12 months.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2020, we entered into an interest rate swap to mitigate variability in forecasted interest payments on an amortizing notional of $550.0 million of our variable-rate First Lien Term Loan. We designated the interest rate swap as a pay-fixed, receive-floating interest rate swap instrument and are accounting for this derivative as a cash flow hedge. This interest rate swap matured on October 20,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have recently experienced the effects of inflation on our results of operations and financial condition. In light of the current inflationary market conditions, we cannot assure you that our results of operations and financial condition will not be materially impacted by inflation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Quarterly Report on Form 10-Q. Disclosure controls and procedures are designed to provide reasonable assurance that the information required to be disclosed in the reports that we file or submit under the Exchange Act has been appropriately recorded, processed, summarized and reported on a timely basis and are effective in ensuring that such information is accumulated and communicated to the Company’s management, including our Chief Executive Officer and Chief Financial Officer, as appropriate to allow timely decisions regarding required disclosure. Based on such evaluation, our Chief Executive Officer and Chief Financial Officer have concluded that, as of September 30, 2022,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7"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September 30, 2022 that have materially affected, or are reasonably likely to materially affect, our internal control over financial reporting.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from time to time subject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 We are not party to any material legal proceedings.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risk factors disclosed in Part I. Item 1A. "Risk Factors” and in Part II. Item 7. “Management’s Discussion and Analysis of Financial Condition and Results of Operations” of our 2021 10-K,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There have been no material changes to the risk factors described in Part I. Item 1A. "Risk Factors" of our 2021 10-K.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40" w:type="dxa"/>
            <w:vAlign w:val="bottom"/>
            <w:gridSpan w:val="13"/>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auto"/>
                <w:w w:val="97"/>
              </w:rPr>
              <w:t>Form</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13"/>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6"/>
                <w:szCs w:val="16"/>
                <w:color w:val="auto"/>
              </w:rPr>
              <w:t>2.1+ ^</w:t>
            </w:r>
          </w:p>
        </w:tc>
        <w:tc>
          <w:tcPr>
            <w:tcW w:w="140" w:type="dxa"/>
            <w:vAlign w:val="bottom"/>
          </w:tcPr>
          <w:p>
            <w:pPr>
              <w:spacing w:after="0"/>
              <w:rPr>
                <w:sz w:val="12"/>
                <w:szCs w:val="12"/>
                <w:color w:val="auto"/>
              </w:rPr>
            </w:pPr>
          </w:p>
        </w:tc>
        <w:tc>
          <w:tcPr>
            <w:tcW w:w="4800" w:type="dxa"/>
            <w:vAlign w:val="bottom"/>
            <w:gridSpan w:val="17"/>
          </w:tcPr>
          <w:p>
            <w:pPr>
              <w:spacing w:after="0" w:line="142" w:lineRule="exact"/>
              <w:rPr>
                <w:rFonts w:ascii="Arial" w:cs="Arial" w:eastAsia="Arial" w:hAnsi="Arial"/>
                <w:sz w:val="16"/>
                <w:szCs w:val="16"/>
                <w:color w:val="0000FF"/>
                <w:w w:val="96"/>
              </w:rPr>
            </w:pPr>
            <w:hyperlink r:id="rId251">
              <w:r>
                <w:rPr>
                  <w:rFonts w:ascii="Arial" w:cs="Arial" w:eastAsia="Arial" w:hAnsi="Arial"/>
                  <w:sz w:val="16"/>
                  <w:szCs w:val="16"/>
                  <w:color w:val="0000FF"/>
                  <w:w w:val="96"/>
                </w:rPr>
                <w:t>Equity Purchase Agreement, dated December 8, 2021, by and among</w:t>
              </w:r>
            </w:hyperlink>
          </w:p>
        </w:tc>
        <w:tc>
          <w:tcPr>
            <w:tcW w:w="860" w:type="dxa"/>
            <w:vAlign w:val="bottom"/>
          </w:tcPr>
          <w:p>
            <w:pPr>
              <w:jc w:val="center"/>
              <w:ind w:left="1"/>
              <w:spacing w:after="0" w:line="142" w:lineRule="exact"/>
              <w:rPr>
                <w:sz w:val="20"/>
                <w:szCs w:val="20"/>
                <w:color w:val="auto"/>
              </w:rPr>
            </w:pPr>
            <w:r>
              <w:rPr>
                <w:rFonts w:ascii="Arial" w:cs="Arial" w:eastAsia="Arial" w:hAnsi="Arial"/>
                <w:sz w:val="16"/>
                <w:szCs w:val="16"/>
                <w:color w:val="auto"/>
                <w:w w:val="95"/>
              </w:rPr>
              <w:t>10-Q</w:t>
            </w:r>
          </w:p>
        </w:tc>
        <w:tc>
          <w:tcPr>
            <w:tcW w:w="1120" w:type="dxa"/>
            <w:vAlign w:val="bottom"/>
          </w:tcPr>
          <w:p>
            <w:pPr>
              <w:jc w:val="center"/>
              <w:spacing w:after="0" w:line="142" w:lineRule="exact"/>
              <w:rPr>
                <w:sz w:val="20"/>
                <w:szCs w:val="20"/>
                <w:color w:val="auto"/>
              </w:rPr>
            </w:pPr>
            <w:r>
              <w:rPr>
                <w:rFonts w:ascii="Arial" w:cs="Arial" w:eastAsia="Arial" w:hAnsi="Arial"/>
                <w:sz w:val="16"/>
                <w:szCs w:val="16"/>
                <w:color w:val="auto"/>
                <w:w w:val="91"/>
              </w:rPr>
              <w:t>001-40542</w:t>
            </w:r>
          </w:p>
        </w:tc>
        <w:tc>
          <w:tcPr>
            <w:tcW w:w="900" w:type="dxa"/>
            <w:vAlign w:val="bottom"/>
          </w:tcPr>
          <w:p>
            <w:pPr>
              <w:jc w:val="center"/>
              <w:spacing w:after="0" w:line="142" w:lineRule="exact"/>
              <w:rPr>
                <w:sz w:val="20"/>
                <w:szCs w:val="20"/>
                <w:color w:val="auto"/>
              </w:rPr>
            </w:pPr>
            <w:r>
              <w:rPr>
                <w:rFonts w:ascii="Arial" w:cs="Arial" w:eastAsia="Arial" w:hAnsi="Arial"/>
                <w:sz w:val="16"/>
                <w:szCs w:val="16"/>
                <w:color w:val="auto"/>
                <w:w w:val="89"/>
              </w:rPr>
              <w:t>2.1</w:t>
            </w:r>
          </w:p>
        </w:tc>
        <w:tc>
          <w:tcPr>
            <w:tcW w:w="1160" w:type="dxa"/>
            <w:vAlign w:val="bottom"/>
          </w:tcPr>
          <w:p>
            <w:pPr>
              <w:jc w:val="center"/>
              <w:spacing w:after="0" w:line="142" w:lineRule="exact"/>
              <w:rPr>
                <w:sz w:val="20"/>
                <w:szCs w:val="20"/>
                <w:color w:val="auto"/>
              </w:rPr>
            </w:pPr>
            <w:r>
              <w:rPr>
                <w:rFonts w:ascii="Arial" w:cs="Arial" w:eastAsia="Arial" w:hAnsi="Arial"/>
                <w:sz w:val="16"/>
                <w:szCs w:val="16"/>
                <w:color w:val="auto"/>
                <w:w w:val="92"/>
              </w:rPr>
              <w:t>05/13/2022</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gridSpan w:val="17"/>
          </w:tcPr>
          <w:p>
            <w:pPr>
              <w:spacing w:after="0" w:line="155" w:lineRule="exact"/>
              <w:rPr>
                <w:rFonts w:ascii="Arial" w:cs="Arial" w:eastAsia="Arial" w:hAnsi="Arial"/>
                <w:sz w:val="16"/>
                <w:szCs w:val="16"/>
                <w:color w:val="0000FF"/>
                <w:w w:val="95"/>
              </w:rPr>
            </w:pPr>
            <w:hyperlink r:id="rId251">
              <w:r>
                <w:rPr>
                  <w:rFonts w:ascii="Arial" w:cs="Arial" w:eastAsia="Arial" w:hAnsi="Arial"/>
                  <w:sz w:val="16"/>
                  <w:szCs w:val="16"/>
                  <w:color w:val="0000FF"/>
                  <w:w w:val="95"/>
                </w:rPr>
                <w:t>Sunshine Acquisition Sub Corp., Clean Streak Ventures, LLC, MDKMH</w:t>
              </w:r>
            </w:hyperlink>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tcBorders>
              <w:top w:val="single" w:sz="8" w:color="0000FF"/>
            </w:tcBorders>
            <w:gridSpan w:val="15"/>
          </w:tcPr>
          <w:p>
            <w:pPr>
              <w:spacing w:after="0" w:line="142" w:lineRule="exact"/>
              <w:rPr>
                <w:rFonts w:ascii="Arial" w:cs="Arial" w:eastAsia="Arial" w:hAnsi="Arial"/>
                <w:sz w:val="16"/>
                <w:szCs w:val="16"/>
                <w:color w:val="0000FF"/>
                <w:w w:val="97"/>
              </w:rPr>
            </w:pPr>
            <w:hyperlink r:id="rId251">
              <w:r>
                <w:rPr>
                  <w:rFonts w:ascii="Arial" w:cs="Arial" w:eastAsia="Arial" w:hAnsi="Arial"/>
                  <w:sz w:val="16"/>
                  <w:szCs w:val="16"/>
                  <w:color w:val="0000FF"/>
                  <w:w w:val="97"/>
                </w:rPr>
                <w:t>Partners, Inc., Clean Streak Ventures Intermediate Holdco, LLC (the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8"/>
          </w:tcPr>
          <w:p>
            <w:pPr>
              <w:spacing w:after="0" w:line="155" w:lineRule="exact"/>
              <w:rPr>
                <w:rFonts w:ascii="Arial" w:cs="Arial" w:eastAsia="Arial" w:hAnsi="Arial"/>
                <w:sz w:val="16"/>
                <w:szCs w:val="16"/>
                <w:color w:val="0000FF"/>
                <w:w w:val="93"/>
              </w:rPr>
            </w:pPr>
            <w:hyperlink r:id="rId251">
              <w:r>
                <w:rPr>
                  <w:rFonts w:ascii="Arial" w:cs="Arial" w:eastAsia="Arial" w:hAnsi="Arial"/>
                  <w:sz w:val="16"/>
                  <w:szCs w:val="16"/>
                  <w:color w:val="0000FF"/>
                  <w:w w:val="93"/>
                </w:rPr>
                <w:t>“CSV Seller”), MKH Capital Partners Offshore Fund I, LP (the “CSV</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40" w:type="dxa"/>
            <w:vAlign w:val="bottom"/>
            <w:tcBorders>
              <w:bottom w:val="single" w:sz="8" w:color="0000FF"/>
            </w:tcBorders>
            <w:gridSpan w:val="9"/>
          </w:tcPr>
          <w:p>
            <w:pPr>
              <w:spacing w:after="0" w:line="142" w:lineRule="exact"/>
              <w:rPr>
                <w:rFonts w:ascii="Arial" w:cs="Arial" w:eastAsia="Arial" w:hAnsi="Arial"/>
                <w:sz w:val="16"/>
                <w:szCs w:val="16"/>
                <w:color w:val="0000FF"/>
                <w:w w:val="93"/>
              </w:rPr>
            </w:pPr>
            <w:hyperlink r:id="rId251">
              <w:r>
                <w:rPr>
                  <w:rFonts w:ascii="Arial" w:cs="Arial" w:eastAsia="Arial" w:hAnsi="Arial"/>
                  <w:sz w:val="16"/>
                  <w:szCs w:val="16"/>
                  <w:color w:val="0000FF"/>
                  <w:w w:val="93"/>
                </w:rPr>
                <w:t>Blocker Seller” and together with the CSV Seller, each a “Seller”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gridSpan w:val="17"/>
          </w:tcPr>
          <w:p>
            <w:pPr>
              <w:spacing w:after="0" w:line="155" w:lineRule="exact"/>
              <w:rPr>
                <w:rFonts w:ascii="Arial" w:cs="Arial" w:eastAsia="Arial" w:hAnsi="Arial"/>
                <w:sz w:val="16"/>
                <w:szCs w:val="16"/>
                <w:color w:val="0000FF"/>
                <w:w w:val="95"/>
              </w:rPr>
            </w:pPr>
            <w:hyperlink r:id="rId251">
              <w:r>
                <w:rPr>
                  <w:rFonts w:ascii="Arial" w:cs="Arial" w:eastAsia="Arial" w:hAnsi="Arial"/>
                  <w:sz w:val="16"/>
                  <w:szCs w:val="16"/>
                  <w:color w:val="0000FF"/>
                  <w:w w:val="95"/>
                </w:rPr>
                <w:t>together the “Sellers”), and Clean Streak Ventures Holdco, LLC, as the</w:t>
              </w:r>
            </w:hyperlink>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Borders>
              <w:top w:val="single" w:sz="8" w:color="0000FF"/>
              <w:bottom w:val="single" w:sz="8" w:color="0000EE"/>
            </w:tcBorders>
            <w:gridSpan w:val="4"/>
          </w:tcPr>
          <w:p>
            <w:pPr>
              <w:spacing w:after="0" w:line="155" w:lineRule="exact"/>
              <w:rPr>
                <w:rFonts w:ascii="Arial" w:cs="Arial" w:eastAsia="Arial" w:hAnsi="Arial"/>
                <w:sz w:val="16"/>
                <w:szCs w:val="16"/>
                <w:color w:val="0000FF"/>
                <w:w w:val="92"/>
              </w:rPr>
            </w:pPr>
            <w:hyperlink r:id="rId251">
              <w:r>
                <w:rPr>
                  <w:rFonts w:ascii="Arial" w:cs="Arial" w:eastAsia="Arial" w:hAnsi="Arial"/>
                  <w:sz w:val="16"/>
                  <w:szCs w:val="16"/>
                  <w:color w:val="0000FF"/>
                  <w:w w:val="92"/>
                </w:rPr>
                <w:t>representative of the Sellers</w:t>
              </w:r>
            </w:hyperlink>
          </w:p>
        </w:tc>
        <w:tc>
          <w:tcPr>
            <w:tcW w:w="27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40" w:type="dxa"/>
            <w:vAlign w:val="bottom"/>
          </w:tcPr>
          <w:p>
            <w:pPr>
              <w:ind w:left="20"/>
              <w:spacing w:after="0" w:line="182" w:lineRule="exact"/>
              <w:rPr>
                <w:sz w:val="20"/>
                <w:szCs w:val="20"/>
                <w:color w:val="auto"/>
              </w:rPr>
            </w:pPr>
            <w:r>
              <w:rPr>
                <w:rFonts w:ascii="Arial" w:cs="Arial" w:eastAsia="Arial" w:hAnsi="Arial"/>
                <w:sz w:val="16"/>
                <w:szCs w:val="16"/>
                <w:color w:val="auto"/>
              </w:rPr>
              <w:t>3.1</w:t>
            </w:r>
          </w:p>
        </w:tc>
        <w:tc>
          <w:tcPr>
            <w:tcW w:w="140" w:type="dxa"/>
            <w:vAlign w:val="bottom"/>
          </w:tcPr>
          <w:p>
            <w:pPr>
              <w:spacing w:after="0"/>
              <w:rPr>
                <w:sz w:val="15"/>
                <w:szCs w:val="15"/>
                <w:color w:val="auto"/>
              </w:rPr>
            </w:pPr>
          </w:p>
        </w:tc>
        <w:tc>
          <w:tcPr>
            <w:tcW w:w="1860" w:type="dxa"/>
            <w:vAlign w:val="bottom"/>
            <w:gridSpan w:val="4"/>
          </w:tcPr>
          <w:p>
            <w:pPr>
              <w:spacing w:after="0" w:line="182" w:lineRule="exact"/>
              <w:rPr>
                <w:rFonts w:ascii="Arial" w:cs="Arial" w:eastAsia="Arial" w:hAnsi="Arial"/>
                <w:sz w:val="18"/>
                <w:szCs w:val="18"/>
                <w:color w:val="0000FF"/>
                <w:w w:val="97"/>
              </w:rPr>
            </w:pPr>
            <w:hyperlink r:id="rId252">
              <w:r>
                <w:rPr>
                  <w:rFonts w:ascii="Arial" w:cs="Arial" w:eastAsia="Arial" w:hAnsi="Arial"/>
                  <w:sz w:val="18"/>
                  <w:szCs w:val="18"/>
                  <w:color w:val="0000FF"/>
                  <w:w w:val="97"/>
                </w:rPr>
                <w:t>Amended and Restated</w:t>
              </w:r>
            </w:hyperlink>
          </w:p>
        </w:tc>
        <w:tc>
          <w:tcPr>
            <w:tcW w:w="2940" w:type="dxa"/>
            <w:vAlign w:val="bottom"/>
            <w:gridSpan w:val="13"/>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Certificate of Incorporation of the</w:t>
              </w:r>
            </w:hyperlink>
          </w:p>
        </w:tc>
        <w:tc>
          <w:tcPr>
            <w:tcW w:w="860" w:type="dxa"/>
            <w:vAlign w:val="bottom"/>
          </w:tcPr>
          <w:p>
            <w:pPr>
              <w:jc w:val="center"/>
              <w:ind w:left="1"/>
              <w:spacing w:after="0" w:line="182" w:lineRule="exact"/>
              <w:rPr>
                <w:sz w:val="20"/>
                <w:szCs w:val="20"/>
                <w:color w:val="auto"/>
              </w:rPr>
            </w:pPr>
            <w:r>
              <w:rPr>
                <w:rFonts w:ascii="Arial" w:cs="Arial" w:eastAsia="Arial" w:hAnsi="Arial"/>
                <w:sz w:val="16"/>
                <w:szCs w:val="16"/>
                <w:color w:val="auto"/>
              </w:rPr>
              <w:t>8-K</w:t>
            </w:r>
          </w:p>
        </w:tc>
        <w:tc>
          <w:tcPr>
            <w:tcW w:w="1120" w:type="dxa"/>
            <w:vAlign w:val="bottom"/>
          </w:tcPr>
          <w:p>
            <w:pPr>
              <w:jc w:val="center"/>
              <w:spacing w:after="0" w:line="182" w:lineRule="exact"/>
              <w:rPr>
                <w:sz w:val="20"/>
                <w:szCs w:val="20"/>
                <w:color w:val="auto"/>
              </w:rPr>
            </w:pPr>
            <w:r>
              <w:rPr>
                <w:rFonts w:ascii="Arial" w:cs="Arial" w:eastAsia="Arial" w:hAnsi="Arial"/>
                <w:sz w:val="16"/>
                <w:szCs w:val="16"/>
                <w:color w:val="auto"/>
                <w:w w:val="91"/>
              </w:rPr>
              <w:t>001-40542</w:t>
            </w:r>
          </w:p>
        </w:tc>
        <w:tc>
          <w:tcPr>
            <w:tcW w:w="900" w:type="dxa"/>
            <w:vAlign w:val="bottom"/>
          </w:tcPr>
          <w:p>
            <w:pPr>
              <w:jc w:val="center"/>
              <w:spacing w:after="0" w:line="182" w:lineRule="exact"/>
              <w:rPr>
                <w:sz w:val="20"/>
                <w:szCs w:val="20"/>
                <w:color w:val="auto"/>
              </w:rPr>
            </w:pPr>
            <w:r>
              <w:rPr>
                <w:rFonts w:ascii="Arial" w:cs="Arial" w:eastAsia="Arial" w:hAnsi="Arial"/>
                <w:sz w:val="16"/>
                <w:szCs w:val="16"/>
                <w:color w:val="auto"/>
                <w:w w:val="89"/>
              </w:rPr>
              <w:t>3.2</w:t>
            </w:r>
          </w:p>
        </w:tc>
        <w:tc>
          <w:tcPr>
            <w:tcW w:w="1160" w:type="dxa"/>
            <w:vAlign w:val="bottom"/>
          </w:tcPr>
          <w:p>
            <w:pPr>
              <w:jc w:val="center"/>
              <w:spacing w:after="0" w:line="182" w:lineRule="exact"/>
              <w:rPr>
                <w:sz w:val="20"/>
                <w:szCs w:val="20"/>
                <w:color w:val="auto"/>
              </w:rPr>
            </w:pPr>
            <w:r>
              <w:rPr>
                <w:rFonts w:ascii="Arial" w:cs="Arial" w:eastAsia="Arial" w:hAnsi="Arial"/>
                <w:sz w:val="16"/>
                <w:szCs w:val="16"/>
                <w:color w:val="auto"/>
                <w:w w:val="92"/>
              </w:rPr>
              <w:t>06/01/2022</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4"/>
                <w:szCs w:val="14"/>
                <w:color w:val="auto"/>
              </w:rPr>
            </w:pPr>
          </w:p>
        </w:tc>
        <w:tc>
          <w:tcPr>
            <w:tcW w:w="418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252">
              <w:r>
                <w:rPr>
                  <w:rFonts w:ascii="Arial" w:cs="Arial" w:eastAsia="Arial" w:hAnsi="Arial"/>
                  <w:sz w:val="18"/>
                  <w:szCs w:val="18"/>
                  <w:color w:val="0000FF"/>
                </w:rPr>
                <w:t>Company</w:t>
              </w:r>
            </w:hyperlink>
          </w:p>
        </w:tc>
        <w:tc>
          <w:tcPr>
            <w:tcW w:w="40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restart"/>
          </w:tcPr>
          <w:p>
            <w:pPr>
              <w:jc w:val="center"/>
              <w:ind w:left="1"/>
              <w:spacing w:after="0"/>
              <w:rPr>
                <w:sz w:val="20"/>
                <w:szCs w:val="20"/>
                <w:color w:val="auto"/>
              </w:rPr>
            </w:pPr>
            <w:r>
              <w:rPr>
                <w:rFonts w:ascii="Arial" w:cs="Arial" w:eastAsia="Arial" w:hAnsi="Arial"/>
                <w:sz w:val="16"/>
                <w:szCs w:val="16"/>
                <w:color w:val="auto"/>
              </w:rPr>
              <w:t>8-K</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1"/>
              </w:rPr>
              <w:t>001-40542</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89"/>
              </w:rPr>
              <w:t>3.2</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w w:val="92"/>
              </w:rPr>
              <w:t>07/02/2021</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17"/>
          </w:tcPr>
          <w:p>
            <w:pPr>
              <w:spacing w:after="0" w:line="169" w:lineRule="exact"/>
              <w:rPr>
                <w:rFonts w:ascii="Arial" w:cs="Arial" w:eastAsia="Arial" w:hAnsi="Arial"/>
                <w:sz w:val="16"/>
                <w:szCs w:val="16"/>
                <w:color w:val="0000FF"/>
              </w:rPr>
            </w:pPr>
            <w:hyperlink r:id="rId253">
              <w:r>
                <w:rPr>
                  <w:rFonts w:ascii="Arial" w:cs="Arial" w:eastAsia="Arial" w:hAnsi="Arial"/>
                  <w:sz w:val="16"/>
                  <w:szCs w:val="16"/>
                  <w:color w:val="0000FF"/>
                </w:rPr>
                <w:t>Amended and Restated Bylaws of the Company</w:t>
              </w:r>
            </w:hyperlink>
          </w:p>
        </w:tc>
        <w:tc>
          <w:tcPr>
            <w:tcW w:w="8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ind w:left="20"/>
              <w:spacing w:after="0"/>
              <w:rPr>
                <w:sz w:val="20"/>
                <w:szCs w:val="20"/>
                <w:color w:val="auto"/>
              </w:rPr>
            </w:pPr>
            <w:r>
              <w:rPr>
                <w:rFonts w:ascii="Arial" w:cs="Arial" w:eastAsia="Arial" w:hAnsi="Arial"/>
                <w:sz w:val="16"/>
                <w:szCs w:val="16"/>
                <w:color w:val="auto"/>
              </w:rPr>
              <w:t>31.1</w:t>
            </w: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6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17"/>
          </w:tcPr>
          <w:p>
            <w:pPr>
              <w:spacing w:after="0" w:line="169" w:lineRule="exact"/>
              <w:rPr>
                <w:sz w:val="20"/>
                <w:szCs w:val="20"/>
                <w:color w:val="auto"/>
              </w:rPr>
            </w:pPr>
            <w:r>
              <w:rPr>
                <w:rFonts w:ascii="Arial" w:cs="Arial" w:eastAsia="Arial" w:hAnsi="Arial"/>
                <w:sz w:val="16"/>
                <w:szCs w:val="16"/>
                <w:color w:val="0000FF"/>
                <w:w w:val="95"/>
              </w:rPr>
              <w:t>Certification of Principal Executive Officer Pursuant to Rules 13a-14(a)</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80" w:type="dxa"/>
            <w:vAlign w:val="bottom"/>
            <w:tcBorders>
              <w:top w:val="single" w:sz="8" w:color="0000FF"/>
            </w:tcBorders>
            <w:gridSpan w:val="14"/>
          </w:tcPr>
          <w:p>
            <w:pPr>
              <w:spacing w:after="0" w:line="155" w:lineRule="exact"/>
              <w:rPr>
                <w:sz w:val="20"/>
                <w:szCs w:val="20"/>
                <w:color w:val="auto"/>
              </w:rPr>
            </w:pPr>
            <w:r>
              <w:rPr>
                <w:rFonts w:ascii="Arial" w:cs="Arial" w:eastAsia="Arial" w:hAnsi="Arial"/>
                <w:sz w:val="16"/>
                <w:szCs w:val="16"/>
                <w:color w:val="0000FF"/>
                <w:w w:val="93"/>
              </w:rPr>
              <w:t>and 15d-14(a) under the Securities Exchange Act of 1934, as Adopted</w:t>
            </w: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2"/>
                <w:szCs w:val="12"/>
                <w:color w:val="auto"/>
              </w:rPr>
            </w:pPr>
          </w:p>
        </w:tc>
        <w:tc>
          <w:tcPr>
            <w:tcW w:w="458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20" w:type="dxa"/>
            <w:vAlign w:val="bottom"/>
            <w:tcBorders>
              <w:right w:val="single" w:sz="8" w:color="0000EE"/>
            </w:tcBorders>
            <w:gridSpan w:val="4"/>
            <w:shd w:val="clear" w:color="auto" w:fill="0000F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17"/>
          </w:tcPr>
          <w:p>
            <w:pPr>
              <w:spacing w:after="0" w:line="169" w:lineRule="exact"/>
              <w:rPr>
                <w:sz w:val="20"/>
                <w:szCs w:val="20"/>
                <w:color w:val="auto"/>
              </w:rPr>
            </w:pPr>
            <w:r>
              <w:rPr>
                <w:rFonts w:ascii="Arial" w:cs="Arial" w:eastAsia="Arial" w:hAnsi="Arial"/>
                <w:sz w:val="16"/>
                <w:szCs w:val="16"/>
                <w:color w:val="0000FF"/>
                <w:w w:val="96"/>
              </w:rPr>
              <w:t>Certification of Principal Financial Officer Pursuant to Rules 13a-14(a)</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40" w:type="dxa"/>
            <w:vAlign w:val="bottom"/>
            <w:tcBorders>
              <w:top w:val="single" w:sz="8" w:color="0000FF"/>
            </w:tcBorders>
            <w:gridSpan w:val="13"/>
          </w:tcPr>
          <w:p>
            <w:pPr>
              <w:spacing w:after="0" w:line="155" w:lineRule="exact"/>
              <w:rPr>
                <w:sz w:val="20"/>
                <w:szCs w:val="20"/>
                <w:color w:val="auto"/>
              </w:rPr>
            </w:pPr>
            <w:r>
              <w:rPr>
                <w:rFonts w:ascii="Arial" w:cs="Arial" w:eastAsia="Arial" w:hAnsi="Arial"/>
                <w:sz w:val="16"/>
                <w:szCs w:val="16"/>
                <w:color w:val="0000FF"/>
                <w:w w:val="92"/>
              </w:rPr>
              <w:t>and 15d-14(a) under the Securities Exchange Act of 1934, as Adopted</w:t>
            </w: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2"/>
                <w:szCs w:val="12"/>
                <w:color w:val="auto"/>
              </w:rPr>
            </w:pPr>
          </w:p>
        </w:tc>
        <w:tc>
          <w:tcPr>
            <w:tcW w:w="458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c>
          <w:tcPr>
            <w:tcW w:w="10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20" w:type="dxa"/>
            <w:vAlign w:val="bottom"/>
            <w:tcBorders>
              <w:right w:val="single" w:sz="8" w:color="0000EE"/>
            </w:tcBorders>
            <w:gridSpan w:val="4"/>
            <w:shd w:val="clear" w:color="auto" w:fill="0000FF"/>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17"/>
          </w:tcPr>
          <w:p>
            <w:pPr>
              <w:spacing w:after="0" w:line="169" w:lineRule="exact"/>
              <w:rPr>
                <w:sz w:val="20"/>
                <w:szCs w:val="20"/>
                <w:color w:val="auto"/>
              </w:rPr>
            </w:pPr>
            <w:r>
              <w:rPr>
                <w:rFonts w:ascii="Arial" w:cs="Arial" w:eastAsia="Arial" w:hAnsi="Arial"/>
                <w:sz w:val="16"/>
                <w:szCs w:val="16"/>
                <w:color w:val="0000FF"/>
                <w:w w:val="93"/>
              </w:rPr>
              <w:t>Certification of Principal Executive Officer Pursuant to 18 U.S.C. Section</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tcBorders>
              <w:top w:val="single" w:sz="8" w:color="0000FF"/>
            </w:tcBorders>
            <w:gridSpan w:val="17"/>
          </w:tcPr>
          <w:p>
            <w:pPr>
              <w:spacing w:after="0" w:line="155" w:lineRule="exact"/>
              <w:rPr>
                <w:sz w:val="20"/>
                <w:szCs w:val="20"/>
                <w:color w:val="auto"/>
              </w:rPr>
            </w:pPr>
            <w:r>
              <w:rPr>
                <w:rFonts w:ascii="Arial" w:cs="Arial" w:eastAsia="Arial" w:hAnsi="Arial"/>
                <w:sz w:val="16"/>
                <w:szCs w:val="16"/>
                <w:color w:val="0000FF"/>
                <w:w w:val="93"/>
              </w:rPr>
              <w:t>1350, as Adopted Pursuant to Section 906 of the Sarbanes-Oxley Act of</w:t>
            </w: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79"/>
              </w:rPr>
              <w:t>2002.</w:t>
            </w:r>
          </w:p>
        </w:tc>
        <w:tc>
          <w:tcPr>
            <w:tcW w:w="20" w:type="dxa"/>
            <w:vAlign w:val="bottom"/>
            <w:tcBorders>
              <w:top w:val="single" w:sz="8" w:color="0000FF"/>
              <w:bottom w:val="single" w:sz="8" w:color="0000EE"/>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17"/>
          </w:tcPr>
          <w:p>
            <w:pPr>
              <w:spacing w:after="0" w:line="169" w:lineRule="exact"/>
              <w:rPr>
                <w:sz w:val="20"/>
                <w:szCs w:val="20"/>
                <w:color w:val="auto"/>
              </w:rPr>
            </w:pPr>
            <w:r>
              <w:rPr>
                <w:rFonts w:ascii="Arial" w:cs="Arial" w:eastAsia="Arial" w:hAnsi="Arial"/>
                <w:sz w:val="16"/>
                <w:szCs w:val="16"/>
                <w:color w:val="0000FF"/>
                <w:w w:val="94"/>
              </w:rPr>
              <w:t>Certification of Principal Financial Officer Pursuant to 18 U.S.C. Section</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top w:val="single" w:sz="8" w:color="0000FF"/>
            </w:tcBorders>
            <w:gridSpan w:val="16"/>
          </w:tcPr>
          <w:p>
            <w:pPr>
              <w:spacing w:after="0" w:line="155" w:lineRule="exact"/>
              <w:rPr>
                <w:sz w:val="20"/>
                <w:szCs w:val="20"/>
                <w:color w:val="auto"/>
              </w:rPr>
            </w:pPr>
            <w:r>
              <w:rPr>
                <w:rFonts w:ascii="Arial" w:cs="Arial" w:eastAsia="Arial" w:hAnsi="Arial"/>
                <w:sz w:val="16"/>
                <w:szCs w:val="16"/>
                <w:color w:val="0000FF"/>
                <w:w w:val="92"/>
              </w:rPr>
              <w:t>1350, as Adopted Pursuant to Section 906 of the Sarbanes-Oxley Act of</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79"/>
              </w:rPr>
              <w:t>2002.</w:t>
            </w:r>
          </w:p>
        </w:tc>
        <w:tc>
          <w:tcPr>
            <w:tcW w:w="20" w:type="dxa"/>
            <w:vAlign w:val="bottom"/>
            <w:tcBorders>
              <w:top w:val="single" w:sz="8" w:color="0000FF"/>
              <w:bottom w:val="single" w:sz="8" w:color="0000EE"/>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17"/>
          </w:tcPr>
          <w:p>
            <w:pPr>
              <w:spacing w:after="0" w:line="172" w:lineRule="exact"/>
              <w:rPr>
                <w:sz w:val="20"/>
                <w:szCs w:val="20"/>
                <w:color w:val="auto"/>
              </w:rPr>
            </w:pPr>
            <w:r>
              <w:rPr>
                <w:rFonts w:ascii="Arial" w:cs="Arial" w:eastAsia="Arial" w:hAnsi="Arial"/>
                <w:sz w:val="16"/>
                <w:szCs w:val="16"/>
                <w:color w:val="auto"/>
                <w:w w:val="90"/>
              </w:rPr>
              <w:t>Inline XBRL Instance Document – the instance document does not appear</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17"/>
          </w:tcPr>
          <w:p>
            <w:pPr>
              <w:spacing w:after="0" w:line="162" w:lineRule="exact"/>
              <w:rPr>
                <w:sz w:val="20"/>
                <w:szCs w:val="20"/>
                <w:color w:val="auto"/>
              </w:rPr>
            </w:pPr>
            <w:r>
              <w:rPr>
                <w:rFonts w:ascii="Arial" w:cs="Arial" w:eastAsia="Arial" w:hAnsi="Arial"/>
                <w:sz w:val="16"/>
                <w:szCs w:val="16"/>
                <w:color w:val="auto"/>
                <w:w w:val="93"/>
              </w:rPr>
              <w:t>in the Interactive Data File because XBRL tags are embedded within the</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0" w:type="dxa"/>
            <w:vAlign w:val="bottom"/>
            <w:gridSpan w:val="17"/>
          </w:tcPr>
          <w:p>
            <w:pPr>
              <w:spacing w:after="0"/>
              <w:rPr>
                <w:sz w:val="20"/>
                <w:szCs w:val="20"/>
                <w:color w:val="auto"/>
              </w:rPr>
            </w:pPr>
            <w:r>
              <w:rPr>
                <w:rFonts w:ascii="Arial" w:cs="Arial" w:eastAsia="Arial" w:hAnsi="Arial"/>
                <w:sz w:val="16"/>
                <w:szCs w:val="16"/>
                <w:color w:val="auto"/>
              </w:rPr>
              <w:t>Inline XBRL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16"/>
                <w:szCs w:val="16"/>
                <w:color w:val="auto"/>
              </w:rPr>
            </w:pPr>
          </w:p>
        </w:tc>
        <w:tc>
          <w:tcPr>
            <w:tcW w:w="4800" w:type="dxa"/>
            <w:vAlign w:val="bottom"/>
            <w:gridSpan w:val="17"/>
          </w:tcPr>
          <w:p>
            <w:pPr>
              <w:spacing w:after="0"/>
              <w:rPr>
                <w:sz w:val="20"/>
                <w:szCs w:val="20"/>
                <w:color w:val="auto"/>
              </w:rPr>
            </w:pPr>
            <w:r>
              <w:rPr>
                <w:rFonts w:ascii="Arial" w:cs="Arial" w:eastAsia="Arial" w:hAnsi="Arial"/>
                <w:sz w:val="16"/>
                <w:szCs w:val="16"/>
                <w:color w:val="auto"/>
              </w:rPr>
              <w:t>Inline XBRL Taxonomy Extension Schema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16"/>
                <w:szCs w:val="16"/>
                <w:color w:val="auto"/>
              </w:rPr>
            </w:pPr>
          </w:p>
        </w:tc>
        <w:tc>
          <w:tcPr>
            <w:tcW w:w="4800" w:type="dxa"/>
            <w:vAlign w:val="bottom"/>
            <w:gridSpan w:val="17"/>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16"/>
                <w:szCs w:val="16"/>
                <w:color w:val="auto"/>
              </w:rPr>
            </w:pPr>
          </w:p>
        </w:tc>
        <w:tc>
          <w:tcPr>
            <w:tcW w:w="4800" w:type="dxa"/>
            <w:vAlign w:val="bottom"/>
            <w:gridSpan w:val="17"/>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16"/>
                <w:szCs w:val="16"/>
                <w:color w:val="auto"/>
              </w:rPr>
            </w:pPr>
          </w:p>
        </w:tc>
        <w:tc>
          <w:tcPr>
            <w:tcW w:w="4800" w:type="dxa"/>
            <w:vAlign w:val="bottom"/>
            <w:gridSpan w:val="17"/>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16"/>
                <w:szCs w:val="16"/>
                <w:color w:val="auto"/>
              </w:rPr>
            </w:pPr>
          </w:p>
        </w:tc>
        <w:tc>
          <w:tcPr>
            <w:tcW w:w="4800" w:type="dxa"/>
            <w:vAlign w:val="bottom"/>
            <w:gridSpan w:val="17"/>
          </w:tcPr>
          <w:p>
            <w:pPr>
              <w:spacing w:after="0"/>
              <w:rPr>
                <w:sz w:val="20"/>
                <w:szCs w:val="20"/>
                <w:color w:val="auto"/>
              </w:rPr>
            </w:pPr>
            <w:r>
              <w:rPr>
                <w:rFonts w:ascii="Arial" w:cs="Arial" w:eastAsia="Arial" w:hAnsi="Arial"/>
                <w:sz w:val="16"/>
                <w:szCs w:val="16"/>
                <w:color w:val="auto"/>
                <w:w w:val="99"/>
              </w:rPr>
              <w:t>Inline XBRL Taxonomy Extension Presentation Linkbase Document</w:t>
            </w: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840" w:type="dxa"/>
            <w:vAlign w:val="bottom"/>
          </w:tcPr>
          <w:p>
            <w:pPr>
              <w:ind w:left="20"/>
              <w:spacing w:after="0" w:line="175" w:lineRule="exact"/>
              <w:rPr>
                <w:sz w:val="20"/>
                <w:szCs w:val="20"/>
                <w:color w:val="auto"/>
              </w:rPr>
            </w:pPr>
            <w:r>
              <w:rPr>
                <w:rFonts w:ascii="Arial" w:cs="Arial" w:eastAsia="Arial" w:hAnsi="Arial"/>
                <w:sz w:val="16"/>
                <w:szCs w:val="16"/>
                <w:color w:val="auto"/>
              </w:rPr>
              <w:t>104</w:t>
            </w:r>
          </w:p>
        </w:tc>
        <w:tc>
          <w:tcPr>
            <w:tcW w:w="140" w:type="dxa"/>
            <w:vAlign w:val="bottom"/>
          </w:tcPr>
          <w:p>
            <w:pPr>
              <w:spacing w:after="0"/>
              <w:rPr>
                <w:sz w:val="15"/>
                <w:szCs w:val="15"/>
                <w:color w:val="auto"/>
              </w:rPr>
            </w:pPr>
          </w:p>
        </w:tc>
        <w:tc>
          <w:tcPr>
            <w:tcW w:w="4800" w:type="dxa"/>
            <w:vAlign w:val="bottom"/>
            <w:gridSpan w:val="17"/>
          </w:tcPr>
          <w:p>
            <w:pPr>
              <w:spacing w:after="0" w:line="175" w:lineRule="exact"/>
              <w:rPr>
                <w:sz w:val="20"/>
                <w:szCs w:val="20"/>
                <w:color w:val="auto"/>
              </w:rPr>
            </w:pPr>
            <w:r>
              <w:rPr>
                <w:rFonts w:ascii="Arial" w:cs="Arial" w:eastAsia="Arial" w:hAnsi="Arial"/>
                <w:sz w:val="16"/>
                <w:szCs w:val="16"/>
                <w:color w:val="auto"/>
              </w:rPr>
              <w:t>Cover Page Interactive Data File (embedded within the Inline XBRL</w:t>
            </w: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jc w:val="cente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0" w:type="dxa"/>
            <w:vAlign w:val="bottom"/>
            <w:gridSpan w:val="17"/>
          </w:tcPr>
          <w:p>
            <w:pPr>
              <w:spacing w:after="0"/>
              <w:rPr>
                <w:sz w:val="20"/>
                <w:szCs w:val="20"/>
                <w:color w:val="auto"/>
              </w:rPr>
            </w:pPr>
            <w:r>
              <w:rPr>
                <w:rFonts w:ascii="Arial" w:cs="Arial" w:eastAsia="Arial" w:hAnsi="Arial"/>
                <w:sz w:val="16"/>
                <w:szCs w:val="16"/>
                <w:color w:val="auto"/>
              </w:rPr>
              <w:t>document)</w:t>
            </w: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9505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03" w:lineRule="exact"/>
        <w:rPr>
          <w:sz w:val="20"/>
          <w:szCs w:val="20"/>
          <w:color w:val="auto"/>
        </w:rPr>
      </w:pPr>
    </w:p>
    <w:p>
      <w:pPr>
        <w:ind w:left="520" w:right="360" w:hanging="512"/>
        <w:spacing w:after="0" w:line="277" w:lineRule="auto"/>
        <w:tabs>
          <w:tab w:leader="none" w:pos="3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The Company undertakes to furnish supplemental copies of any of the omitted schedules upon request by the SEC.</w:t>
      </w:r>
    </w:p>
    <w:p>
      <w:pPr>
        <w:spacing w:after="0" w:line="48" w:lineRule="exact"/>
        <w:rPr>
          <w:sz w:val="20"/>
          <w:szCs w:val="20"/>
          <w:color w:val="auto"/>
        </w:rPr>
      </w:pPr>
    </w:p>
    <w:p>
      <w:pPr>
        <w:ind w:left="5540" w:right="4200" w:hanging="5532"/>
        <w:spacing w:after="0" w:line="423" w:lineRule="auto"/>
        <w:tabs>
          <w:tab w:leader="none" w:pos="3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Item 601(b)(10)(iv) of Regulation S-K.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39" w:name="page40"/>
    <w:bookmarkEnd w:id="39"/>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Mister Car Wash, Inc.</w:t>
      </w:r>
    </w:p>
    <w:p>
      <w:pPr>
        <w:sectPr>
          <w:pgSz w:w="11900" w:h="16838" w:orient="portrait"/>
          <w:cols w:equalWidth="0" w:num="1">
            <w:col w:w="10780"/>
          </w:cols>
          <w:pgMar w:left="320" w:top="323" w:right="799" w:bottom="1440" w:gutter="0" w:footer="0" w:header="0"/>
        </w:sect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10, 2022</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60"/>
        <w:spacing w:after="0"/>
        <w:tabs>
          <w:tab w:leader="none" w:pos="2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14605</wp:posOffset>
            </wp:positionV>
            <wp:extent cx="33051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18"/>
          <w:szCs w:val="18"/>
          <w:color w:val="auto"/>
        </w:rPr>
        <w:t>John Lai</w:t>
      </w:r>
    </w:p>
    <w:p>
      <w:pPr>
        <w:jc w:val="center"/>
        <w:ind w:left="-159"/>
        <w:spacing w:after="0"/>
        <w:rPr>
          <w:sz w:val="20"/>
          <w:szCs w:val="20"/>
          <w:color w:val="auto"/>
        </w:rPr>
      </w:pPr>
      <w:r>
        <w:rPr>
          <w:rFonts w:ascii="Arial" w:cs="Arial" w:eastAsia="Arial" w:hAnsi="Arial"/>
          <w:sz w:val="16"/>
          <w:szCs w:val="16"/>
          <w:color w:val="auto"/>
        </w:rPr>
        <w:t>Chairperson, President and Chief Executive Officer</w:t>
      </w:r>
    </w:p>
    <w:p>
      <w:pPr>
        <w:spacing w:after="0" w:line="5"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160"/>
        <w:spacing w:after="0"/>
        <w:tabs>
          <w:tab w:leader="none" w:pos="2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14605</wp:posOffset>
            </wp:positionV>
            <wp:extent cx="33051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8"/>
          <w:szCs w:val="18"/>
          <w:color w:val="auto"/>
        </w:rPr>
        <w:t>Jedidiah Gold</w:t>
      </w:r>
    </w:p>
    <w:p>
      <w:pPr>
        <w:jc w:val="center"/>
        <w:ind w:left="-159"/>
        <w:spacing w:after="0" w:line="218"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(Principal Financial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61595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5240"/>
          </w:cols>
          <w:pgMar w:left="320" w:top="323" w:right="79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John Lai, certify that:</w:t>
      </w:r>
    </w:p>
    <w:p>
      <w:pPr>
        <w:spacing w:after="0" w:line="21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2022 of Mister Car Wash, Inc.;</w:t>
      </w:r>
    </w:p>
    <w:p>
      <w:pPr>
        <w:spacing w:after="0" w:line="211" w:lineRule="exact"/>
        <w:rPr>
          <w:rFonts w:ascii="Arial" w:cs="Arial" w:eastAsia="Arial" w:hAnsi="Arial"/>
          <w:sz w:val="18"/>
          <w:szCs w:val="18"/>
          <w:color w:val="auto"/>
        </w:rPr>
      </w:pPr>
    </w:p>
    <w:p>
      <w:pPr>
        <w:jc w:val="both"/>
        <w:ind w:left="520" w:right="260" w:hanging="512"/>
        <w:spacing w:after="0" w:line="255"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520" w:right="240" w:hanging="512"/>
        <w:spacing w:after="0" w:line="290"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ind w:left="520" w:right="28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right="100" w:hanging="479"/>
        <w:spacing w:after="0" w:line="255" w:lineRule="auto"/>
        <w:tabs>
          <w:tab w:leader="none" w:pos="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900" w:hanging="359"/>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[omitted];</w:t>
      </w:r>
    </w:p>
    <w:p>
      <w:pPr>
        <w:spacing w:after="0" w:line="224" w:lineRule="exact"/>
        <w:rPr>
          <w:rFonts w:ascii="Arial" w:cs="Arial" w:eastAsia="Arial" w:hAnsi="Arial"/>
          <w:sz w:val="18"/>
          <w:szCs w:val="18"/>
          <w:color w:val="auto"/>
        </w:rPr>
      </w:pPr>
    </w:p>
    <w:p>
      <w:pPr>
        <w:ind w:left="1020" w:right="500" w:hanging="479"/>
        <w:spacing w:after="0" w:line="324" w:lineRule="auto"/>
        <w:tabs>
          <w:tab w:leader="none" w:pos="894"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80" w:hanging="479"/>
        <w:spacing w:after="0" w:line="255" w:lineRule="auto"/>
        <w:tabs>
          <w:tab w:leader="none" w:pos="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020" w:right="40" w:hanging="479"/>
        <w:spacing w:after="0" w:line="290" w:lineRule="auto"/>
        <w:tabs>
          <w:tab w:leader="none" w:pos="894"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20" w:hanging="479"/>
        <w:spacing w:after="0" w:line="277" w:lineRule="auto"/>
        <w:tabs>
          <w:tab w:leader="none" w:pos="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5700" w:right="2180" w:hanging="8304"/>
        <w:spacing w:after="0" w:line="251" w:lineRule="auto"/>
        <w:tabs>
          <w:tab w:leader="none" w:pos="56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 /s/ John Lai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0</wp:posOffset>
            </wp:positionV>
            <wp:extent cx="33051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66"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Chairperson, President and Chief Executive Officer</w:t>
      </w:r>
    </w:p>
    <w:p>
      <w:pPr>
        <w:jc w:val="center"/>
        <w:ind w:left="6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Jedidiah Gold, certify that:</w:t>
      </w:r>
    </w:p>
    <w:p>
      <w:pPr>
        <w:spacing w:after="0" w:line="21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2022 of Mister Car Wash, Inc.;</w:t>
      </w:r>
    </w:p>
    <w:p>
      <w:pPr>
        <w:spacing w:after="0" w:line="211" w:lineRule="exact"/>
        <w:rPr>
          <w:rFonts w:ascii="Arial" w:cs="Arial" w:eastAsia="Arial" w:hAnsi="Arial"/>
          <w:sz w:val="18"/>
          <w:szCs w:val="18"/>
          <w:color w:val="auto"/>
        </w:rPr>
      </w:pPr>
    </w:p>
    <w:p>
      <w:pPr>
        <w:jc w:val="both"/>
        <w:ind w:left="520" w:right="260" w:hanging="512"/>
        <w:spacing w:after="0" w:line="255"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520" w:right="240" w:hanging="512"/>
        <w:spacing w:after="0" w:line="290"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ind w:left="520" w:right="280" w:hanging="512"/>
        <w:spacing w:after="0" w:line="261"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right="100" w:hanging="479"/>
        <w:spacing w:after="0" w:line="255" w:lineRule="auto"/>
        <w:tabs>
          <w:tab w:leader="none" w:pos="8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900" w:hanging="359"/>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[omitted];</w:t>
      </w:r>
    </w:p>
    <w:p>
      <w:pPr>
        <w:spacing w:after="0" w:line="224" w:lineRule="exact"/>
        <w:rPr>
          <w:rFonts w:ascii="Arial" w:cs="Arial" w:eastAsia="Arial" w:hAnsi="Arial"/>
          <w:sz w:val="18"/>
          <w:szCs w:val="18"/>
          <w:color w:val="auto"/>
        </w:rPr>
      </w:pPr>
    </w:p>
    <w:p>
      <w:pPr>
        <w:ind w:left="1020" w:right="500" w:hanging="479"/>
        <w:spacing w:after="0" w:line="324" w:lineRule="auto"/>
        <w:tabs>
          <w:tab w:leader="none" w:pos="89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80" w:hanging="479"/>
        <w:spacing w:after="0" w:line="255" w:lineRule="auto"/>
        <w:tabs>
          <w:tab w:leader="none" w:pos="8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020" w:right="40" w:hanging="479"/>
        <w:spacing w:after="0" w:line="290" w:lineRule="auto"/>
        <w:tabs>
          <w:tab w:leader="none" w:pos="894"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20" w:hanging="479"/>
        <w:spacing w:after="0" w:line="277" w:lineRule="auto"/>
        <w:tabs>
          <w:tab w:leader="none" w:pos="8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5700" w:right="2000" w:hanging="8114"/>
        <w:spacing w:after="0" w:line="251" w:lineRule="auto"/>
        <w:tabs>
          <w:tab w:leader="none" w:pos="56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 /s/ Jedidiah Gold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0</wp:posOffset>
            </wp:positionV>
            <wp:extent cx="33051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66"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Financial Officer</w:t>
      </w:r>
    </w:p>
    <w:p>
      <w:pPr>
        <w:jc w:val="center"/>
        <w:ind w:left="60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connection with the Quarterly Report of Mister Car Wash, Inc. (the “Company”) on Form 10-Q for the quarterly period ended September 30, 2022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900" w:hanging="35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760" w:hanging="479"/>
        <w:spacing w:after="0" w:line="261" w:lineRule="auto"/>
        <w:tabs>
          <w:tab w:leader="none" w:pos="8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p>
      <w:pPr>
        <w:ind w:left="5700" w:right="2180" w:hanging="8304"/>
        <w:spacing w:after="0" w:line="251" w:lineRule="auto"/>
        <w:tabs>
          <w:tab w:leader="none" w:pos="56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 /s/ John Lai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0</wp:posOffset>
            </wp:positionV>
            <wp:extent cx="33051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66"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Chairperson, President and Chief Executive Officer</w:t>
      </w:r>
    </w:p>
    <w:p>
      <w:pPr>
        <w:jc w:val="center"/>
        <w:ind w:left="6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connection with the Quarterly Report of Mister Car Wash, Inc. (the “Company”) on Form 10-Q for the quarterly period ended September 30, 2022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760" w:hanging="479"/>
        <w:spacing w:after="0" w:line="261" w:lineRule="auto"/>
        <w:tabs>
          <w:tab w:leader="none" w:pos="8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p>
      <w:pPr>
        <w:ind w:left="5700" w:right="2000" w:hanging="8114"/>
        <w:spacing w:after="0" w:line="251" w:lineRule="auto"/>
        <w:tabs>
          <w:tab w:leader="none" w:pos="56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 /s/ Jedidiah Gold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0</wp:posOffset>
            </wp:positionV>
            <wp:extent cx="33051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66"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Financial Officer</w:t>
      </w:r>
    </w:p>
    <w:p>
      <w:pPr>
        <w:jc w:val="center"/>
        <w:ind w:left="60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3"/>
    </w:lvl>
  </w:abstractNum>
  <w:abstractNum w:abstractNumId="5">
    <w:nsid w:val="140E0F76"/>
    <w:multiLevelType w:val="hybridMultilevel"/>
    <w:lvl w:ilvl="0">
      <w:lvlJc w:val="left"/>
      <w:lvlText w:val="(%1)"/>
      <w:numFmt w:val="lowerLetter"/>
      <w:start w:val="9"/>
    </w:lvl>
  </w:abstractNum>
  <w:abstractNum w:abstractNumId="6">
    <w:nsid w:val="3352255A"/>
    <w:multiLevelType w:val="hybridMultilevel"/>
    <w:lvl w:ilvl="0">
      <w:lvlJc w:val="left"/>
      <w:lvlText w:val="(%1)"/>
      <w:numFmt w:val="lowerLetter"/>
      <w:start w:val="3"/>
    </w:lvl>
  </w:abstractNum>
  <w:abstractNum w:abstractNumId="7">
    <w:nsid w:val="109CF92E"/>
    <w:multiLevelType w:val="hybridMultilevel"/>
    <w:lvl w:ilvl="0">
      <w:lvlJc w:val="left"/>
      <w:lvlText w:val="%1."/>
      <w:numFmt w:val="decimal"/>
      <w:start w:val="16"/>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51" Type="http://schemas.openxmlformats.org/officeDocument/2006/relationships/hyperlink" Target="https://www.sec.gov/Archives/edgar/data/1853513/000095017022009801/mcw-ex2_1.htm" TargetMode="External"/><Relationship Id="rId252" Type="http://schemas.openxmlformats.org/officeDocument/2006/relationships/hyperlink" Target="https://www.sec.gov/Archives/edgar/data/1853513/000095017022010967/mcw-ex3_2.htm" TargetMode="External"/><Relationship Id="rId253" Type="http://schemas.openxmlformats.org/officeDocument/2006/relationships/hyperlink" Target="https://www.sec.gov/Archives/edgar/data/1853513/000119312521207571/d19750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2022-11-14T05:46:13Z</dcterms:created>
  <dcterms:modified xsi:type="dcterms:W3CDTF">2022-11-14T05:46:13Z</dcterms:modified>
</cp:coreProperties>
</file>