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0"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2856230</wp:posOffset>
            </wp:positionH>
            <wp:positionV relativeFrom="paragraph">
              <wp:posOffset>90170</wp:posOffset>
            </wp:positionV>
            <wp:extent cx="14300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30020" cy="8255"/>
                    </a:xfrm>
                    <a:prstGeom prst="rect">
                      <a:avLst/>
                    </a:prstGeom>
                    <a:noFill/>
                  </pic:spPr>
                </pic:pic>
              </a:graphicData>
            </a:graphic>
          </wp:anchor>
        </w:drawing>
      </w:r>
    </w:p>
    <w:p>
      <w:pPr>
        <w:spacing w:after="0" w:line="20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2856230</wp:posOffset>
            </wp:positionH>
            <wp:positionV relativeFrom="paragraph">
              <wp:posOffset>109220</wp:posOffset>
            </wp:positionV>
            <wp:extent cx="14300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30020" cy="8255"/>
                    </a:xfrm>
                    <a:prstGeom prst="rect">
                      <a:avLst/>
                    </a:prstGeom>
                    <a:noFill/>
                  </pic:spPr>
                </pic:pic>
              </a:graphicData>
            </a:graphic>
          </wp:anchor>
        </w:drawing>
      </w:r>
    </w:p>
    <w:p>
      <w:pPr>
        <w:spacing w:after="0" w:line="251"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(Mark One)</w:t>
      </w:r>
    </w:p>
    <w:p>
      <w:pPr>
        <w:spacing w:after="0" w:line="19" w:lineRule="exact"/>
        <w:rPr>
          <w:sz w:val="24"/>
          <w:szCs w:val="24"/>
          <w:color w:val="auto"/>
        </w:rPr>
      </w:pPr>
    </w:p>
    <w:p>
      <w:pPr>
        <w:ind w:left="3660" w:right="1620" w:hanging="3639"/>
        <w:spacing w:after="0" w:line="375" w:lineRule="auto"/>
        <w:tabs>
          <w:tab w:leader="none" w:pos="482"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QUARTERLY REPORT PURSUANT TO SECTION 13 OR 15(d) OF THE SECURITIES EXCHANGE ACT OF 1934 For the quarterly period ended September 30, 2023</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130" w:lineRule="exact"/>
        <w:rPr>
          <w:sz w:val="24"/>
          <w:szCs w:val="24"/>
          <w:color w:val="auto"/>
        </w:rPr>
      </w:pPr>
    </w:p>
    <w:p>
      <w:pPr>
        <w:ind w:left="480" w:hanging="459"/>
        <w:spacing w:after="0"/>
        <w:tabs>
          <w:tab w:leader="none" w:pos="480" w:val="left"/>
        </w:tabs>
        <w:numPr>
          <w:ilvl w:val="0"/>
          <w:numId w:val="2"/>
        </w:numPr>
        <w:rPr>
          <w:rFonts w:ascii="MS PGothic" w:cs="MS PGothic" w:eastAsia="MS PGothic" w:hAnsi="MS PGothic"/>
          <w:sz w:val="17"/>
          <w:szCs w:val="17"/>
          <w:color w:val="auto"/>
          <w:highlight w:val="black"/>
        </w:rPr>
      </w:pPr>
      <w:r>
        <w:rPr>
          <w:rFonts w:ascii="Arial" w:cs="Arial" w:eastAsia="Arial" w:hAnsi="Arial"/>
          <w:sz w:val="17"/>
          <w:szCs w:val="17"/>
          <w:b w:val="1"/>
          <w:bCs w:val="1"/>
          <w:color w:val="auto"/>
        </w:rPr>
        <w:t>TRANSITION REPORT PURSUANT TO SECTION 13 OR 15(d) OF THE SECURITIES EXCHANGE ACT OF 1934</w:t>
      </w:r>
    </w:p>
    <w:p>
      <w:pPr>
        <w:spacing w:after="0" w:line="142" w:lineRule="exact"/>
        <w:rPr>
          <w:sz w:val="24"/>
          <w:szCs w:val="24"/>
          <w:color w:val="auto"/>
        </w:rPr>
      </w:pPr>
    </w:p>
    <w:p>
      <w:pPr>
        <w:ind w:left="3060"/>
        <w:spacing w:after="0"/>
        <w:tabs>
          <w:tab w:leader="none" w:pos="666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11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001-40542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2856230</wp:posOffset>
            </wp:positionH>
            <wp:positionV relativeFrom="paragraph">
              <wp:posOffset>102870</wp:posOffset>
            </wp:positionV>
            <wp:extent cx="14300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30020" cy="8255"/>
                    </a:xfrm>
                    <a:prstGeom prst="rect">
                      <a:avLst/>
                    </a:prstGeom>
                    <a:noFill/>
                  </pic:spPr>
                </pic:pic>
              </a:graphicData>
            </a:graphic>
          </wp:anchor>
        </w:drawing>
      </w:r>
    </w:p>
    <w:p>
      <w:pPr>
        <w:spacing w:after="0" w:line="220"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Mister Car Wash, Inc.</w:t>
      </w:r>
    </w:p>
    <w:p>
      <w:pPr>
        <w:sectPr>
          <w:pgSz w:w="11900" w:h="16838" w:orient="portrait"/>
          <w:cols w:equalWidth="0" w:num="1">
            <w:col w:w="11240"/>
          </w:cols>
          <w:pgMar w:left="320" w:top="692" w:right="339" w:bottom="1440" w:gutter="0" w:footer="0" w:header="0"/>
        </w:sectPr>
      </w:pPr>
    </w:p>
    <w:p>
      <w:pPr>
        <w:spacing w:after="0" w:line="50"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2856230</wp:posOffset>
            </wp:positionH>
            <wp:positionV relativeFrom="paragraph">
              <wp:posOffset>98425</wp:posOffset>
            </wp:positionV>
            <wp:extent cx="14300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30020" cy="8255"/>
                    </a:xfrm>
                    <a:prstGeom prst="rect">
                      <a:avLst/>
                    </a:prstGeom>
                    <a:noFill/>
                  </pic:spPr>
                </pic:pic>
              </a:graphicData>
            </a:graphic>
          </wp:anchor>
        </w:drawing>
      </w:r>
    </w:p>
    <w:p>
      <w:pPr>
        <w:spacing w:after="0" w:line="265" w:lineRule="exact"/>
        <w:rPr>
          <w:sz w:val="24"/>
          <w:szCs w:val="24"/>
          <w:color w:val="auto"/>
        </w:rPr>
      </w:pPr>
    </w:p>
    <w:p>
      <w:pPr>
        <w:jc w:val="center"/>
        <w:ind w:right="1960"/>
        <w:spacing w:after="0"/>
        <w:rPr>
          <w:sz w:val="20"/>
          <w:szCs w:val="20"/>
          <w:color w:val="auto"/>
        </w:rPr>
      </w:pPr>
      <w:r>
        <w:rPr>
          <w:rFonts w:ascii="Arial" w:cs="Arial" w:eastAsia="Arial" w:hAnsi="Arial"/>
          <w:sz w:val="18"/>
          <w:szCs w:val="18"/>
          <w:b w:val="1"/>
          <w:bCs w:val="1"/>
          <w:color w:val="auto"/>
        </w:rPr>
        <w:t>Delaware</w:t>
      </w:r>
    </w:p>
    <w:p>
      <w:pPr>
        <w:spacing w:after="0" w:line="35" w:lineRule="exact"/>
        <w:rPr>
          <w:sz w:val="24"/>
          <w:szCs w:val="24"/>
          <w:color w:val="auto"/>
        </w:rPr>
      </w:pPr>
    </w:p>
    <w:p>
      <w:pPr>
        <w:ind w:left="2040"/>
        <w:spacing w:after="0"/>
        <w:rPr>
          <w:sz w:val="20"/>
          <w:szCs w:val="20"/>
          <w:color w:val="auto"/>
        </w:rPr>
      </w:pPr>
      <w:r>
        <w:rPr>
          <w:rFonts w:ascii="Arial" w:cs="Arial" w:eastAsia="Arial" w:hAnsi="Arial"/>
          <w:sz w:val="13"/>
          <w:szCs w:val="13"/>
          <w:b w:val="1"/>
          <w:bCs w:val="1"/>
          <w:color w:val="auto"/>
        </w:rPr>
        <w:t>(State or other jurisdiction of</w:t>
      </w:r>
    </w:p>
    <w:p>
      <w:pPr>
        <w:ind w:left="2000"/>
        <w:spacing w:after="0" w:line="224" w:lineRule="auto"/>
        <w:rPr>
          <w:sz w:val="20"/>
          <w:szCs w:val="20"/>
          <w:color w:val="auto"/>
        </w:rPr>
      </w:pPr>
      <w:r>
        <w:rPr>
          <w:rFonts w:ascii="Arial" w:cs="Arial" w:eastAsia="Arial" w:hAnsi="Arial"/>
          <w:sz w:val="13"/>
          <w:szCs w:val="13"/>
          <w:b w:val="1"/>
          <w:bCs w:val="1"/>
          <w:color w:val="auto"/>
        </w:rPr>
        <w:t>incorporation or organization)</w:t>
      </w:r>
    </w:p>
    <w:p>
      <w:pPr>
        <w:ind w:left="2200"/>
        <w:spacing w:after="0" w:line="235" w:lineRule="auto"/>
        <w:rPr>
          <w:sz w:val="20"/>
          <w:szCs w:val="20"/>
          <w:color w:val="auto"/>
        </w:rPr>
      </w:pPr>
      <w:r>
        <w:rPr>
          <w:rFonts w:ascii="Arial" w:cs="Arial" w:eastAsia="Arial" w:hAnsi="Arial"/>
          <w:sz w:val="18"/>
          <w:szCs w:val="18"/>
          <w:b w:val="1"/>
          <w:bCs w:val="1"/>
          <w:color w:val="auto"/>
        </w:rPr>
        <w:t>222 E. 5</w:t>
      </w:r>
      <w:r>
        <w:rPr>
          <w:rFonts w:ascii="Arial" w:cs="Arial" w:eastAsia="Arial" w:hAnsi="Arial"/>
          <w:sz w:val="24"/>
          <w:szCs w:val="24"/>
          <w:b w:val="1"/>
          <w:bCs w:val="1"/>
          <w:color w:val="auto"/>
          <w:vertAlign w:val="superscript"/>
        </w:rPr>
        <w:t>th</w:t>
      </w:r>
      <w:r>
        <w:rPr>
          <w:rFonts w:ascii="Arial" w:cs="Arial" w:eastAsia="Arial" w:hAnsi="Arial"/>
          <w:sz w:val="18"/>
          <w:szCs w:val="18"/>
          <w:b w:val="1"/>
          <w:bCs w:val="1"/>
          <w:color w:val="auto"/>
        </w:rPr>
        <w:t xml:space="preserve"> Street</w:t>
      </w:r>
    </w:p>
    <w:p>
      <w:pPr>
        <w:spacing w:after="0" w:line="1" w:lineRule="exact"/>
        <w:rPr>
          <w:sz w:val="24"/>
          <w:szCs w:val="24"/>
          <w:color w:val="auto"/>
        </w:rPr>
      </w:pPr>
    </w:p>
    <w:p>
      <w:pPr>
        <w:ind w:left="2200"/>
        <w:spacing w:after="0"/>
        <w:rPr>
          <w:sz w:val="20"/>
          <w:szCs w:val="20"/>
          <w:color w:val="auto"/>
        </w:rPr>
      </w:pPr>
      <w:r>
        <w:rPr>
          <w:rFonts w:ascii="Arial" w:cs="Arial" w:eastAsia="Arial" w:hAnsi="Arial"/>
          <w:sz w:val="18"/>
          <w:szCs w:val="18"/>
          <w:b w:val="1"/>
          <w:bCs w:val="1"/>
          <w:color w:val="auto"/>
        </w:rPr>
        <w:t>Tucson, Arizona</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22" w:lineRule="exact"/>
        <w:rPr>
          <w:sz w:val="24"/>
          <w:szCs w:val="24"/>
          <w:color w:val="auto"/>
        </w:rPr>
      </w:pPr>
    </w:p>
    <w:p>
      <w:pPr>
        <w:ind w:left="60"/>
        <w:spacing w:after="0"/>
        <w:rPr>
          <w:sz w:val="20"/>
          <w:szCs w:val="20"/>
          <w:color w:val="auto"/>
        </w:rPr>
      </w:pPr>
      <w:r>
        <w:rPr>
          <w:rFonts w:ascii="Arial" w:cs="Arial" w:eastAsia="Arial" w:hAnsi="Arial"/>
          <w:sz w:val="17"/>
          <w:szCs w:val="17"/>
          <w:b w:val="1"/>
          <w:bCs w:val="1"/>
          <w:color w:val="auto"/>
        </w:rPr>
        <w:t>47-1393909</w:t>
      </w:r>
    </w:p>
    <w:p>
      <w:pPr>
        <w:spacing w:after="0" w:line="61" w:lineRule="exact"/>
        <w:rPr>
          <w:sz w:val="24"/>
          <w:szCs w:val="24"/>
          <w:color w:val="auto"/>
        </w:rPr>
      </w:pPr>
    </w:p>
    <w:p>
      <w:pPr>
        <w:ind w:left="40"/>
        <w:spacing w:after="0"/>
        <w:rPr>
          <w:sz w:val="20"/>
          <w:szCs w:val="20"/>
          <w:color w:val="auto"/>
        </w:rPr>
      </w:pPr>
      <w:r>
        <w:rPr>
          <w:rFonts w:ascii="Arial" w:cs="Arial" w:eastAsia="Arial" w:hAnsi="Arial"/>
          <w:sz w:val="12"/>
          <w:szCs w:val="12"/>
          <w:b w:val="1"/>
          <w:bCs w:val="1"/>
          <w:color w:val="auto"/>
        </w:rPr>
        <w:t>(I.R.S. Employer</w:t>
      </w:r>
    </w:p>
    <w:p>
      <w:pPr>
        <w:spacing w:after="0" w:line="11" w:lineRule="exact"/>
        <w:rPr>
          <w:sz w:val="24"/>
          <w:szCs w:val="24"/>
          <w:color w:val="auto"/>
        </w:rPr>
      </w:pPr>
    </w:p>
    <w:p>
      <w:pPr>
        <w:spacing w:after="0"/>
        <w:rPr>
          <w:sz w:val="20"/>
          <w:szCs w:val="20"/>
          <w:color w:val="auto"/>
        </w:rPr>
      </w:pPr>
      <w:r>
        <w:rPr>
          <w:rFonts w:ascii="Arial" w:cs="Arial" w:eastAsia="Arial" w:hAnsi="Arial"/>
          <w:sz w:val="10"/>
          <w:szCs w:val="10"/>
          <w:b w:val="1"/>
          <w:bCs w:val="1"/>
          <w:color w:val="auto"/>
        </w:rPr>
        <w:t>Identification No.)</w:t>
      </w:r>
    </w:p>
    <w:p>
      <w:pPr>
        <w:spacing w:after="0" w:line="275" w:lineRule="exact"/>
        <w:rPr>
          <w:sz w:val="24"/>
          <w:szCs w:val="24"/>
          <w:color w:val="auto"/>
        </w:rPr>
      </w:pPr>
    </w:p>
    <w:p>
      <w:pPr>
        <w:ind w:left="280"/>
        <w:spacing w:after="0"/>
        <w:rPr>
          <w:sz w:val="20"/>
          <w:szCs w:val="20"/>
          <w:color w:val="auto"/>
        </w:rPr>
      </w:pPr>
      <w:r>
        <w:rPr>
          <w:rFonts w:ascii="Arial" w:cs="Arial" w:eastAsia="Arial" w:hAnsi="Arial"/>
          <w:sz w:val="18"/>
          <w:szCs w:val="18"/>
          <w:b w:val="1"/>
          <w:bCs w:val="1"/>
          <w:color w:val="auto"/>
        </w:rPr>
        <w:t>85705</w:t>
      </w:r>
    </w:p>
    <w:p>
      <w:pPr>
        <w:spacing w:after="0" w:line="35" w:lineRule="exact"/>
        <w:rPr>
          <w:sz w:val="24"/>
          <w:szCs w:val="24"/>
          <w:color w:val="auto"/>
        </w:rPr>
      </w:pPr>
    </w:p>
    <w:p>
      <w:pPr>
        <w:sectPr>
          <w:pgSz w:w="11900" w:h="16838" w:orient="portrait"/>
          <w:cols w:equalWidth="0" w:num="2">
            <w:col w:w="7600" w:space="340"/>
            <w:col w:w="3300"/>
          </w:cols>
          <w:pgMar w:left="320" w:top="692" w:right="339" w:bottom="1440" w:gutter="0" w:footer="0" w:header="0"/>
          <w:type w:val="continuous"/>
        </w:sectPr>
      </w:pPr>
    </w:p>
    <w:p>
      <w:pPr>
        <w:ind w:left="1780"/>
        <w:spacing w:after="0"/>
        <w:tabs>
          <w:tab w:leader="none" w:pos="8120" w:val="left"/>
        </w:tabs>
        <w:rPr>
          <w:sz w:val="20"/>
          <w:szCs w:val="20"/>
          <w:color w:val="auto"/>
        </w:rPr>
      </w:pPr>
      <w:r>
        <w:rPr>
          <w:rFonts w:ascii="Arial" w:cs="Arial" w:eastAsia="Arial" w:hAnsi="Arial"/>
          <w:sz w:val="13"/>
          <w:szCs w:val="13"/>
          <w:b w:val="1"/>
          <w:bCs w:val="1"/>
          <w:color w:val="auto"/>
        </w:rPr>
        <w:t>(Address of principal executive offices)</w:t>
      </w:r>
      <w:r>
        <w:rPr>
          <w:sz w:val="20"/>
          <w:szCs w:val="20"/>
          <w:color w:val="auto"/>
        </w:rPr>
        <w:tab/>
      </w:r>
      <w:r>
        <w:rPr>
          <w:rFonts w:ascii="Arial" w:cs="Arial" w:eastAsia="Arial" w:hAnsi="Arial"/>
          <w:sz w:val="10"/>
          <w:szCs w:val="10"/>
          <w:b w:val="1"/>
          <w:bCs w:val="1"/>
          <w:color w:val="auto"/>
        </w:rPr>
        <w:t>(Zip Code)</w:t>
      </w:r>
    </w:p>
    <w:p>
      <w:pPr>
        <w:spacing w:after="0" w:line="6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(520) 615-4000</w:t>
      </w:r>
    </w:p>
    <w:p>
      <w:pPr>
        <w:spacing w:after="0" w:line="62" w:lineRule="exact"/>
        <w:rPr>
          <w:sz w:val="24"/>
          <w:szCs w:val="24"/>
          <w:color w:val="auto"/>
        </w:rPr>
      </w:pPr>
    </w:p>
    <w:p>
      <w:pPr>
        <w:jc w:val="center"/>
        <w:ind w:right="20"/>
        <w:spacing w:after="0"/>
        <w:rPr>
          <w:sz w:val="20"/>
          <w:szCs w:val="20"/>
          <w:color w:val="auto"/>
        </w:rPr>
      </w:pPr>
      <w:r>
        <w:rPr>
          <w:rFonts w:ascii="Arial" w:cs="Arial" w:eastAsia="Arial" w:hAnsi="Arial"/>
          <w:sz w:val="13"/>
          <w:szCs w:val="13"/>
          <w:b w:val="1"/>
          <w:bCs w:val="1"/>
          <w:color w:val="auto"/>
        </w:rPr>
        <w:t>(Registrant’s telephone number,</w:t>
      </w:r>
    </w:p>
    <w:p>
      <w:pPr>
        <w:jc w:val="center"/>
        <w:ind w:right="20"/>
        <w:spacing w:after="0" w:line="237" w:lineRule="auto"/>
        <w:rPr>
          <w:sz w:val="20"/>
          <w:szCs w:val="20"/>
          <w:color w:val="auto"/>
        </w:rPr>
      </w:pPr>
      <w:r>
        <w:rPr>
          <w:rFonts w:ascii="Arial" w:cs="Arial" w:eastAsia="Arial" w:hAnsi="Arial"/>
          <w:sz w:val="13"/>
          <w:szCs w:val="13"/>
          <w:b w:val="1"/>
          <w:bCs w:val="1"/>
          <w:color w:val="auto"/>
        </w:rPr>
        <w:t>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2856230</wp:posOffset>
            </wp:positionH>
            <wp:positionV relativeFrom="paragraph">
              <wp:posOffset>3175</wp:posOffset>
            </wp:positionV>
            <wp:extent cx="14300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30020" cy="8255"/>
                    </a:xfrm>
                    <a:prstGeom prst="rect">
                      <a:avLst/>
                    </a:prstGeom>
                    <a:noFill/>
                  </pic:spPr>
                </pic:pic>
              </a:graphicData>
            </a:graphic>
          </wp:anchor>
        </w:drawing>
      </w:r>
    </w:p>
    <w:p>
      <w:pPr>
        <w:spacing w:after="0" w:line="69" w:lineRule="exact"/>
        <w:rPr>
          <w:sz w:val="24"/>
          <w:szCs w:val="24"/>
          <w:color w:val="auto"/>
        </w:rPr>
      </w:pPr>
    </w:p>
    <w:p>
      <w:pPr>
        <w:ind w:left="600"/>
        <w:spacing w:after="0"/>
        <w:rPr>
          <w:sz w:val="20"/>
          <w:szCs w:val="20"/>
          <w:color w:val="auto"/>
        </w:rPr>
      </w:pPr>
      <w:r>
        <w:rPr>
          <w:rFonts w:ascii="Arial" w:cs="Arial" w:eastAsia="Arial" w:hAnsi="Arial"/>
          <w:sz w:val="16"/>
          <w:szCs w:val="16"/>
          <w:color w:val="auto"/>
        </w:rPr>
        <w:t>Securities registered pursuant to Section 12(b) of the Act:</w:t>
      </w:r>
    </w:p>
    <w:p>
      <w:pPr>
        <w:spacing w:after="0" w:line="87"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4280" w:type="dxa"/>
            <w:vAlign w:val="bottom"/>
            <w:vMerge w:val="restart"/>
          </w:tcPr>
          <w:p>
            <w:pPr>
              <w:ind w:left="1600"/>
              <w:spacing w:after="0"/>
              <w:rPr>
                <w:sz w:val="20"/>
                <w:szCs w:val="20"/>
                <w:color w:val="auto"/>
              </w:rPr>
            </w:pPr>
            <w:r>
              <w:rPr>
                <w:rFonts w:ascii="Arial" w:cs="Arial" w:eastAsia="Arial" w:hAnsi="Arial"/>
                <w:sz w:val="14"/>
                <w:szCs w:val="14"/>
                <w:b w:val="1"/>
                <w:bCs w:val="1"/>
                <w:color w:val="auto"/>
              </w:rPr>
              <w:t>Title of each class</w:t>
            </w:r>
          </w:p>
        </w:tc>
        <w:tc>
          <w:tcPr>
            <w:tcW w:w="120" w:type="dxa"/>
            <w:vAlign w:val="bottom"/>
          </w:tcPr>
          <w:p>
            <w:pPr>
              <w:spacing w:after="0"/>
              <w:rPr>
                <w:sz w:val="14"/>
                <w:szCs w:val="14"/>
                <w:color w:val="auto"/>
              </w:rPr>
            </w:pPr>
          </w:p>
        </w:tc>
        <w:tc>
          <w:tcPr>
            <w:tcW w:w="1680" w:type="dxa"/>
            <w:vAlign w:val="bottom"/>
          </w:tcPr>
          <w:p>
            <w:pPr>
              <w:jc w:val="center"/>
              <w:spacing w:after="0"/>
              <w:rPr>
                <w:sz w:val="20"/>
                <w:szCs w:val="20"/>
                <w:color w:val="auto"/>
              </w:rPr>
            </w:pPr>
            <w:r>
              <w:rPr>
                <w:rFonts w:ascii="Arial" w:cs="Arial" w:eastAsia="Arial" w:hAnsi="Arial"/>
                <w:sz w:val="14"/>
                <w:szCs w:val="14"/>
                <w:b w:val="1"/>
                <w:bCs w:val="1"/>
                <w:color w:val="auto"/>
                <w:w w:val="97"/>
              </w:rPr>
              <w:t>Trading</w:t>
            </w:r>
          </w:p>
        </w:tc>
        <w:tc>
          <w:tcPr>
            <w:tcW w:w="120" w:type="dxa"/>
            <w:vAlign w:val="bottom"/>
          </w:tcPr>
          <w:p>
            <w:pPr>
              <w:spacing w:after="0"/>
              <w:rPr>
                <w:sz w:val="14"/>
                <w:szCs w:val="14"/>
                <w:color w:val="auto"/>
              </w:rPr>
            </w:pPr>
          </w:p>
        </w:tc>
        <w:tc>
          <w:tcPr>
            <w:tcW w:w="50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Name of each exchange on which registered</w:t>
            </w:r>
          </w:p>
        </w:tc>
        <w:tc>
          <w:tcPr>
            <w:tcW w:w="0" w:type="dxa"/>
            <w:vAlign w:val="bottom"/>
          </w:tcPr>
          <w:p>
            <w:pPr>
              <w:spacing w:after="0"/>
              <w:rPr>
                <w:sz w:val="1"/>
                <w:szCs w:val="1"/>
                <w:color w:val="auto"/>
              </w:rPr>
            </w:pPr>
          </w:p>
        </w:tc>
      </w:tr>
      <w:tr>
        <w:trPr>
          <w:trHeight w:val="185"/>
        </w:trPr>
        <w:tc>
          <w:tcPr>
            <w:tcW w:w="428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Symbol(s)</w:t>
            </w:r>
          </w:p>
        </w:tc>
        <w:tc>
          <w:tcPr>
            <w:tcW w:w="120" w:type="dxa"/>
            <w:vAlign w:val="bottom"/>
          </w:tcPr>
          <w:p>
            <w:pPr>
              <w:spacing w:after="0"/>
              <w:rPr>
                <w:sz w:val="16"/>
                <w:szCs w:val="16"/>
                <w:color w:val="auto"/>
              </w:rPr>
            </w:pPr>
          </w:p>
        </w:tc>
        <w:tc>
          <w:tcPr>
            <w:tcW w:w="50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280" w:type="dxa"/>
            <w:vAlign w:val="bottom"/>
          </w:tcPr>
          <w:p>
            <w:pPr>
              <w:ind w:left="20"/>
              <w:spacing w:after="0"/>
              <w:rPr>
                <w:sz w:val="20"/>
                <w:szCs w:val="20"/>
                <w:color w:val="auto"/>
              </w:rPr>
            </w:pPr>
            <w:r>
              <w:rPr>
                <w:rFonts w:ascii="Arial" w:cs="Arial" w:eastAsia="Arial" w:hAnsi="Arial"/>
                <w:sz w:val="16"/>
                <w:szCs w:val="16"/>
                <w:color w:val="auto"/>
              </w:rPr>
              <w:t>Common stock, par value $0.01 per share</w:t>
            </w:r>
          </w:p>
        </w:tc>
        <w:tc>
          <w:tcPr>
            <w:tcW w:w="120" w:type="dxa"/>
            <w:vAlign w:val="bottom"/>
          </w:tcPr>
          <w:p>
            <w:pPr>
              <w:spacing w:after="0"/>
              <w:rPr>
                <w:sz w:val="17"/>
                <w:szCs w:val="17"/>
                <w:color w:val="auto"/>
              </w:rPr>
            </w:pPr>
          </w:p>
        </w:tc>
        <w:tc>
          <w:tcPr>
            <w:tcW w:w="1680" w:type="dxa"/>
            <w:vAlign w:val="bottom"/>
          </w:tcPr>
          <w:p>
            <w:pPr>
              <w:jc w:val="center"/>
              <w:spacing w:after="0"/>
              <w:rPr>
                <w:sz w:val="20"/>
                <w:szCs w:val="20"/>
                <w:color w:val="auto"/>
              </w:rPr>
            </w:pPr>
            <w:r>
              <w:rPr>
                <w:rFonts w:ascii="Arial" w:cs="Arial" w:eastAsia="Arial" w:hAnsi="Arial"/>
                <w:sz w:val="16"/>
                <w:szCs w:val="16"/>
                <w:color w:val="auto"/>
                <w:w w:val="99"/>
              </w:rPr>
              <w:t>MCW</w:t>
            </w:r>
          </w:p>
        </w:tc>
        <w:tc>
          <w:tcPr>
            <w:tcW w:w="120" w:type="dxa"/>
            <w:vAlign w:val="bottom"/>
          </w:tcPr>
          <w:p>
            <w:pPr>
              <w:spacing w:after="0"/>
              <w:rPr>
                <w:sz w:val="17"/>
                <w:szCs w:val="17"/>
                <w:color w:val="auto"/>
              </w:rPr>
            </w:pPr>
          </w:p>
        </w:tc>
        <w:tc>
          <w:tcPr>
            <w:tcW w:w="5040" w:type="dxa"/>
            <w:vAlign w:val="bottom"/>
          </w:tcPr>
          <w:p>
            <w:pPr>
              <w:jc w:val="center"/>
              <w:spacing w:after="0"/>
              <w:rPr>
                <w:sz w:val="20"/>
                <w:szCs w:val="20"/>
                <w:color w:val="auto"/>
              </w:rPr>
            </w:pPr>
            <w:r>
              <w:rPr>
                <w:rFonts w:ascii="Arial" w:cs="Arial" w:eastAsia="Arial" w:hAnsi="Arial"/>
                <w:sz w:val="16"/>
                <w:szCs w:val="16"/>
                <w:color w:val="auto"/>
                <w:w w:val="92"/>
              </w:rPr>
              <w:t>New York Stock Exchange</w:t>
            </w:r>
          </w:p>
        </w:tc>
        <w:tc>
          <w:tcPr>
            <w:tcW w:w="0" w:type="dxa"/>
            <w:vAlign w:val="bottom"/>
          </w:tcPr>
          <w:p>
            <w:pPr>
              <w:spacing w:after="0"/>
              <w:rPr>
                <w:sz w:val="1"/>
                <w:szCs w:val="1"/>
                <w:color w:val="auto"/>
              </w:rPr>
            </w:pPr>
          </w:p>
        </w:tc>
      </w:tr>
    </w:tbl>
    <w:p>
      <w:pPr>
        <w:spacing w:after="0" w:line="117" w:lineRule="exact"/>
        <w:rPr>
          <w:sz w:val="24"/>
          <w:szCs w:val="24"/>
          <w:color w:val="auto"/>
        </w:rPr>
      </w:pPr>
    </w:p>
    <w:p>
      <w:pPr>
        <w:jc w:val="both"/>
        <w:ind w:right="20" w:firstLine="599"/>
        <w:spacing w:after="0" w:line="212"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39" w:lineRule="exact"/>
        <w:rPr>
          <w:sz w:val="24"/>
          <w:szCs w:val="24"/>
          <w:color w:val="auto"/>
        </w:rPr>
      </w:pPr>
    </w:p>
    <w:p>
      <w:pPr>
        <w:ind w:right="100" w:firstLine="599"/>
        <w:spacing w:after="0" w:line="218"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38" w:lineRule="exact"/>
        <w:rPr>
          <w:sz w:val="24"/>
          <w:szCs w:val="24"/>
          <w:color w:val="auto"/>
        </w:rPr>
      </w:pPr>
    </w:p>
    <w:p>
      <w:pPr>
        <w:jc w:val="both"/>
        <w:ind w:right="280" w:firstLine="599"/>
        <w:spacing w:after="0" w:line="278"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8" w:lineRule="exact"/>
        <w:rPr>
          <w:sz w:val="24"/>
          <w:szCs w:val="24"/>
          <w:color w:val="auto"/>
        </w:rPr>
      </w:pPr>
    </w:p>
    <w:tbl>
      <w:tblPr>
        <w:tblLayout w:type="fixed"/>
        <w:tblInd w:w="20" w:type="dxa"/>
        <w:tblCellMar>
          <w:top w:w="0" w:type="dxa"/>
          <w:left w:w="0" w:type="dxa"/>
          <w:bottom w:w="0" w:type="dxa"/>
          <w:right w:w="0" w:type="dxa"/>
        </w:tblCellMar>
      </w:tblPr>
      <w:tr>
        <w:trPr>
          <w:trHeight w:val="272"/>
        </w:trPr>
        <w:tc>
          <w:tcPr>
            <w:tcW w:w="202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3500" w:type="dxa"/>
            <w:vAlign w:val="bottom"/>
          </w:tcPr>
          <w:p>
            <w:pPr>
              <w:ind w:left="240"/>
              <w:spacing w:after="0" w:line="161" w:lineRule="exact"/>
              <w:rPr>
                <w:sz w:val="20"/>
                <w:szCs w:val="20"/>
                <w:color w:val="auto"/>
              </w:rPr>
            </w:pPr>
            <w:r>
              <w:rPr>
                <w:rFonts w:ascii="MS PGothic" w:cs="MS PGothic" w:eastAsia="MS PGothic" w:hAnsi="MS PGothic"/>
                <w:sz w:val="16"/>
                <w:szCs w:val="16"/>
                <w:color w:val="auto"/>
              </w:rPr>
              <w:t>☒</w:t>
            </w:r>
          </w:p>
        </w:tc>
        <w:tc>
          <w:tcPr>
            <w:tcW w:w="5180" w:type="dxa"/>
            <w:vAlign w:val="bottom"/>
          </w:tcPr>
          <w:p>
            <w:pPr>
              <w:ind w:left="3120"/>
              <w:spacing w:after="0"/>
              <w:rPr>
                <w:sz w:val="20"/>
                <w:szCs w:val="20"/>
                <w:color w:val="auto"/>
              </w:rPr>
            </w:pPr>
            <w:r>
              <w:rPr>
                <w:rFonts w:ascii="Arial" w:cs="Arial" w:eastAsia="Arial" w:hAnsi="Arial"/>
                <w:sz w:val="16"/>
                <w:szCs w:val="16"/>
                <w:color w:val="auto"/>
              </w:rPr>
              <w:t>Accelerated filer</w:t>
            </w:r>
          </w:p>
        </w:tc>
        <w:tc>
          <w:tcPr>
            <w:tcW w:w="440" w:type="dxa"/>
            <w:vAlign w:val="bottom"/>
          </w:tcPr>
          <w:p>
            <w:pPr>
              <w:ind w:left="3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81"/>
        </w:trPr>
        <w:tc>
          <w:tcPr>
            <w:tcW w:w="2020" w:type="dxa"/>
            <w:vAlign w:val="bottom"/>
          </w:tcPr>
          <w:p>
            <w:pPr>
              <w:spacing w:after="0"/>
              <w:rPr>
                <w:sz w:val="20"/>
                <w:szCs w:val="20"/>
                <w:color w:val="auto"/>
              </w:rPr>
            </w:pPr>
            <w:r>
              <w:rPr>
                <w:rFonts w:ascii="Arial" w:cs="Arial" w:eastAsia="Arial" w:hAnsi="Arial"/>
                <w:sz w:val="16"/>
                <w:szCs w:val="16"/>
                <w:color w:val="auto"/>
              </w:rPr>
              <w:t>Non-accelerated filer</w:t>
            </w:r>
          </w:p>
        </w:tc>
        <w:tc>
          <w:tcPr>
            <w:tcW w:w="3500" w:type="dxa"/>
            <w:vAlign w:val="bottom"/>
          </w:tcPr>
          <w:p>
            <w:pPr>
              <w:ind w:left="240"/>
              <w:spacing w:after="0" w:line="161" w:lineRule="exact"/>
              <w:rPr>
                <w:sz w:val="20"/>
                <w:szCs w:val="20"/>
                <w:color w:val="auto"/>
              </w:rPr>
            </w:pPr>
            <w:r>
              <w:rPr>
                <w:rFonts w:ascii="MS PGothic" w:cs="MS PGothic" w:eastAsia="MS PGothic" w:hAnsi="MS PGothic"/>
                <w:sz w:val="16"/>
                <w:szCs w:val="16"/>
                <w:color w:val="auto"/>
              </w:rPr>
              <w:t>☐</w:t>
            </w:r>
          </w:p>
        </w:tc>
        <w:tc>
          <w:tcPr>
            <w:tcW w:w="5180" w:type="dxa"/>
            <w:vAlign w:val="bottom"/>
          </w:tcPr>
          <w:p>
            <w:pPr>
              <w:ind w:left="3120"/>
              <w:spacing w:after="0"/>
              <w:rPr>
                <w:sz w:val="20"/>
                <w:szCs w:val="20"/>
                <w:color w:val="auto"/>
              </w:rPr>
            </w:pPr>
            <w:r>
              <w:rPr>
                <w:rFonts w:ascii="Arial" w:cs="Arial" w:eastAsia="Arial" w:hAnsi="Arial"/>
                <w:sz w:val="16"/>
                <w:szCs w:val="16"/>
                <w:color w:val="auto"/>
              </w:rPr>
              <w:t>Smaller reporting company</w:t>
            </w:r>
          </w:p>
        </w:tc>
        <w:tc>
          <w:tcPr>
            <w:tcW w:w="440" w:type="dxa"/>
            <w:vAlign w:val="bottom"/>
          </w:tcPr>
          <w:p>
            <w:pPr>
              <w:ind w:left="3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72"/>
        </w:trPr>
        <w:tc>
          <w:tcPr>
            <w:tcW w:w="2020" w:type="dxa"/>
            <w:vAlign w:val="bottom"/>
          </w:tcPr>
          <w:p>
            <w:pPr>
              <w:spacing w:after="0"/>
              <w:rPr>
                <w:sz w:val="20"/>
                <w:szCs w:val="20"/>
                <w:color w:val="auto"/>
              </w:rPr>
            </w:pPr>
            <w:r>
              <w:rPr>
                <w:rFonts w:ascii="Arial" w:cs="Arial" w:eastAsia="Arial" w:hAnsi="Arial"/>
                <w:sz w:val="16"/>
                <w:szCs w:val="16"/>
                <w:color w:val="auto"/>
              </w:rPr>
              <w:t>Emerging growth company</w:t>
            </w:r>
          </w:p>
        </w:tc>
        <w:tc>
          <w:tcPr>
            <w:tcW w:w="3500" w:type="dxa"/>
            <w:vAlign w:val="bottom"/>
          </w:tcPr>
          <w:p>
            <w:pPr>
              <w:ind w:left="240"/>
              <w:spacing w:after="0" w:line="161" w:lineRule="exact"/>
              <w:rPr>
                <w:sz w:val="20"/>
                <w:szCs w:val="20"/>
                <w:color w:val="auto"/>
              </w:rPr>
            </w:pPr>
            <w:r>
              <w:rPr>
                <w:rFonts w:ascii="MS PGothic" w:cs="MS PGothic" w:eastAsia="MS PGothic" w:hAnsi="MS PGothic"/>
                <w:sz w:val="16"/>
                <w:szCs w:val="16"/>
                <w:color w:val="auto"/>
              </w:rPr>
              <w:t>☐</w:t>
            </w:r>
          </w:p>
        </w:tc>
        <w:tc>
          <w:tcPr>
            <w:tcW w:w="5180" w:type="dxa"/>
            <w:vAlign w:val="bottom"/>
          </w:tcPr>
          <w:p>
            <w:pPr>
              <w:spacing w:after="0"/>
              <w:rPr>
                <w:sz w:val="23"/>
                <w:szCs w:val="23"/>
                <w:color w:val="auto"/>
              </w:rPr>
            </w:pPr>
          </w:p>
        </w:tc>
        <w:tc>
          <w:tcPr>
            <w:tcW w:w="440" w:type="dxa"/>
            <w:vAlign w:val="bottom"/>
          </w:tcPr>
          <w:p>
            <w:pPr>
              <w:spacing w:after="0"/>
              <w:rPr>
                <w:sz w:val="23"/>
                <w:szCs w:val="23"/>
                <w:color w:val="auto"/>
              </w:rPr>
            </w:pPr>
          </w:p>
        </w:tc>
      </w:tr>
    </w:tbl>
    <w:p>
      <w:pPr>
        <w:spacing w:after="0" w:line="64" w:lineRule="exact"/>
        <w:rPr>
          <w:sz w:val="24"/>
          <w:szCs w:val="24"/>
          <w:color w:val="auto"/>
        </w:rPr>
      </w:pPr>
    </w:p>
    <w:p>
      <w:pPr>
        <w:ind w:right="500" w:firstLine="599"/>
        <w:spacing w:after="0" w:line="217"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2" w:lineRule="exact"/>
        <w:rPr>
          <w:sz w:val="24"/>
          <w:szCs w:val="24"/>
          <w:color w:val="auto"/>
        </w:rPr>
      </w:pPr>
    </w:p>
    <w:p>
      <w:pPr>
        <w:ind w:left="600" w:right="2020"/>
        <w:spacing w:after="0" w:line="258" w:lineRule="exact"/>
        <w:rPr>
          <w:sz w:val="20"/>
          <w:szCs w:val="20"/>
          <w:color w:val="auto"/>
        </w:rPr>
      </w:pPr>
      <w:r>
        <w:rPr>
          <w:rFonts w:ascii="Arial" w:cs="Arial" w:eastAsia="Arial" w:hAnsi="Arial"/>
          <w:sz w:val="15"/>
          <w:szCs w:val="15"/>
          <w:color w:val="auto"/>
        </w:rPr>
        <w:t xml:space="preserve">Indicate by check mark whether the registrant is a shell company (as defined in Rule 12b-2 of the Exchange Act).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r>
        <w:rPr>
          <w:rFonts w:ascii="Arial" w:cs="Arial" w:eastAsia="Arial" w:hAnsi="Arial"/>
          <w:sz w:val="15"/>
          <w:szCs w:val="15"/>
          <w:color w:val="auto"/>
        </w:rPr>
        <w:t xml:space="preserve"> As of October 31, 2023, the registrant had 314,069,896 shares of common stock, $0.01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149860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167005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313055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668020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560" w:type="dxa"/>
            <w:vAlign w:val="bottom"/>
            <w:gridSpan w:val="7"/>
          </w:tcPr>
          <w:p>
            <w:pPr>
              <w:jc w:val="center"/>
              <w:ind w:right="4120"/>
              <w:spacing w:after="0"/>
              <w:rPr>
                <w:sz w:val="20"/>
                <w:szCs w:val="20"/>
                <w:color w:val="auto"/>
              </w:rPr>
            </w:pPr>
            <w:r>
              <w:rPr>
                <w:rFonts w:ascii="Arial" w:cs="Arial" w:eastAsia="Arial" w:hAnsi="Arial"/>
                <w:sz w:val="18"/>
                <w:szCs w:val="18"/>
                <w:b w:val="1"/>
                <w:bCs w:val="1"/>
                <w:color w:val="auto"/>
                <w:w w:val="89"/>
              </w:rPr>
              <w:t>Table of Contents</w:t>
            </w: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4"/>
        </w:trPr>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940" w:type="dxa"/>
            <w:vAlign w:val="bottom"/>
            <w:gridSpan w:val="9"/>
            <w:vMerge w:val="restart"/>
          </w:tcPr>
          <w:p>
            <w:pPr>
              <w:spacing w:after="0"/>
              <w:rPr>
                <w:sz w:val="20"/>
                <w:szCs w:val="20"/>
                <w:color w:val="auto"/>
              </w:rPr>
            </w:pPr>
            <w:r>
              <w:rPr>
                <w:rFonts w:ascii="Arial" w:cs="Arial" w:eastAsia="Arial" w:hAnsi="Arial"/>
                <w:sz w:val="18"/>
                <w:szCs w:val="18"/>
                <w:color w:val="0000FF"/>
                <w:w w:val="95"/>
              </w:rPr>
              <w:t>FORWARD-LOOKING STATEMENTS</w:t>
            </w:r>
          </w:p>
        </w:tc>
        <w:tc>
          <w:tcPr>
            <w:tcW w:w="6360" w:type="dxa"/>
            <w:vAlign w:val="bottom"/>
            <w:gridSpan w:val="10"/>
            <w:vMerge w:val="restart"/>
          </w:tcPr>
          <w:p>
            <w:pPr>
              <w:spacing w:after="0"/>
              <w:rPr>
                <w:sz w:val="24"/>
                <w:szCs w:val="2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940" w:type="dxa"/>
            <w:vAlign w:val="bottom"/>
            <w:tcBorders>
              <w:bottom w:val="single" w:sz="8" w:color="0000FF"/>
            </w:tcBorders>
            <w:gridSpan w:val="9"/>
            <w:vMerge w:val="continue"/>
          </w:tcPr>
          <w:p>
            <w:pPr>
              <w:spacing w:after="0"/>
              <w:rPr>
                <w:sz w:val="14"/>
                <w:szCs w:val="14"/>
                <w:color w:val="auto"/>
              </w:rPr>
            </w:pPr>
          </w:p>
        </w:tc>
        <w:tc>
          <w:tcPr>
            <w:tcW w:w="6360" w:type="dxa"/>
            <w:vAlign w:val="bottom"/>
            <w:gridSpan w:val="10"/>
            <w:vMerge w:val="continue"/>
          </w:tcPr>
          <w:p>
            <w:pPr>
              <w:spacing w:after="0"/>
              <w:rPr>
                <w:sz w:val="14"/>
                <w:szCs w:val="14"/>
                <w:color w:val="auto"/>
              </w:rPr>
            </w:pPr>
          </w:p>
        </w:tc>
        <w:tc>
          <w:tcPr>
            <w:tcW w:w="780" w:type="dxa"/>
            <w:vAlign w:val="bottom"/>
          </w:tcPr>
          <w:p>
            <w:pPr>
              <w:jc w:val="right"/>
              <w:spacing w:after="0" w:line="169"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478"/>
        </w:trPr>
        <w:tc>
          <w:tcPr>
            <w:tcW w:w="20" w:type="dxa"/>
            <w:vAlign w:val="bottom"/>
          </w:tcPr>
          <w:p>
            <w:pPr>
              <w:spacing w:after="0"/>
              <w:rPr>
                <w:sz w:val="24"/>
                <w:szCs w:val="24"/>
                <w:color w:val="auto"/>
              </w:rPr>
            </w:pPr>
          </w:p>
        </w:tc>
        <w:tc>
          <w:tcPr>
            <w:tcW w:w="1140" w:type="dxa"/>
            <w:vAlign w:val="bottom"/>
            <w:gridSpan w:val="2"/>
          </w:tcPr>
          <w:p>
            <w:pPr>
              <w:spacing w:after="0"/>
              <w:rPr>
                <w:sz w:val="20"/>
                <w:szCs w:val="20"/>
                <w:color w:val="auto"/>
              </w:rPr>
            </w:pPr>
            <w:r>
              <w:rPr>
                <w:rFonts w:ascii="Arial" w:cs="Arial" w:eastAsia="Arial" w:hAnsi="Arial"/>
                <w:sz w:val="18"/>
                <w:szCs w:val="18"/>
                <w:b w:val="1"/>
                <w:bCs w:val="1"/>
                <w:color w:val="auto"/>
              </w:rPr>
              <w:t>PART I.</w:t>
            </w:r>
          </w:p>
        </w:tc>
        <w:tc>
          <w:tcPr>
            <w:tcW w:w="9300" w:type="dxa"/>
            <w:vAlign w:val="bottom"/>
            <w:gridSpan w:val="19"/>
          </w:tcPr>
          <w:p>
            <w:pPr>
              <w:spacing w:after="0"/>
              <w:rPr>
                <w:sz w:val="20"/>
                <w:szCs w:val="20"/>
                <w:color w:val="auto"/>
              </w:rPr>
            </w:pPr>
            <w:r>
              <w:rPr>
                <w:rFonts w:ascii="Arial" w:cs="Arial" w:eastAsia="Arial" w:hAnsi="Arial"/>
                <w:sz w:val="18"/>
                <w:szCs w:val="18"/>
                <w:color w:val="auto"/>
              </w:rPr>
              <w:t>FINANCIAL INFORMATION</w:t>
            </w: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1140" w:type="dxa"/>
            <w:vAlign w:val="bottom"/>
            <w:gridSpan w:val="2"/>
          </w:tcPr>
          <w:p>
            <w:pPr>
              <w:spacing w:after="0"/>
              <w:rPr>
                <w:sz w:val="20"/>
                <w:szCs w:val="20"/>
                <w:color w:val="auto"/>
              </w:rPr>
            </w:pPr>
            <w:r>
              <w:rPr>
                <w:rFonts w:ascii="Arial" w:cs="Arial" w:eastAsia="Arial" w:hAnsi="Arial"/>
                <w:sz w:val="18"/>
                <w:szCs w:val="18"/>
                <w:color w:val="auto"/>
              </w:rPr>
              <w:t>Item 1.</w:t>
            </w:r>
          </w:p>
        </w:tc>
        <w:tc>
          <w:tcPr>
            <w:tcW w:w="9300" w:type="dxa"/>
            <w:vAlign w:val="bottom"/>
            <w:gridSpan w:val="19"/>
          </w:tcPr>
          <w:p>
            <w:pPr>
              <w:spacing w:after="0"/>
              <w:rPr>
                <w:sz w:val="20"/>
                <w:szCs w:val="20"/>
                <w:color w:val="auto"/>
              </w:rPr>
            </w:pPr>
            <w:r>
              <w:rPr>
                <w:rFonts w:ascii="Arial" w:cs="Arial" w:eastAsia="Arial" w:hAnsi="Arial"/>
                <w:sz w:val="18"/>
                <w:szCs w:val="18"/>
                <w:color w:val="auto"/>
              </w:rPr>
              <w:t>Financial Statements (Unaudited)</w:t>
            </w: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940" w:type="dxa"/>
            <w:vAlign w:val="bottom"/>
            <w:tcBorders>
              <w:bottom w:val="single" w:sz="8" w:color="0000FF"/>
            </w:tcBorders>
            <w:gridSpan w:val="9"/>
          </w:tcPr>
          <w:p>
            <w:pPr>
              <w:spacing w:after="0" w:line="189" w:lineRule="exact"/>
              <w:rPr>
                <w:sz w:val="20"/>
                <w:szCs w:val="20"/>
                <w:color w:val="auto"/>
              </w:rPr>
            </w:pPr>
            <w:r>
              <w:rPr>
                <w:rFonts w:ascii="Arial" w:cs="Arial" w:eastAsia="Arial" w:hAnsi="Arial"/>
                <w:sz w:val="18"/>
                <w:szCs w:val="18"/>
                <w:color w:val="0000FF"/>
                <w:w w:val="87"/>
              </w:rPr>
              <w:t>Condensed Consolidated Balance Sheets</w:t>
            </w:r>
          </w:p>
        </w:tc>
        <w:tc>
          <w:tcPr>
            <w:tcW w:w="20" w:type="dxa"/>
            <w:vAlign w:val="bottom"/>
            <w:tcBorders>
              <w:bottom w:val="single" w:sz="8" w:color="0000EE"/>
            </w:tcBorders>
          </w:tcPr>
          <w:p>
            <w:pPr>
              <w:spacing w:after="0"/>
              <w:rPr>
                <w:sz w:val="16"/>
                <w:szCs w:val="16"/>
                <w:color w:val="auto"/>
              </w:rPr>
            </w:pPr>
          </w:p>
        </w:tc>
        <w:tc>
          <w:tcPr>
            <w:tcW w:w="6340" w:type="dxa"/>
            <w:vAlign w:val="bottom"/>
            <w:gridSpan w:val="9"/>
          </w:tcPr>
          <w:p>
            <w:pPr>
              <w:spacing w:after="0"/>
              <w:rPr>
                <w:sz w:val="16"/>
                <w:szCs w:val="16"/>
                <w:color w:val="auto"/>
              </w:rPr>
            </w:pPr>
          </w:p>
        </w:tc>
        <w:tc>
          <w:tcPr>
            <w:tcW w:w="780" w:type="dxa"/>
            <w:vAlign w:val="bottom"/>
          </w:tcPr>
          <w:p>
            <w:pPr>
              <w:jc w:val="right"/>
              <w:spacing w:after="0" w:line="189"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300" w:type="dxa"/>
            <w:vAlign w:val="bottom"/>
            <w:gridSpan w:val="19"/>
          </w:tcPr>
          <w:p>
            <w:pPr>
              <w:spacing w:after="0"/>
              <w:rPr>
                <w:sz w:val="20"/>
                <w:szCs w:val="20"/>
                <w:color w:val="auto"/>
              </w:rPr>
            </w:pPr>
            <w:r>
              <w:rPr>
                <w:rFonts w:ascii="Arial" w:cs="Arial" w:eastAsia="Arial" w:hAnsi="Arial"/>
                <w:sz w:val="18"/>
                <w:szCs w:val="18"/>
                <w:color w:val="0000FF"/>
              </w:rPr>
              <w:t>Condensed Consolidated Statements of Operations and Comprehensive Income</w:t>
            </w:r>
          </w:p>
        </w:tc>
        <w:tc>
          <w:tcPr>
            <w:tcW w:w="78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720" w:type="dxa"/>
            <w:vAlign w:val="bottom"/>
            <w:tcBorders>
              <w:top w:val="single" w:sz="8" w:color="0000FF"/>
              <w:bottom w:val="single" w:sz="8" w:color="0000FF"/>
            </w:tcBorders>
            <w:gridSpan w:val="11"/>
          </w:tcPr>
          <w:p>
            <w:pPr>
              <w:spacing w:after="0"/>
              <w:rPr>
                <w:sz w:val="20"/>
                <w:szCs w:val="20"/>
                <w:color w:val="auto"/>
              </w:rPr>
            </w:pPr>
            <w:r>
              <w:rPr>
                <w:rFonts w:ascii="Arial" w:cs="Arial" w:eastAsia="Arial" w:hAnsi="Arial"/>
                <w:sz w:val="18"/>
                <w:szCs w:val="18"/>
                <w:color w:val="0000FF"/>
                <w:w w:val="88"/>
              </w:rPr>
              <w:t>Condensed Consolidated Statements of Cash Flows</w:t>
            </w:r>
          </w:p>
        </w:tc>
        <w:tc>
          <w:tcPr>
            <w:tcW w:w="20" w:type="dxa"/>
            <w:vAlign w:val="bottom"/>
            <w:tcBorders>
              <w:top w:val="single" w:sz="8" w:color="0000FF"/>
              <w:bottom w:val="single" w:sz="8" w:color="0000EE"/>
            </w:tcBorders>
          </w:tcPr>
          <w:p>
            <w:pPr>
              <w:spacing w:after="0"/>
              <w:rPr>
                <w:sz w:val="18"/>
                <w:szCs w:val="18"/>
                <w:color w:val="auto"/>
              </w:rPr>
            </w:pPr>
          </w:p>
        </w:tc>
        <w:tc>
          <w:tcPr>
            <w:tcW w:w="1980" w:type="dxa"/>
            <w:vAlign w:val="bottom"/>
            <w:tcBorders>
              <w:top w:val="single" w:sz="8" w:color="0000FF"/>
            </w:tcBorders>
            <w:gridSpan w:val="5"/>
          </w:tcPr>
          <w:p>
            <w:pPr>
              <w:spacing w:after="0"/>
              <w:rPr>
                <w:sz w:val="18"/>
                <w:szCs w:val="18"/>
                <w:color w:val="auto"/>
              </w:rPr>
            </w:pPr>
          </w:p>
        </w:tc>
        <w:tc>
          <w:tcPr>
            <w:tcW w:w="3580" w:type="dxa"/>
            <w:vAlign w:val="bottom"/>
            <w:gridSpan w:val="2"/>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380" w:type="dxa"/>
            <w:vAlign w:val="bottom"/>
            <w:tcBorders>
              <w:bottom w:val="single" w:sz="8" w:color="0000FF"/>
            </w:tcBorders>
            <w:gridSpan w:val="16"/>
          </w:tcPr>
          <w:p>
            <w:pPr>
              <w:spacing w:after="0"/>
              <w:rPr>
                <w:sz w:val="20"/>
                <w:szCs w:val="20"/>
                <w:color w:val="auto"/>
              </w:rPr>
            </w:pPr>
            <w:r>
              <w:rPr>
                <w:rFonts w:ascii="Arial" w:cs="Arial" w:eastAsia="Arial" w:hAnsi="Arial"/>
                <w:sz w:val="18"/>
                <w:szCs w:val="18"/>
                <w:color w:val="0000FF"/>
                <w:w w:val="89"/>
              </w:rPr>
              <w:t>Condensed Consolidated Statements of Stockholders' Equity</w:t>
            </w:r>
          </w:p>
        </w:tc>
        <w:tc>
          <w:tcPr>
            <w:tcW w:w="4920" w:type="dxa"/>
            <w:vAlign w:val="bottom"/>
            <w:gridSpan w:val="3"/>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000" w:type="dxa"/>
            <w:vAlign w:val="bottom"/>
            <w:tcBorders>
              <w:bottom w:val="single" w:sz="8" w:color="0000FF"/>
            </w:tcBorders>
            <w:gridSpan w:val="13"/>
          </w:tcPr>
          <w:p>
            <w:pPr>
              <w:spacing w:after="0"/>
              <w:rPr>
                <w:sz w:val="20"/>
                <w:szCs w:val="20"/>
                <w:color w:val="auto"/>
              </w:rPr>
            </w:pPr>
            <w:r>
              <w:rPr>
                <w:rFonts w:ascii="Arial" w:cs="Arial" w:eastAsia="Arial" w:hAnsi="Arial"/>
                <w:sz w:val="18"/>
                <w:szCs w:val="18"/>
                <w:color w:val="0000FF"/>
                <w:w w:val="88"/>
              </w:rPr>
              <w:t>Notes to Condensed Consolidated Financial Statements</w:t>
            </w:r>
          </w:p>
        </w:tc>
        <w:tc>
          <w:tcPr>
            <w:tcW w:w="5300" w:type="dxa"/>
            <w:vAlign w:val="bottom"/>
            <w:gridSpan w:val="6"/>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140" w:type="dxa"/>
            <w:vAlign w:val="bottom"/>
            <w:gridSpan w:val="2"/>
          </w:tcPr>
          <w:p>
            <w:pPr>
              <w:spacing w:after="0"/>
              <w:rPr>
                <w:sz w:val="20"/>
                <w:szCs w:val="20"/>
                <w:color w:val="auto"/>
              </w:rPr>
            </w:pPr>
            <w:r>
              <w:rPr>
                <w:rFonts w:ascii="Arial" w:cs="Arial" w:eastAsia="Arial" w:hAnsi="Arial"/>
                <w:sz w:val="18"/>
                <w:szCs w:val="18"/>
                <w:color w:val="auto"/>
              </w:rPr>
              <w:t>Item 2.</w:t>
            </w:r>
          </w:p>
        </w:tc>
        <w:tc>
          <w:tcPr>
            <w:tcW w:w="6460" w:type="dxa"/>
            <w:vAlign w:val="bottom"/>
            <w:tcBorders>
              <w:bottom w:val="single" w:sz="8" w:color="0000FF"/>
            </w:tcBorders>
            <w:gridSpan w:val="18"/>
          </w:tcPr>
          <w:p>
            <w:pPr>
              <w:spacing w:after="0"/>
              <w:rPr>
                <w:sz w:val="20"/>
                <w:szCs w:val="20"/>
                <w:color w:val="auto"/>
              </w:rPr>
            </w:pPr>
            <w:r>
              <w:rPr>
                <w:rFonts w:ascii="Arial" w:cs="Arial" w:eastAsia="Arial" w:hAnsi="Arial"/>
                <w:sz w:val="18"/>
                <w:szCs w:val="18"/>
                <w:color w:val="0000FF"/>
                <w:w w:val="90"/>
              </w:rPr>
              <w:t>Management’s Discussion and Analysis of Financial Condition and Results of Operations</w:t>
            </w:r>
          </w:p>
        </w:tc>
        <w:tc>
          <w:tcPr>
            <w:tcW w:w="28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140" w:type="dxa"/>
            <w:vAlign w:val="bottom"/>
            <w:gridSpan w:val="2"/>
          </w:tcPr>
          <w:p>
            <w:pPr>
              <w:spacing w:after="0"/>
              <w:rPr>
                <w:sz w:val="20"/>
                <w:szCs w:val="20"/>
                <w:color w:val="auto"/>
              </w:rPr>
            </w:pPr>
            <w:r>
              <w:rPr>
                <w:rFonts w:ascii="Arial" w:cs="Arial" w:eastAsia="Arial" w:hAnsi="Arial"/>
                <w:sz w:val="18"/>
                <w:szCs w:val="18"/>
                <w:color w:val="auto"/>
              </w:rPr>
              <w:t>Item 3.</w:t>
            </w:r>
          </w:p>
        </w:tc>
        <w:tc>
          <w:tcPr>
            <w:tcW w:w="4360" w:type="dxa"/>
            <w:vAlign w:val="bottom"/>
            <w:tcBorders>
              <w:bottom w:val="single" w:sz="8" w:color="0000FF"/>
            </w:tcBorders>
            <w:gridSpan w:val="15"/>
          </w:tcPr>
          <w:p>
            <w:pPr>
              <w:spacing w:after="0"/>
              <w:rPr>
                <w:sz w:val="20"/>
                <w:szCs w:val="20"/>
                <w:color w:val="auto"/>
              </w:rPr>
            </w:pPr>
            <w:r>
              <w:rPr>
                <w:rFonts w:ascii="Arial" w:cs="Arial" w:eastAsia="Arial" w:hAnsi="Arial"/>
                <w:sz w:val="18"/>
                <w:szCs w:val="18"/>
                <w:color w:val="0000FF"/>
                <w:w w:val="92"/>
              </w:rPr>
              <w:t>Quantitative and Qualitative Disclosures About Market Risk</w:t>
            </w:r>
          </w:p>
        </w:tc>
        <w:tc>
          <w:tcPr>
            <w:tcW w:w="4940" w:type="dxa"/>
            <w:vAlign w:val="bottom"/>
            <w:gridSpan w:val="4"/>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140" w:type="dxa"/>
            <w:vAlign w:val="bottom"/>
            <w:gridSpan w:val="2"/>
          </w:tcPr>
          <w:p>
            <w:pPr>
              <w:spacing w:after="0"/>
              <w:rPr>
                <w:sz w:val="20"/>
                <w:szCs w:val="20"/>
                <w:color w:val="auto"/>
              </w:rPr>
            </w:pPr>
            <w:r>
              <w:rPr>
                <w:rFonts w:ascii="Arial" w:cs="Arial" w:eastAsia="Arial" w:hAnsi="Arial"/>
                <w:sz w:val="18"/>
                <w:szCs w:val="18"/>
                <w:color w:val="auto"/>
              </w:rPr>
              <w:t>Item 4.</w:t>
            </w:r>
          </w:p>
        </w:tc>
        <w:tc>
          <w:tcPr>
            <w:tcW w:w="1780" w:type="dxa"/>
            <w:vAlign w:val="bottom"/>
            <w:tcBorders>
              <w:bottom w:val="single" w:sz="8" w:color="0000FF"/>
            </w:tcBorders>
            <w:gridSpan w:val="6"/>
          </w:tcPr>
          <w:p>
            <w:pPr>
              <w:spacing w:after="0"/>
              <w:rPr>
                <w:sz w:val="20"/>
                <w:szCs w:val="20"/>
                <w:color w:val="auto"/>
              </w:rPr>
            </w:pPr>
            <w:r>
              <w:rPr>
                <w:rFonts w:ascii="Arial" w:cs="Arial" w:eastAsia="Arial" w:hAnsi="Arial"/>
                <w:sz w:val="18"/>
                <w:szCs w:val="18"/>
                <w:color w:val="0000FF"/>
                <w:w w:val="88"/>
              </w:rPr>
              <w:t>Controls and Procedures</w:t>
            </w:r>
          </w:p>
        </w:tc>
        <w:tc>
          <w:tcPr>
            <w:tcW w:w="20" w:type="dxa"/>
            <w:vAlign w:val="bottom"/>
            <w:tcBorders>
              <w:bottom w:val="single" w:sz="8" w:color="0000EE"/>
            </w:tcBorders>
          </w:tcPr>
          <w:p>
            <w:pPr>
              <w:spacing w:after="0"/>
              <w:rPr>
                <w:sz w:val="18"/>
                <w:szCs w:val="18"/>
                <w:color w:val="auto"/>
              </w:rPr>
            </w:pPr>
          </w:p>
        </w:tc>
        <w:tc>
          <w:tcPr>
            <w:tcW w:w="7500" w:type="dxa"/>
            <w:vAlign w:val="bottom"/>
            <w:gridSpan w:val="12"/>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478"/>
        </w:trPr>
        <w:tc>
          <w:tcPr>
            <w:tcW w:w="20" w:type="dxa"/>
            <w:vAlign w:val="bottom"/>
          </w:tcPr>
          <w:p>
            <w:pPr>
              <w:spacing w:after="0"/>
              <w:rPr>
                <w:sz w:val="24"/>
                <w:szCs w:val="24"/>
                <w:color w:val="auto"/>
              </w:rPr>
            </w:pPr>
          </w:p>
        </w:tc>
        <w:tc>
          <w:tcPr>
            <w:tcW w:w="1140" w:type="dxa"/>
            <w:vAlign w:val="bottom"/>
            <w:gridSpan w:val="2"/>
          </w:tcPr>
          <w:p>
            <w:pPr>
              <w:spacing w:after="0"/>
              <w:rPr>
                <w:sz w:val="20"/>
                <w:szCs w:val="20"/>
                <w:color w:val="auto"/>
              </w:rPr>
            </w:pPr>
            <w:r>
              <w:rPr>
                <w:rFonts w:ascii="Arial" w:cs="Arial" w:eastAsia="Arial" w:hAnsi="Arial"/>
                <w:sz w:val="18"/>
                <w:szCs w:val="18"/>
                <w:b w:val="1"/>
                <w:bCs w:val="1"/>
                <w:color w:val="auto"/>
              </w:rPr>
              <w:t>PART II.</w:t>
            </w:r>
          </w:p>
        </w:tc>
        <w:tc>
          <w:tcPr>
            <w:tcW w:w="9300" w:type="dxa"/>
            <w:vAlign w:val="bottom"/>
            <w:gridSpan w:val="19"/>
          </w:tcPr>
          <w:p>
            <w:pPr>
              <w:spacing w:after="0"/>
              <w:rPr>
                <w:sz w:val="20"/>
                <w:szCs w:val="20"/>
                <w:color w:val="auto"/>
              </w:rPr>
            </w:pPr>
            <w:r>
              <w:rPr>
                <w:rFonts w:ascii="Arial" w:cs="Arial" w:eastAsia="Arial" w:hAnsi="Arial"/>
                <w:sz w:val="18"/>
                <w:szCs w:val="18"/>
                <w:color w:val="auto"/>
              </w:rPr>
              <w:t>OTHER INFORMATION</w:t>
            </w: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1140" w:type="dxa"/>
            <w:vAlign w:val="bottom"/>
            <w:gridSpan w:val="2"/>
          </w:tcPr>
          <w:p>
            <w:pPr>
              <w:spacing w:after="0" w:line="189" w:lineRule="exact"/>
              <w:rPr>
                <w:sz w:val="20"/>
                <w:szCs w:val="20"/>
                <w:color w:val="auto"/>
              </w:rPr>
            </w:pPr>
            <w:r>
              <w:rPr>
                <w:rFonts w:ascii="Arial" w:cs="Arial" w:eastAsia="Arial" w:hAnsi="Arial"/>
                <w:sz w:val="18"/>
                <w:szCs w:val="18"/>
                <w:color w:val="auto"/>
              </w:rPr>
              <w:t>Item 1.</w:t>
            </w:r>
          </w:p>
        </w:tc>
        <w:tc>
          <w:tcPr>
            <w:tcW w:w="1340" w:type="dxa"/>
            <w:vAlign w:val="bottom"/>
            <w:tcBorders>
              <w:bottom w:val="single" w:sz="8" w:color="0000FF"/>
            </w:tcBorders>
            <w:gridSpan w:val="5"/>
          </w:tcPr>
          <w:p>
            <w:pPr>
              <w:spacing w:after="0" w:line="189" w:lineRule="exact"/>
              <w:rPr>
                <w:sz w:val="20"/>
                <w:szCs w:val="20"/>
                <w:color w:val="auto"/>
              </w:rPr>
            </w:pPr>
            <w:r>
              <w:rPr>
                <w:rFonts w:ascii="Arial" w:cs="Arial" w:eastAsia="Arial" w:hAnsi="Arial"/>
                <w:sz w:val="18"/>
                <w:szCs w:val="18"/>
                <w:color w:val="0000FF"/>
                <w:w w:val="88"/>
              </w:rPr>
              <w:t>Legal Proceedings</w:t>
            </w:r>
          </w:p>
        </w:tc>
        <w:tc>
          <w:tcPr>
            <w:tcW w:w="7960" w:type="dxa"/>
            <w:vAlign w:val="bottom"/>
            <w:gridSpan w:val="14"/>
          </w:tcPr>
          <w:p>
            <w:pPr>
              <w:spacing w:after="0"/>
              <w:rPr>
                <w:sz w:val="16"/>
                <w:szCs w:val="16"/>
                <w:color w:val="auto"/>
              </w:rPr>
            </w:pPr>
          </w:p>
        </w:tc>
        <w:tc>
          <w:tcPr>
            <w:tcW w:w="780" w:type="dxa"/>
            <w:vAlign w:val="bottom"/>
          </w:tcPr>
          <w:p>
            <w:pPr>
              <w:jc w:val="right"/>
              <w:spacing w:after="0" w:line="189" w:lineRule="exact"/>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140" w:type="dxa"/>
            <w:vAlign w:val="bottom"/>
            <w:gridSpan w:val="2"/>
          </w:tcPr>
          <w:p>
            <w:pPr>
              <w:spacing w:after="0"/>
              <w:rPr>
                <w:sz w:val="20"/>
                <w:szCs w:val="20"/>
                <w:color w:val="auto"/>
              </w:rPr>
            </w:pPr>
            <w:r>
              <w:rPr>
                <w:rFonts w:ascii="Arial" w:cs="Arial" w:eastAsia="Arial" w:hAnsi="Arial"/>
                <w:sz w:val="18"/>
                <w:szCs w:val="18"/>
                <w:color w:val="auto"/>
              </w:rPr>
              <w:t>Item 1A.</w:t>
            </w:r>
          </w:p>
        </w:tc>
        <w:tc>
          <w:tcPr>
            <w:tcW w:w="920" w:type="dxa"/>
            <w:vAlign w:val="bottom"/>
            <w:tcBorders>
              <w:bottom w:val="single" w:sz="8" w:color="0000FF"/>
            </w:tcBorders>
            <w:gridSpan w:val="2"/>
          </w:tcPr>
          <w:p>
            <w:pPr>
              <w:spacing w:after="0"/>
              <w:rPr>
                <w:sz w:val="20"/>
                <w:szCs w:val="20"/>
                <w:color w:val="auto"/>
              </w:rPr>
            </w:pPr>
            <w:r>
              <w:rPr>
                <w:rFonts w:ascii="Arial" w:cs="Arial" w:eastAsia="Arial" w:hAnsi="Arial"/>
                <w:sz w:val="18"/>
                <w:szCs w:val="18"/>
                <w:color w:val="0000FF"/>
                <w:w w:val="89"/>
              </w:rPr>
              <w:t>Risk Factors</w:t>
            </w:r>
          </w:p>
        </w:tc>
        <w:tc>
          <w:tcPr>
            <w:tcW w:w="20" w:type="dxa"/>
            <w:vAlign w:val="bottom"/>
            <w:tcBorders>
              <w:bottom w:val="single" w:sz="8" w:color="0000EE"/>
            </w:tcBorders>
          </w:tcPr>
          <w:p>
            <w:pPr>
              <w:spacing w:after="0"/>
              <w:rPr>
                <w:sz w:val="18"/>
                <w:szCs w:val="18"/>
                <w:color w:val="auto"/>
              </w:rPr>
            </w:pPr>
          </w:p>
        </w:tc>
        <w:tc>
          <w:tcPr>
            <w:tcW w:w="8360" w:type="dxa"/>
            <w:vAlign w:val="bottom"/>
            <w:gridSpan w:val="16"/>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140" w:type="dxa"/>
            <w:vAlign w:val="bottom"/>
            <w:gridSpan w:val="2"/>
          </w:tcPr>
          <w:p>
            <w:pPr>
              <w:spacing w:after="0"/>
              <w:rPr>
                <w:sz w:val="20"/>
                <w:szCs w:val="20"/>
                <w:color w:val="auto"/>
              </w:rPr>
            </w:pPr>
            <w:r>
              <w:rPr>
                <w:rFonts w:ascii="Arial" w:cs="Arial" w:eastAsia="Arial" w:hAnsi="Arial"/>
                <w:sz w:val="18"/>
                <w:szCs w:val="18"/>
                <w:color w:val="auto"/>
              </w:rPr>
              <w:t>Item 2.</w:t>
            </w:r>
          </w:p>
        </w:tc>
        <w:tc>
          <w:tcPr>
            <w:tcW w:w="9300" w:type="dxa"/>
            <w:vAlign w:val="bottom"/>
            <w:gridSpan w:val="19"/>
          </w:tcPr>
          <w:p>
            <w:pPr>
              <w:spacing w:after="0"/>
              <w:rPr>
                <w:sz w:val="20"/>
                <w:szCs w:val="20"/>
                <w:color w:val="auto"/>
              </w:rPr>
            </w:pPr>
            <w:r>
              <w:rPr>
                <w:rFonts w:ascii="Arial" w:cs="Arial" w:eastAsia="Arial" w:hAnsi="Arial"/>
                <w:sz w:val="18"/>
                <w:szCs w:val="18"/>
                <w:color w:val="0000FF"/>
              </w:rPr>
              <w:t>Unregistered Sales of Equity Securities and Use of Proceeds</w:t>
            </w:r>
          </w:p>
        </w:tc>
        <w:tc>
          <w:tcPr>
            <w:tcW w:w="780" w:type="dxa"/>
            <w:vAlign w:val="bottom"/>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140" w:type="dxa"/>
            <w:vAlign w:val="bottom"/>
            <w:gridSpan w:val="2"/>
          </w:tcPr>
          <w:p>
            <w:pPr>
              <w:spacing w:after="0"/>
              <w:rPr>
                <w:sz w:val="20"/>
                <w:szCs w:val="20"/>
                <w:color w:val="auto"/>
              </w:rPr>
            </w:pPr>
            <w:r>
              <w:rPr>
                <w:rFonts w:ascii="Arial" w:cs="Arial" w:eastAsia="Arial" w:hAnsi="Arial"/>
                <w:sz w:val="18"/>
                <w:szCs w:val="18"/>
                <w:color w:val="auto"/>
              </w:rPr>
              <w:t>Item 3.</w:t>
            </w:r>
          </w:p>
        </w:tc>
        <w:tc>
          <w:tcPr>
            <w:tcW w:w="4340" w:type="dxa"/>
            <w:vAlign w:val="bottom"/>
            <w:tcBorders>
              <w:top w:val="single" w:sz="8" w:color="0000FF"/>
            </w:tcBorders>
            <w:gridSpan w:val="14"/>
          </w:tcPr>
          <w:p>
            <w:pPr>
              <w:spacing w:after="0"/>
              <w:rPr>
                <w:sz w:val="20"/>
                <w:szCs w:val="20"/>
                <w:color w:val="auto"/>
              </w:rPr>
            </w:pPr>
            <w:r>
              <w:rPr>
                <w:rFonts w:ascii="Arial" w:cs="Arial" w:eastAsia="Arial" w:hAnsi="Arial"/>
                <w:sz w:val="18"/>
                <w:szCs w:val="18"/>
                <w:color w:val="0000FF"/>
              </w:rPr>
              <w:t>Defaults Upon Senior Securities</w:t>
            </w:r>
          </w:p>
        </w:tc>
        <w:tc>
          <w:tcPr>
            <w:tcW w:w="4960" w:type="dxa"/>
            <w:vAlign w:val="bottom"/>
            <w:gridSpan w:val="5"/>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140" w:type="dxa"/>
            <w:vAlign w:val="bottom"/>
            <w:gridSpan w:val="2"/>
          </w:tcPr>
          <w:p>
            <w:pPr>
              <w:spacing w:after="0"/>
              <w:rPr>
                <w:sz w:val="20"/>
                <w:szCs w:val="20"/>
                <w:color w:val="auto"/>
              </w:rPr>
            </w:pPr>
            <w:r>
              <w:rPr>
                <w:rFonts w:ascii="Arial" w:cs="Arial" w:eastAsia="Arial" w:hAnsi="Arial"/>
                <w:sz w:val="18"/>
                <w:szCs w:val="18"/>
                <w:color w:val="auto"/>
              </w:rPr>
              <w:t>Item 4.</w:t>
            </w:r>
          </w:p>
        </w:tc>
        <w:tc>
          <w:tcPr>
            <w:tcW w:w="1780" w:type="dxa"/>
            <w:vAlign w:val="bottom"/>
            <w:tcBorders>
              <w:top w:val="single" w:sz="8" w:color="0000FF"/>
              <w:bottom w:val="single" w:sz="8" w:color="0000FF"/>
            </w:tcBorders>
            <w:gridSpan w:val="6"/>
          </w:tcPr>
          <w:p>
            <w:pPr>
              <w:spacing w:after="0"/>
              <w:rPr>
                <w:sz w:val="20"/>
                <w:szCs w:val="20"/>
                <w:color w:val="auto"/>
              </w:rPr>
            </w:pPr>
            <w:r>
              <w:rPr>
                <w:rFonts w:ascii="Arial" w:cs="Arial" w:eastAsia="Arial" w:hAnsi="Arial"/>
                <w:sz w:val="18"/>
                <w:szCs w:val="18"/>
                <w:color w:val="0000FF"/>
                <w:w w:val="91"/>
              </w:rPr>
              <w:t>Mine Safety Disclosures</w:t>
            </w:r>
          </w:p>
        </w:tc>
        <w:tc>
          <w:tcPr>
            <w:tcW w:w="540" w:type="dxa"/>
            <w:vAlign w:val="bottom"/>
            <w:tcBorders>
              <w:top w:val="single" w:sz="8" w:color="0000FF"/>
            </w:tcBorders>
            <w:gridSpan w:val="2"/>
          </w:tcPr>
          <w:p>
            <w:pPr>
              <w:spacing w:after="0"/>
              <w:rPr>
                <w:sz w:val="18"/>
                <w:szCs w:val="18"/>
                <w:color w:val="auto"/>
              </w:rPr>
            </w:pPr>
          </w:p>
        </w:tc>
        <w:tc>
          <w:tcPr>
            <w:tcW w:w="6980" w:type="dxa"/>
            <w:vAlign w:val="bottom"/>
            <w:gridSpan w:val="11"/>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140" w:type="dxa"/>
            <w:vAlign w:val="bottom"/>
            <w:gridSpan w:val="2"/>
          </w:tcPr>
          <w:p>
            <w:pPr>
              <w:spacing w:after="0"/>
              <w:rPr>
                <w:sz w:val="20"/>
                <w:szCs w:val="20"/>
                <w:color w:val="auto"/>
              </w:rPr>
            </w:pPr>
            <w:r>
              <w:rPr>
                <w:rFonts w:ascii="Arial" w:cs="Arial" w:eastAsia="Arial" w:hAnsi="Arial"/>
                <w:sz w:val="18"/>
                <w:szCs w:val="18"/>
                <w:color w:val="auto"/>
              </w:rPr>
              <w:t>Item 5.</w:t>
            </w:r>
          </w:p>
        </w:tc>
        <w:tc>
          <w:tcPr>
            <w:tcW w:w="1320" w:type="dxa"/>
            <w:vAlign w:val="bottom"/>
            <w:tcBorders>
              <w:bottom w:val="single" w:sz="8" w:color="0000FF"/>
            </w:tcBorders>
            <w:gridSpan w:val="4"/>
          </w:tcPr>
          <w:p>
            <w:pPr>
              <w:spacing w:after="0"/>
              <w:rPr>
                <w:sz w:val="20"/>
                <w:szCs w:val="20"/>
                <w:color w:val="auto"/>
              </w:rPr>
            </w:pPr>
            <w:r>
              <w:rPr>
                <w:rFonts w:ascii="Arial" w:cs="Arial" w:eastAsia="Arial" w:hAnsi="Arial"/>
                <w:sz w:val="18"/>
                <w:szCs w:val="18"/>
                <w:color w:val="0000FF"/>
                <w:w w:val="92"/>
              </w:rPr>
              <w:t>Other Information</w:t>
            </w:r>
          </w:p>
        </w:tc>
        <w:tc>
          <w:tcPr>
            <w:tcW w:w="7980" w:type="dxa"/>
            <w:vAlign w:val="bottom"/>
            <w:gridSpan w:val="15"/>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140" w:type="dxa"/>
            <w:vAlign w:val="bottom"/>
            <w:gridSpan w:val="2"/>
          </w:tcPr>
          <w:p>
            <w:pPr>
              <w:spacing w:after="0"/>
              <w:rPr>
                <w:sz w:val="20"/>
                <w:szCs w:val="20"/>
                <w:color w:val="auto"/>
              </w:rPr>
            </w:pPr>
            <w:r>
              <w:rPr>
                <w:rFonts w:ascii="Arial" w:cs="Arial" w:eastAsia="Arial" w:hAnsi="Arial"/>
                <w:sz w:val="18"/>
                <w:szCs w:val="18"/>
                <w:color w:val="auto"/>
              </w:rPr>
              <w:t>Item 6.</w:t>
            </w:r>
          </w:p>
        </w:tc>
        <w:tc>
          <w:tcPr>
            <w:tcW w:w="9300" w:type="dxa"/>
            <w:vAlign w:val="bottom"/>
            <w:gridSpan w:val="19"/>
          </w:tcPr>
          <w:p>
            <w:pPr>
              <w:spacing w:after="0"/>
              <w:rPr>
                <w:sz w:val="20"/>
                <w:szCs w:val="20"/>
                <w:color w:val="auto"/>
              </w:rPr>
            </w:pPr>
            <w:r>
              <w:rPr>
                <w:rFonts w:ascii="Arial" w:cs="Arial" w:eastAsia="Arial" w:hAnsi="Arial"/>
                <w:sz w:val="18"/>
                <w:szCs w:val="18"/>
                <w:color w:val="0000FF"/>
              </w:rPr>
              <w:t>Exhibits</w:t>
            </w:r>
          </w:p>
        </w:tc>
        <w:tc>
          <w:tcPr>
            <w:tcW w:w="780" w:type="dxa"/>
            <w:vAlign w:val="bottom"/>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438"/>
        </w:trPr>
        <w:tc>
          <w:tcPr>
            <w:tcW w:w="20" w:type="dxa"/>
            <w:vAlign w:val="bottom"/>
          </w:tcPr>
          <w:p>
            <w:pPr>
              <w:spacing w:after="0"/>
              <w:rPr>
                <w:sz w:val="24"/>
                <w:szCs w:val="24"/>
                <w:color w:val="auto"/>
              </w:rPr>
            </w:pPr>
          </w:p>
        </w:tc>
        <w:tc>
          <w:tcPr>
            <w:tcW w:w="1140" w:type="dxa"/>
            <w:vAlign w:val="bottom"/>
            <w:gridSpan w:val="2"/>
          </w:tcPr>
          <w:p>
            <w:pPr>
              <w:spacing w:after="0"/>
              <w:rPr>
                <w:sz w:val="20"/>
                <w:szCs w:val="20"/>
                <w:color w:val="auto"/>
              </w:rPr>
            </w:pPr>
            <w:r>
              <w:rPr>
                <w:rFonts w:ascii="Arial" w:cs="Arial" w:eastAsia="Arial" w:hAnsi="Arial"/>
                <w:sz w:val="18"/>
                <w:szCs w:val="18"/>
                <w:color w:val="0000FF"/>
              </w:rPr>
              <w:t>Signatures</w:t>
            </w:r>
          </w:p>
        </w:tc>
        <w:tc>
          <w:tcPr>
            <w:tcW w:w="600" w:type="dxa"/>
            <w:vAlign w:val="bottom"/>
            <w:tcBorders>
              <w:top w:val="single" w:sz="8" w:color="0000FF"/>
            </w:tcBorders>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465"/>
        </w:trPr>
        <w:tc>
          <w:tcPr>
            <w:tcW w:w="20" w:type="dxa"/>
            <w:vAlign w:val="bottom"/>
          </w:tcPr>
          <w:p>
            <w:pPr>
              <w:spacing w:after="0"/>
              <w:rPr>
                <w:sz w:val="24"/>
                <w:szCs w:val="24"/>
                <w:color w:val="auto"/>
              </w:rPr>
            </w:pPr>
          </w:p>
        </w:tc>
        <w:tc>
          <w:tcPr>
            <w:tcW w:w="760" w:type="dxa"/>
            <w:vAlign w:val="bottom"/>
            <w:tcBorders>
              <w:top w:val="single" w:sz="8" w:color="0000FF"/>
            </w:tcBorders>
          </w:tcPr>
          <w:p>
            <w:pPr>
              <w:spacing w:after="0"/>
              <w:rPr>
                <w:sz w:val="24"/>
                <w:szCs w:val="24"/>
                <w:color w:val="auto"/>
              </w:rPr>
            </w:pPr>
          </w:p>
        </w:tc>
        <w:tc>
          <w:tcPr>
            <w:tcW w:w="3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920" w:type="dxa"/>
            <w:vAlign w:val="bottom"/>
            <w:gridSpan w:val="3"/>
          </w:tcPr>
          <w:p>
            <w:pPr>
              <w:jc w:val="center"/>
              <w:ind w:right="4760"/>
              <w:spacing w:after="0"/>
              <w:rPr>
                <w:sz w:val="20"/>
                <w:szCs w:val="20"/>
                <w:color w:val="auto"/>
              </w:rPr>
            </w:pPr>
            <w:r>
              <w:rPr>
                <w:rFonts w:ascii="Arial" w:cs="Arial" w:eastAsia="Arial" w:hAnsi="Arial"/>
                <w:sz w:val="18"/>
                <w:szCs w:val="18"/>
                <w:color w:val="auto"/>
                <w:w w:val="98"/>
              </w:rPr>
              <w:t>i</w:t>
            </w: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Borders>
              <w:bottom w:val="single" w:sz="8" w:color="9A9A9A"/>
            </w:tcBorders>
          </w:tcPr>
          <w:p>
            <w:pPr>
              <w:spacing w:after="0"/>
              <w:rPr>
                <w:sz w:val="9"/>
                <w:szCs w:val="9"/>
                <w:color w:val="auto"/>
              </w:rPr>
            </w:pPr>
          </w:p>
        </w:tc>
        <w:tc>
          <w:tcPr>
            <w:tcW w:w="760" w:type="dxa"/>
            <w:vAlign w:val="bottom"/>
            <w:tcBorders>
              <w:bottom w:val="single" w:sz="8" w:color="9A9A9A"/>
            </w:tcBorders>
          </w:tcPr>
          <w:p>
            <w:pPr>
              <w:spacing w:after="0"/>
              <w:rPr>
                <w:sz w:val="9"/>
                <w:szCs w:val="9"/>
                <w:color w:val="auto"/>
              </w:rPr>
            </w:pPr>
          </w:p>
        </w:tc>
        <w:tc>
          <w:tcPr>
            <w:tcW w:w="380" w:type="dxa"/>
            <w:vAlign w:val="bottom"/>
            <w:tcBorders>
              <w:bottom w:val="single" w:sz="8" w:color="9A9A9A"/>
            </w:tcBorders>
          </w:tcPr>
          <w:p>
            <w:pPr>
              <w:spacing w:after="0"/>
              <w:rPr>
                <w:sz w:val="9"/>
                <w:szCs w:val="9"/>
                <w:color w:val="auto"/>
              </w:rPr>
            </w:pPr>
          </w:p>
        </w:tc>
        <w:tc>
          <w:tcPr>
            <w:tcW w:w="60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38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4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520" w:type="dxa"/>
            <w:vAlign w:val="bottom"/>
            <w:tcBorders>
              <w:bottom w:val="single" w:sz="8" w:color="9A9A9A"/>
            </w:tcBorders>
          </w:tcPr>
          <w:p>
            <w:pPr>
              <w:spacing w:after="0"/>
              <w:rPr>
                <w:sz w:val="9"/>
                <w:szCs w:val="9"/>
                <w:color w:val="auto"/>
              </w:rPr>
            </w:pPr>
          </w:p>
        </w:tc>
        <w:tc>
          <w:tcPr>
            <w:tcW w:w="6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76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3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1340" w:type="dxa"/>
            <w:vAlign w:val="bottom"/>
            <w:tcBorders>
              <w:bottom w:val="single" w:sz="8" w:color="9A9A9A"/>
            </w:tcBorders>
          </w:tcPr>
          <w:p>
            <w:pPr>
              <w:spacing w:after="0"/>
              <w:rPr>
                <w:sz w:val="9"/>
                <w:szCs w:val="9"/>
                <w:color w:val="auto"/>
              </w:rPr>
            </w:pPr>
          </w:p>
        </w:tc>
        <w:tc>
          <w:tcPr>
            <w:tcW w:w="740" w:type="dxa"/>
            <w:vAlign w:val="bottom"/>
            <w:tcBorders>
              <w:bottom w:val="single" w:sz="8" w:color="9A9A9A"/>
            </w:tcBorders>
          </w:tcPr>
          <w:p>
            <w:pPr>
              <w:spacing w:after="0"/>
              <w:rPr>
                <w:sz w:val="9"/>
                <w:szCs w:val="9"/>
                <w:color w:val="auto"/>
              </w:rPr>
            </w:pPr>
          </w:p>
        </w:tc>
        <w:tc>
          <w:tcPr>
            <w:tcW w:w="2840" w:type="dxa"/>
            <w:vAlign w:val="bottom"/>
            <w:tcBorders>
              <w:bottom w:val="single" w:sz="8" w:color="9A9A9A"/>
            </w:tcBorders>
          </w:tcPr>
          <w:p>
            <w:pPr>
              <w:spacing w:after="0"/>
              <w:rPr>
                <w:sz w:val="9"/>
                <w:szCs w:val="9"/>
                <w:color w:val="auto"/>
              </w:rPr>
            </w:pPr>
          </w:p>
        </w:tc>
        <w:tc>
          <w:tcPr>
            <w:tcW w:w="78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 w:name="page3"/>
    <w:bookmarkEnd w:id="2"/>
    <w:p>
      <w:pPr>
        <w:jc w:val="center"/>
        <w:ind w:right="40"/>
        <w:spacing w:after="0"/>
        <w:rPr>
          <w:sz w:val="20"/>
          <w:szCs w:val="20"/>
          <w:color w:val="auto"/>
        </w:rPr>
      </w:pPr>
      <w:r>
        <w:rPr>
          <w:rFonts w:ascii="Arial" w:cs="Arial" w:eastAsia="Arial" w:hAnsi="Arial"/>
          <w:sz w:val="18"/>
          <w:szCs w:val="18"/>
          <w:b w:val="1"/>
          <w:bCs w:val="1"/>
          <w:color w:val="auto"/>
        </w:rPr>
        <w:t>FORWARD-LOOKING STATEMENTS</w:t>
      </w:r>
    </w:p>
    <w:p>
      <w:pPr>
        <w:spacing w:after="0" w:line="116" w:lineRule="exact"/>
        <w:rPr>
          <w:sz w:val="20"/>
          <w:szCs w:val="20"/>
          <w:color w:val="auto"/>
        </w:rPr>
      </w:pPr>
    </w:p>
    <w:p>
      <w:pPr>
        <w:jc w:val="both"/>
        <w:spacing w:after="0" w:line="228" w:lineRule="auto"/>
        <w:rPr>
          <w:sz w:val="20"/>
          <w:szCs w:val="20"/>
          <w:color w:val="auto"/>
        </w:rPr>
      </w:pPr>
      <w:r>
        <w:rPr>
          <w:rFonts w:ascii="Arial" w:cs="Arial" w:eastAsia="Arial" w:hAnsi="Arial"/>
          <w:sz w:val="14"/>
          <w:szCs w:val="14"/>
          <w:color w:val="auto"/>
        </w:rPr>
        <w:t>This Quarterly Report on Form 10-Q contains forward-looking statements within the meaning of the Private Securities Litigation Reform Act of 1995. We intend such forward-looking statements to be covered by the safe harbor provisions for forward-looking statements contained in Section 27A of the Securities Act of 1933, as amended and Section 21E of the Securities Exchange Act of 1934, as amended (the “Exchange Act”). All statements other than statements of present and historical facts contained in this Quarterly Report on Form 10-Q, including without limitation, statements regarding our intent, belief and expectations about our future results of operations and financial position, business strategy and approach are forward-looking. You can generally identify forward-looking statements by our use of forward-looking terminology such as “anticipate,” “believe,” “continue,” “could,” “estimate,” “expect,” “intend,” “may,” “might,” “plan,” “potential,” “predict,” “seek,” “vision,” or “should,” or the negative thereof or other variations thereon or comparable terminology. However, the absence of these words or similar terminology does not mean that a statement is not forward-looking.</w:t>
      </w:r>
    </w:p>
    <w:p>
      <w:pPr>
        <w:spacing w:after="0" w:line="76" w:lineRule="exact"/>
        <w:rPr>
          <w:sz w:val="20"/>
          <w:szCs w:val="20"/>
          <w:color w:val="auto"/>
        </w:rPr>
      </w:pPr>
    </w:p>
    <w:p>
      <w:pPr>
        <w:jc w:val="both"/>
        <w:spacing w:after="0" w:line="229" w:lineRule="auto"/>
        <w:rPr>
          <w:sz w:val="20"/>
          <w:szCs w:val="20"/>
          <w:color w:val="auto"/>
        </w:rPr>
      </w:pPr>
      <w:r>
        <w:rPr>
          <w:rFonts w:ascii="Arial" w:cs="Arial" w:eastAsia="Arial" w:hAnsi="Arial"/>
          <w:sz w:val="14"/>
          <w:szCs w:val="14"/>
          <w:color w:val="auto"/>
        </w:rPr>
        <w:t>Forward-looking statements are based on our management’s beliefs and assumptions and on information currently available to us. Such beliefs and assumptions may or may not prove to be correct. Additionally, such forward-looking statements are subject to a number of known and unknown risks, uncertainties and assumptions, and actual results may differ materially from those expressed or implied in the forward-looking statements in this Quarterly Report on Form 10-Q due to various factors, including, but not limited to, those identified in Part I. Item 1A. “Risk Factors” and in Part II. Item 7. “Management's Discussion and Analysis of Financial Condition and Results of Operations” of our Annual Report on Form 10-K for the fiscal year ended December 31, 2022 (the “2022 10-K”) and in Part I. Item 2. “Management’s Discussion and Analysis of Financial Condition and Results of Operations” of this Quarterly Report on Form 10-Q. These risks and uncertainties include, but are not limited to:</w:t>
      </w:r>
    </w:p>
    <w:p>
      <w:pPr>
        <w:spacing w:after="0" w:line="76" w:lineRule="exact"/>
        <w:rPr>
          <w:sz w:val="20"/>
          <w:szCs w:val="20"/>
          <w:color w:val="auto"/>
        </w:rPr>
      </w:pPr>
    </w:p>
    <w:p>
      <w:pPr>
        <w:ind w:left="520" w:right="20" w:hanging="512"/>
        <w:spacing w:after="0" w:line="252" w:lineRule="auto"/>
        <w:tabs>
          <w:tab w:leader="none" w:pos="520" w:val="left"/>
        </w:tabs>
        <w:numPr>
          <w:ilvl w:val="0"/>
          <w:numId w:val="3"/>
        </w:numPr>
        <w:rPr>
          <w:rFonts w:ascii="Arial" w:cs="Arial" w:eastAsia="Arial" w:hAnsi="Arial"/>
          <w:sz w:val="14"/>
          <w:szCs w:val="14"/>
          <w:color w:val="auto"/>
        </w:rPr>
      </w:pPr>
      <w:r>
        <w:rPr>
          <w:rFonts w:ascii="Arial" w:cs="Arial" w:eastAsia="Arial" w:hAnsi="Arial"/>
          <w:sz w:val="14"/>
          <w:szCs w:val="14"/>
          <w:color w:val="auto"/>
        </w:rPr>
        <w:t>An overall decline in the health of the economy and other factors impacting consumer spending, such as natural disasters, the occurrence of a recession, inflation and worsening in economic conditions may affect consumer purchases and reduce demand for our services.</w:t>
      </w:r>
    </w:p>
    <w:p>
      <w:pPr>
        <w:spacing w:after="0" w:line="66" w:lineRule="exact"/>
        <w:rPr>
          <w:rFonts w:ascii="Arial" w:cs="Arial" w:eastAsia="Arial" w:hAnsi="Arial"/>
          <w:sz w:val="14"/>
          <w:szCs w:val="14"/>
          <w:color w:val="auto"/>
        </w:rPr>
      </w:pPr>
    </w:p>
    <w:p>
      <w:pPr>
        <w:ind w:left="520" w:hanging="512"/>
        <w:spacing w:after="0"/>
        <w:tabs>
          <w:tab w:leader="none" w:pos="520" w:val="left"/>
        </w:tabs>
        <w:numPr>
          <w:ilvl w:val="0"/>
          <w:numId w:val="3"/>
        </w:numPr>
        <w:rPr>
          <w:rFonts w:ascii="Arial" w:cs="Arial" w:eastAsia="Arial" w:hAnsi="Arial"/>
          <w:sz w:val="14"/>
          <w:szCs w:val="14"/>
          <w:color w:val="auto"/>
        </w:rPr>
      </w:pPr>
      <w:r>
        <w:rPr>
          <w:rFonts w:ascii="Arial" w:cs="Arial" w:eastAsia="Arial" w:hAnsi="Arial"/>
          <w:sz w:val="14"/>
          <w:szCs w:val="14"/>
          <w:color w:val="auto"/>
        </w:rPr>
        <w:t>Our ability to attract new customers, retain existing customers and maintain or grow the number of Unlimited Wash Club ® (“UWC”) Members.</w:t>
      </w:r>
    </w:p>
    <w:p>
      <w:pPr>
        <w:spacing w:after="0" w:line="95" w:lineRule="exact"/>
        <w:rPr>
          <w:rFonts w:ascii="Arial" w:cs="Arial" w:eastAsia="Arial" w:hAnsi="Arial"/>
          <w:sz w:val="14"/>
          <w:szCs w:val="14"/>
          <w:color w:val="auto"/>
        </w:rPr>
      </w:pPr>
    </w:p>
    <w:p>
      <w:pPr>
        <w:ind w:left="520" w:hanging="512"/>
        <w:spacing w:after="0" w:line="252" w:lineRule="auto"/>
        <w:tabs>
          <w:tab w:leader="none" w:pos="520" w:val="left"/>
        </w:tabs>
        <w:numPr>
          <w:ilvl w:val="0"/>
          <w:numId w:val="3"/>
        </w:numPr>
        <w:rPr>
          <w:rFonts w:ascii="Arial" w:cs="Arial" w:eastAsia="Arial" w:hAnsi="Arial"/>
          <w:sz w:val="14"/>
          <w:szCs w:val="14"/>
          <w:color w:val="auto"/>
        </w:rPr>
      </w:pPr>
      <w:r>
        <w:rPr>
          <w:rFonts w:ascii="Arial" w:cs="Arial" w:eastAsia="Arial" w:hAnsi="Arial"/>
          <w:sz w:val="14"/>
          <w:szCs w:val="14"/>
          <w:color w:val="auto"/>
        </w:rPr>
        <w:t>If we fail to acquire, open and operate new locations in a timely and cost-effective manner and enter into new markets, our financial performance could be materially and adversely affected.</w:t>
      </w:r>
    </w:p>
    <w:p>
      <w:pPr>
        <w:spacing w:after="0" w:line="66" w:lineRule="exact"/>
        <w:rPr>
          <w:rFonts w:ascii="Arial" w:cs="Arial" w:eastAsia="Arial" w:hAnsi="Arial"/>
          <w:sz w:val="14"/>
          <w:szCs w:val="14"/>
          <w:color w:val="auto"/>
        </w:rPr>
      </w:pPr>
    </w:p>
    <w:p>
      <w:pPr>
        <w:ind w:left="520" w:hanging="512"/>
        <w:spacing w:after="0"/>
        <w:tabs>
          <w:tab w:leader="none" w:pos="520" w:val="left"/>
        </w:tabs>
        <w:numPr>
          <w:ilvl w:val="0"/>
          <w:numId w:val="3"/>
        </w:numPr>
        <w:rPr>
          <w:rFonts w:ascii="Arial" w:cs="Arial" w:eastAsia="Arial" w:hAnsi="Arial"/>
          <w:sz w:val="14"/>
          <w:szCs w:val="14"/>
          <w:color w:val="auto"/>
        </w:rPr>
      </w:pPr>
      <w:r>
        <w:rPr>
          <w:rFonts w:ascii="Arial" w:cs="Arial" w:eastAsia="Arial" w:hAnsi="Arial"/>
          <w:sz w:val="14"/>
          <w:szCs w:val="14"/>
          <w:color w:val="auto"/>
        </w:rPr>
        <w:t>We may not be able to successfully implement our growth strategies on a timely basis or at all.</w:t>
      </w:r>
    </w:p>
    <w:p>
      <w:pPr>
        <w:spacing w:after="0" w:line="95" w:lineRule="exact"/>
        <w:rPr>
          <w:rFonts w:ascii="Arial" w:cs="Arial" w:eastAsia="Arial" w:hAnsi="Arial"/>
          <w:sz w:val="14"/>
          <w:szCs w:val="14"/>
          <w:color w:val="auto"/>
        </w:rPr>
      </w:pPr>
    </w:p>
    <w:p>
      <w:pPr>
        <w:ind w:left="520" w:hanging="512"/>
        <w:spacing w:after="0"/>
        <w:tabs>
          <w:tab w:leader="none" w:pos="520" w:val="left"/>
        </w:tabs>
        <w:numPr>
          <w:ilvl w:val="0"/>
          <w:numId w:val="3"/>
        </w:numPr>
        <w:rPr>
          <w:rFonts w:ascii="Arial" w:cs="Arial" w:eastAsia="Arial" w:hAnsi="Arial"/>
          <w:sz w:val="14"/>
          <w:szCs w:val="14"/>
          <w:color w:val="auto"/>
        </w:rPr>
      </w:pPr>
      <w:r>
        <w:rPr>
          <w:rFonts w:ascii="Arial" w:cs="Arial" w:eastAsia="Arial" w:hAnsi="Arial"/>
          <w:sz w:val="14"/>
          <w:szCs w:val="14"/>
          <w:color w:val="auto"/>
        </w:rPr>
        <w:t>We are subject to a number of risks and regulations related to credit card and debit card payments we accept.</w:t>
      </w:r>
    </w:p>
    <w:p>
      <w:pPr>
        <w:spacing w:after="0" w:line="95" w:lineRule="exact"/>
        <w:rPr>
          <w:rFonts w:ascii="Arial" w:cs="Arial" w:eastAsia="Arial" w:hAnsi="Arial"/>
          <w:sz w:val="14"/>
          <w:szCs w:val="14"/>
          <w:color w:val="auto"/>
        </w:rPr>
      </w:pPr>
    </w:p>
    <w:p>
      <w:pPr>
        <w:ind w:left="520" w:hanging="512"/>
        <w:spacing w:after="0"/>
        <w:tabs>
          <w:tab w:leader="none" w:pos="520" w:val="left"/>
        </w:tabs>
        <w:numPr>
          <w:ilvl w:val="0"/>
          <w:numId w:val="3"/>
        </w:numPr>
        <w:rPr>
          <w:rFonts w:ascii="Arial" w:cs="Arial" w:eastAsia="Arial" w:hAnsi="Arial"/>
          <w:sz w:val="14"/>
          <w:szCs w:val="14"/>
          <w:color w:val="auto"/>
        </w:rPr>
      </w:pPr>
      <w:r>
        <w:rPr>
          <w:rFonts w:ascii="Arial" w:cs="Arial" w:eastAsia="Arial" w:hAnsi="Arial"/>
          <w:sz w:val="14"/>
          <w:szCs w:val="14"/>
          <w:color w:val="auto"/>
        </w:rPr>
        <w:t>Supply chain disruption and other increased operating costs could materially and adversely affect our results of operations.</w:t>
      </w:r>
    </w:p>
    <w:p>
      <w:pPr>
        <w:spacing w:after="0" w:line="95" w:lineRule="exact"/>
        <w:rPr>
          <w:rFonts w:ascii="Arial" w:cs="Arial" w:eastAsia="Arial" w:hAnsi="Arial"/>
          <w:sz w:val="14"/>
          <w:szCs w:val="14"/>
          <w:color w:val="auto"/>
        </w:rPr>
      </w:pPr>
    </w:p>
    <w:p>
      <w:pPr>
        <w:ind w:left="520" w:hanging="512"/>
        <w:spacing w:after="0"/>
        <w:tabs>
          <w:tab w:leader="none" w:pos="520" w:val="left"/>
        </w:tabs>
        <w:numPr>
          <w:ilvl w:val="0"/>
          <w:numId w:val="3"/>
        </w:numPr>
        <w:rPr>
          <w:rFonts w:ascii="Arial" w:cs="Arial" w:eastAsia="Arial" w:hAnsi="Arial"/>
          <w:sz w:val="14"/>
          <w:szCs w:val="14"/>
          <w:color w:val="auto"/>
        </w:rPr>
      </w:pPr>
      <w:r>
        <w:rPr>
          <w:rFonts w:ascii="Arial" w:cs="Arial" w:eastAsia="Arial" w:hAnsi="Arial"/>
          <w:sz w:val="14"/>
          <w:szCs w:val="14"/>
          <w:color w:val="auto"/>
        </w:rPr>
        <w:t>Our locations may experience difficulty hiring and retaining key or sufficient qualified personnel or increases in labor costs.</w:t>
      </w:r>
    </w:p>
    <w:p>
      <w:pPr>
        <w:spacing w:after="0" w:line="95" w:lineRule="exact"/>
        <w:rPr>
          <w:rFonts w:ascii="Arial" w:cs="Arial" w:eastAsia="Arial" w:hAnsi="Arial"/>
          <w:sz w:val="14"/>
          <w:szCs w:val="14"/>
          <w:color w:val="auto"/>
        </w:rPr>
      </w:pPr>
    </w:p>
    <w:p>
      <w:pPr>
        <w:ind w:left="520" w:hanging="512"/>
        <w:spacing w:after="0"/>
        <w:tabs>
          <w:tab w:leader="none" w:pos="520" w:val="left"/>
        </w:tabs>
        <w:numPr>
          <w:ilvl w:val="0"/>
          <w:numId w:val="3"/>
        </w:numPr>
        <w:rPr>
          <w:rFonts w:ascii="Arial" w:cs="Arial" w:eastAsia="Arial" w:hAnsi="Arial"/>
          <w:sz w:val="14"/>
          <w:szCs w:val="14"/>
          <w:color w:val="auto"/>
        </w:rPr>
      </w:pPr>
      <w:r>
        <w:rPr>
          <w:rFonts w:ascii="Arial" w:cs="Arial" w:eastAsia="Arial" w:hAnsi="Arial"/>
          <w:sz w:val="14"/>
          <w:szCs w:val="14"/>
          <w:color w:val="auto"/>
        </w:rPr>
        <w:t>We lease or sublease the land and buildings where a number of our locations are situated, which could expose us to possible liabilities and losses.</w:t>
      </w:r>
    </w:p>
    <w:p>
      <w:pPr>
        <w:spacing w:after="0" w:line="95" w:lineRule="exact"/>
        <w:rPr>
          <w:rFonts w:ascii="Arial" w:cs="Arial" w:eastAsia="Arial" w:hAnsi="Arial"/>
          <w:sz w:val="14"/>
          <w:szCs w:val="14"/>
          <w:color w:val="auto"/>
        </w:rPr>
      </w:pPr>
    </w:p>
    <w:p>
      <w:pPr>
        <w:ind w:left="520" w:hanging="512"/>
        <w:spacing w:after="0"/>
        <w:tabs>
          <w:tab w:leader="none" w:pos="520" w:val="left"/>
        </w:tabs>
        <w:numPr>
          <w:ilvl w:val="0"/>
          <w:numId w:val="3"/>
        </w:numPr>
        <w:rPr>
          <w:rFonts w:ascii="Arial" w:cs="Arial" w:eastAsia="Arial" w:hAnsi="Arial"/>
          <w:sz w:val="14"/>
          <w:szCs w:val="14"/>
          <w:color w:val="auto"/>
        </w:rPr>
      </w:pPr>
      <w:r>
        <w:rPr>
          <w:rFonts w:ascii="Arial" w:cs="Arial" w:eastAsia="Arial" w:hAnsi="Arial"/>
          <w:sz w:val="14"/>
          <w:szCs w:val="14"/>
          <w:color w:val="auto"/>
        </w:rPr>
        <w:t>Our indebtedness could adversely affect our financial health and competitive position.</w:t>
      </w:r>
    </w:p>
    <w:p>
      <w:pPr>
        <w:spacing w:after="0" w:line="95" w:lineRule="exact"/>
        <w:rPr>
          <w:rFonts w:ascii="Arial" w:cs="Arial" w:eastAsia="Arial" w:hAnsi="Arial"/>
          <w:sz w:val="14"/>
          <w:szCs w:val="14"/>
          <w:color w:val="auto"/>
        </w:rPr>
      </w:pPr>
    </w:p>
    <w:p>
      <w:pPr>
        <w:ind w:left="520" w:right="20" w:hanging="512"/>
        <w:spacing w:after="0" w:line="252" w:lineRule="auto"/>
        <w:tabs>
          <w:tab w:leader="none" w:pos="520" w:val="left"/>
        </w:tabs>
        <w:numPr>
          <w:ilvl w:val="0"/>
          <w:numId w:val="3"/>
        </w:numPr>
        <w:rPr>
          <w:rFonts w:ascii="Arial" w:cs="Arial" w:eastAsia="Arial" w:hAnsi="Arial"/>
          <w:sz w:val="14"/>
          <w:szCs w:val="14"/>
          <w:color w:val="auto"/>
        </w:rPr>
      </w:pPr>
      <w:r>
        <w:rPr>
          <w:rFonts w:ascii="Arial" w:cs="Arial" w:eastAsia="Arial" w:hAnsi="Arial"/>
          <w:sz w:val="14"/>
          <w:szCs w:val="14"/>
          <w:color w:val="auto"/>
        </w:rPr>
        <w:t>Our business is subject to various laws and regulations, including environmental, and changes in such laws and regulations, or failure to comply with existing or future laws and regulations, could adversely affect our business.</w:t>
      </w:r>
    </w:p>
    <w:p>
      <w:pPr>
        <w:spacing w:after="0" w:line="66" w:lineRule="exact"/>
        <w:rPr>
          <w:rFonts w:ascii="Arial" w:cs="Arial" w:eastAsia="Arial" w:hAnsi="Arial"/>
          <w:sz w:val="14"/>
          <w:szCs w:val="14"/>
          <w:color w:val="auto"/>
        </w:rPr>
      </w:pPr>
    </w:p>
    <w:p>
      <w:pPr>
        <w:ind w:left="520" w:hanging="512"/>
        <w:spacing w:after="0"/>
        <w:tabs>
          <w:tab w:leader="none" w:pos="520" w:val="left"/>
        </w:tabs>
        <w:numPr>
          <w:ilvl w:val="0"/>
          <w:numId w:val="3"/>
        </w:numPr>
        <w:rPr>
          <w:rFonts w:ascii="Arial" w:cs="Arial" w:eastAsia="Arial" w:hAnsi="Arial"/>
          <w:sz w:val="14"/>
          <w:szCs w:val="14"/>
          <w:color w:val="auto"/>
        </w:rPr>
      </w:pPr>
      <w:r>
        <w:rPr>
          <w:rFonts w:ascii="Arial" w:cs="Arial" w:eastAsia="Arial" w:hAnsi="Arial"/>
          <w:sz w:val="14"/>
          <w:szCs w:val="14"/>
          <w:color w:val="auto"/>
        </w:rPr>
        <w:t>We are subject to data security and privacy risks that could negatively impact our results of operations or reputation.</w:t>
      </w:r>
    </w:p>
    <w:p>
      <w:pPr>
        <w:spacing w:after="0" w:line="95" w:lineRule="exact"/>
        <w:rPr>
          <w:rFonts w:ascii="Arial" w:cs="Arial" w:eastAsia="Arial" w:hAnsi="Arial"/>
          <w:sz w:val="14"/>
          <w:szCs w:val="14"/>
          <w:color w:val="auto"/>
        </w:rPr>
      </w:pPr>
    </w:p>
    <w:p>
      <w:pPr>
        <w:ind w:left="520" w:hanging="512"/>
        <w:spacing w:after="0"/>
        <w:tabs>
          <w:tab w:leader="none" w:pos="520" w:val="left"/>
        </w:tabs>
        <w:numPr>
          <w:ilvl w:val="0"/>
          <w:numId w:val="3"/>
        </w:numPr>
        <w:rPr>
          <w:rFonts w:ascii="Arial" w:cs="Arial" w:eastAsia="Arial" w:hAnsi="Arial"/>
          <w:sz w:val="14"/>
          <w:szCs w:val="14"/>
          <w:color w:val="auto"/>
        </w:rPr>
      </w:pPr>
      <w:r>
        <w:rPr>
          <w:rFonts w:ascii="Arial" w:cs="Arial" w:eastAsia="Arial" w:hAnsi="Arial"/>
          <w:sz w:val="14"/>
          <w:szCs w:val="14"/>
          <w:color w:val="auto"/>
        </w:rPr>
        <w:t>We may be unable to adequately protect, and we may incur significant costs in enforcing or defending, our intellectual property and other proprietary rights.</w:t>
      </w:r>
    </w:p>
    <w:p>
      <w:pPr>
        <w:spacing w:after="0" w:line="95" w:lineRule="exact"/>
        <w:rPr>
          <w:rFonts w:ascii="Arial" w:cs="Arial" w:eastAsia="Arial" w:hAnsi="Arial"/>
          <w:sz w:val="14"/>
          <w:szCs w:val="14"/>
          <w:color w:val="auto"/>
        </w:rPr>
      </w:pPr>
    </w:p>
    <w:p>
      <w:pPr>
        <w:ind w:left="520" w:hanging="512"/>
        <w:spacing w:after="0"/>
        <w:tabs>
          <w:tab w:leader="none" w:pos="520" w:val="left"/>
        </w:tabs>
        <w:numPr>
          <w:ilvl w:val="0"/>
          <w:numId w:val="3"/>
        </w:numPr>
        <w:rPr>
          <w:rFonts w:ascii="Arial" w:cs="Arial" w:eastAsia="Arial" w:hAnsi="Arial"/>
          <w:sz w:val="14"/>
          <w:szCs w:val="14"/>
          <w:color w:val="auto"/>
        </w:rPr>
      </w:pPr>
      <w:r>
        <w:rPr>
          <w:rFonts w:ascii="Arial" w:cs="Arial" w:eastAsia="Arial" w:hAnsi="Arial"/>
          <w:sz w:val="14"/>
          <w:szCs w:val="14"/>
          <w:color w:val="auto"/>
        </w:rPr>
        <w:t>Our stock price may be volatile or may decline regardless of our operating performance, resulting in substantial losses for investors purchasing shares of our common stock.</w:t>
      </w:r>
    </w:p>
    <w:p>
      <w:pPr>
        <w:spacing w:after="0" w:line="95" w:lineRule="exact"/>
        <w:rPr>
          <w:sz w:val="20"/>
          <w:szCs w:val="20"/>
          <w:color w:val="auto"/>
        </w:rPr>
      </w:pPr>
    </w:p>
    <w:p>
      <w:pPr>
        <w:spacing w:after="0"/>
        <w:rPr>
          <w:sz w:val="20"/>
          <w:szCs w:val="20"/>
          <w:color w:val="auto"/>
        </w:rPr>
      </w:pPr>
      <w:r>
        <w:rPr>
          <w:rFonts w:ascii="Arial" w:cs="Arial" w:eastAsia="Arial" w:hAnsi="Arial"/>
          <w:sz w:val="14"/>
          <w:szCs w:val="14"/>
          <w:color w:val="auto"/>
        </w:rPr>
        <w:t>Given these and other risks and uncertainties applicable to us, you are cautioned not to place undue reliance on such forward-looking statements.</w:t>
      </w:r>
    </w:p>
    <w:p>
      <w:pPr>
        <w:spacing w:after="0" w:line="95" w:lineRule="exact"/>
        <w:rPr>
          <w:sz w:val="20"/>
          <w:szCs w:val="20"/>
          <w:color w:val="auto"/>
        </w:rPr>
      </w:pPr>
    </w:p>
    <w:p>
      <w:pPr>
        <w:jc w:val="both"/>
        <w:spacing w:after="0" w:line="237" w:lineRule="auto"/>
        <w:rPr>
          <w:sz w:val="20"/>
          <w:szCs w:val="20"/>
          <w:color w:val="auto"/>
        </w:rPr>
      </w:pPr>
      <w:r>
        <w:rPr>
          <w:rFonts w:ascii="Arial" w:cs="Arial" w:eastAsia="Arial" w:hAnsi="Arial"/>
          <w:sz w:val="14"/>
          <w:szCs w:val="14"/>
          <w:color w:val="auto"/>
        </w:rPr>
        <w:t>Any forward-looking statement that we make in this Quarterly Report on Form 10-Q speaks only as of the date hereof. Except as required by law, we do not undertake any obligation to update or revise, or to publicly announce any update or revision to, any of the forward-looking statements, whether as a result of new information, future events or otherwise, after the date of this Quarterly Report on Form 10-Q.</w:t>
      </w:r>
    </w:p>
    <w:p>
      <w:pPr>
        <w:spacing w:after="0" w:line="76" w:lineRule="exact"/>
        <w:rPr>
          <w:sz w:val="20"/>
          <w:szCs w:val="20"/>
          <w:color w:val="auto"/>
        </w:rPr>
      </w:pPr>
    </w:p>
    <w:p>
      <w:pPr>
        <w:jc w:val="both"/>
        <w:spacing w:after="0" w:line="236" w:lineRule="auto"/>
        <w:rPr>
          <w:sz w:val="20"/>
          <w:szCs w:val="20"/>
          <w:color w:val="auto"/>
        </w:rPr>
      </w:pPr>
      <w:r>
        <w:rPr>
          <w:rFonts w:ascii="Arial" w:cs="Arial" w:eastAsia="Arial" w:hAnsi="Arial"/>
          <w:sz w:val="14"/>
          <w:szCs w:val="14"/>
          <w:color w:val="auto"/>
        </w:rPr>
        <w:t>As used in this Quarterly Report on Form 10-Q, unless otherwise stated or the context requires otherwise, references to “Mister Car Wash,” “Mister,” the “Company,” “we,” “us,” and “our,” refer to Mister Car Wash, Inc. and its subsidiaries on a consolidated basis.</w:t>
      </w: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60325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PART I—FINANCIAL INFORMATION</w:t>
      </w: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Mister Car Wash,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and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6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6"/>
                <w:szCs w:val="16"/>
                <w:b w:val="1"/>
                <w:bCs w:val="1"/>
                <w:color w:val="auto"/>
              </w:rPr>
              <w:t>As of</w:t>
            </w:r>
          </w:p>
        </w:tc>
        <w:tc>
          <w:tcPr>
            <w:tcW w:w="14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23"/>
        </w:trPr>
        <w:tc>
          <w:tcPr>
            <w:tcW w:w="7680" w:type="dxa"/>
            <w:vAlign w:val="bottom"/>
          </w:tcPr>
          <w:p>
            <w:pPr>
              <w:ind w:left="60"/>
              <w:spacing w:after="0"/>
              <w:rPr>
                <w:sz w:val="20"/>
                <w:szCs w:val="20"/>
                <w:color w:val="auto"/>
              </w:rPr>
            </w:pPr>
            <w:r>
              <w:rPr>
                <w:rFonts w:ascii="Arial" w:cs="Arial" w:eastAsia="Arial" w:hAnsi="Arial"/>
                <w:sz w:val="14"/>
                <w:szCs w:val="14"/>
                <w:i w:val="1"/>
                <w:iCs w:val="1"/>
                <w:color w:val="auto"/>
              </w:rPr>
              <w:t>(Amounts in thousands, except share and per share data)</w:t>
            </w:r>
          </w:p>
        </w:tc>
        <w:tc>
          <w:tcPr>
            <w:tcW w:w="12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w w:val="89"/>
              </w:rPr>
              <w:t>September 30, 2023</w:t>
            </w:r>
          </w:p>
        </w:tc>
        <w:tc>
          <w:tcPr>
            <w:tcW w:w="2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w w:val="91"/>
              </w:rPr>
              <w:t>December 31, 2022</w:t>
            </w:r>
          </w:p>
        </w:tc>
        <w:tc>
          <w:tcPr>
            <w:tcW w:w="100" w:type="dxa"/>
            <w:vAlign w:val="bottom"/>
          </w:tcPr>
          <w:p>
            <w:pPr>
              <w:spacing w:after="0"/>
              <w:rPr>
                <w:sz w:val="19"/>
                <w:szCs w:val="19"/>
                <w:color w:val="auto"/>
              </w:rPr>
            </w:pPr>
          </w:p>
        </w:tc>
      </w:tr>
      <w:tr>
        <w:trPr>
          <w:trHeight w:val="243"/>
        </w:trPr>
        <w:tc>
          <w:tcPr>
            <w:tcW w:w="768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Assets</w:t>
            </w:r>
          </w:p>
        </w:tc>
        <w:tc>
          <w:tcPr>
            <w:tcW w:w="120" w:type="dxa"/>
            <w:vAlign w:val="bottom"/>
            <w:shd w:val="clear" w:color="auto" w:fill="CFF0FC"/>
          </w:tcPr>
          <w:p>
            <w:pPr>
              <w:spacing w:after="0"/>
              <w:rPr>
                <w:sz w:val="21"/>
                <w:szCs w:val="21"/>
                <w:color w:val="auto"/>
              </w:rPr>
            </w:pPr>
          </w:p>
        </w:tc>
        <w:tc>
          <w:tcPr>
            <w:tcW w:w="148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4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6"/>
        </w:trPr>
        <w:tc>
          <w:tcPr>
            <w:tcW w:w="768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1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9"/>
        </w:trPr>
        <w:tc>
          <w:tcPr>
            <w:tcW w:w="76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Cash and cash equivalents</w:t>
            </w:r>
          </w:p>
        </w:tc>
        <w:tc>
          <w:tcPr>
            <w:tcW w:w="12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4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62,133</w:t>
            </w:r>
          </w:p>
        </w:tc>
        <w:tc>
          <w:tcPr>
            <w:tcW w:w="38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14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65,152</w:t>
            </w:r>
          </w:p>
        </w:tc>
        <w:tc>
          <w:tcPr>
            <w:tcW w:w="100" w:type="dxa"/>
            <w:vAlign w:val="bottom"/>
            <w:shd w:val="clear" w:color="auto" w:fill="CFF0FC"/>
          </w:tcPr>
          <w:p>
            <w:pPr>
              <w:spacing w:after="0"/>
              <w:rPr>
                <w:sz w:val="21"/>
                <w:szCs w:val="21"/>
                <w:color w:val="auto"/>
              </w:rPr>
            </w:pPr>
          </w:p>
        </w:tc>
      </w:tr>
      <w:tr>
        <w:trPr>
          <w:trHeight w:val="236"/>
        </w:trPr>
        <w:tc>
          <w:tcPr>
            <w:tcW w:w="7680" w:type="dxa"/>
            <w:vAlign w:val="bottom"/>
          </w:tcPr>
          <w:p>
            <w:pPr>
              <w:ind w:left="200"/>
              <w:spacing w:after="0"/>
              <w:rPr>
                <w:sz w:val="20"/>
                <w:szCs w:val="20"/>
                <w:color w:val="auto"/>
              </w:rPr>
            </w:pPr>
            <w:r>
              <w:rPr>
                <w:rFonts w:ascii="Arial" w:cs="Arial" w:eastAsia="Arial" w:hAnsi="Arial"/>
                <w:sz w:val="18"/>
                <w:szCs w:val="18"/>
                <w:color w:val="auto"/>
              </w:rPr>
              <w:t>Restricted cash</w:t>
            </w:r>
          </w:p>
        </w:tc>
        <w:tc>
          <w:tcPr>
            <w:tcW w:w="12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107</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70</w:t>
            </w:r>
          </w:p>
        </w:tc>
        <w:tc>
          <w:tcPr>
            <w:tcW w:w="100" w:type="dxa"/>
            <w:vAlign w:val="bottom"/>
          </w:tcPr>
          <w:p>
            <w:pPr>
              <w:spacing w:after="0"/>
              <w:rPr>
                <w:sz w:val="20"/>
                <w:szCs w:val="20"/>
                <w:color w:val="auto"/>
              </w:rPr>
            </w:pPr>
          </w:p>
        </w:tc>
      </w:tr>
      <w:tr>
        <w:trPr>
          <w:trHeight w:val="249"/>
        </w:trPr>
        <w:tc>
          <w:tcPr>
            <w:tcW w:w="76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Accounts receivable, net</w:t>
            </w:r>
          </w:p>
        </w:tc>
        <w:tc>
          <w:tcPr>
            <w:tcW w:w="120" w:type="dxa"/>
            <w:vAlign w:val="bottom"/>
            <w:shd w:val="clear" w:color="auto" w:fill="CFF0FC"/>
          </w:tcPr>
          <w:p>
            <w:pPr>
              <w:spacing w:after="0"/>
              <w:rPr>
                <w:sz w:val="21"/>
                <w:szCs w:val="21"/>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5,816</w:t>
            </w:r>
          </w:p>
        </w:tc>
        <w:tc>
          <w:tcPr>
            <w:tcW w:w="2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3,941</w:t>
            </w:r>
          </w:p>
        </w:tc>
        <w:tc>
          <w:tcPr>
            <w:tcW w:w="100" w:type="dxa"/>
            <w:vAlign w:val="bottom"/>
            <w:shd w:val="clear" w:color="auto" w:fill="CFF0FC"/>
          </w:tcPr>
          <w:p>
            <w:pPr>
              <w:spacing w:after="0"/>
              <w:rPr>
                <w:sz w:val="21"/>
                <w:szCs w:val="21"/>
                <w:color w:val="auto"/>
              </w:rPr>
            </w:pPr>
          </w:p>
        </w:tc>
      </w:tr>
      <w:tr>
        <w:trPr>
          <w:trHeight w:val="236"/>
        </w:trPr>
        <w:tc>
          <w:tcPr>
            <w:tcW w:w="7680" w:type="dxa"/>
            <w:vAlign w:val="bottom"/>
          </w:tcPr>
          <w:p>
            <w:pPr>
              <w:ind w:left="200"/>
              <w:spacing w:after="0"/>
              <w:rPr>
                <w:sz w:val="20"/>
                <w:szCs w:val="20"/>
                <w:color w:val="auto"/>
              </w:rPr>
            </w:pPr>
            <w:r>
              <w:rPr>
                <w:rFonts w:ascii="Arial" w:cs="Arial" w:eastAsia="Arial" w:hAnsi="Arial"/>
                <w:sz w:val="18"/>
                <w:szCs w:val="18"/>
                <w:color w:val="auto"/>
              </w:rPr>
              <w:t>Other receivables</w:t>
            </w:r>
          </w:p>
        </w:tc>
        <w:tc>
          <w:tcPr>
            <w:tcW w:w="12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14,987</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15,182</w:t>
            </w:r>
          </w:p>
        </w:tc>
        <w:tc>
          <w:tcPr>
            <w:tcW w:w="100" w:type="dxa"/>
            <w:vAlign w:val="bottom"/>
          </w:tcPr>
          <w:p>
            <w:pPr>
              <w:spacing w:after="0"/>
              <w:rPr>
                <w:sz w:val="20"/>
                <w:szCs w:val="20"/>
                <w:color w:val="auto"/>
              </w:rPr>
            </w:pPr>
          </w:p>
        </w:tc>
      </w:tr>
      <w:tr>
        <w:trPr>
          <w:trHeight w:val="249"/>
        </w:trPr>
        <w:tc>
          <w:tcPr>
            <w:tcW w:w="76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Inventory, net</w:t>
            </w:r>
          </w:p>
        </w:tc>
        <w:tc>
          <w:tcPr>
            <w:tcW w:w="120" w:type="dxa"/>
            <w:vAlign w:val="bottom"/>
            <w:shd w:val="clear" w:color="auto" w:fill="CFF0FC"/>
          </w:tcPr>
          <w:p>
            <w:pPr>
              <w:spacing w:after="0"/>
              <w:rPr>
                <w:sz w:val="21"/>
                <w:szCs w:val="21"/>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9,222</w:t>
            </w:r>
          </w:p>
        </w:tc>
        <w:tc>
          <w:tcPr>
            <w:tcW w:w="2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9,174</w:t>
            </w:r>
          </w:p>
        </w:tc>
        <w:tc>
          <w:tcPr>
            <w:tcW w:w="100" w:type="dxa"/>
            <w:vAlign w:val="bottom"/>
            <w:shd w:val="clear" w:color="auto" w:fill="CFF0FC"/>
          </w:tcPr>
          <w:p>
            <w:pPr>
              <w:spacing w:after="0"/>
              <w:rPr>
                <w:sz w:val="21"/>
                <w:szCs w:val="21"/>
                <w:color w:val="auto"/>
              </w:rPr>
            </w:pPr>
          </w:p>
        </w:tc>
      </w:tr>
      <w:tr>
        <w:trPr>
          <w:trHeight w:val="229"/>
        </w:trPr>
        <w:tc>
          <w:tcPr>
            <w:tcW w:w="7680" w:type="dxa"/>
            <w:vAlign w:val="bottom"/>
          </w:tcPr>
          <w:p>
            <w:pPr>
              <w:ind w:left="200"/>
              <w:spacing w:after="0"/>
              <w:rPr>
                <w:sz w:val="20"/>
                <w:szCs w:val="20"/>
                <w:color w:val="auto"/>
              </w:rPr>
            </w:pPr>
            <w:r>
              <w:rPr>
                <w:rFonts w:ascii="Arial" w:cs="Arial" w:eastAsia="Arial" w:hAnsi="Arial"/>
                <w:sz w:val="18"/>
                <w:szCs w:val="18"/>
                <w:color w:val="auto"/>
              </w:rPr>
              <w:t>Prepaid expenses and other current assets</w:t>
            </w:r>
          </w:p>
        </w:tc>
        <w:tc>
          <w:tcPr>
            <w:tcW w:w="12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13,026</w:t>
            </w:r>
          </w:p>
        </w:tc>
        <w:tc>
          <w:tcPr>
            <w:tcW w:w="2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12,618</w:t>
            </w:r>
          </w:p>
        </w:tc>
        <w:tc>
          <w:tcPr>
            <w:tcW w:w="100" w:type="dxa"/>
            <w:vAlign w:val="bottom"/>
          </w:tcPr>
          <w:p>
            <w:pPr>
              <w:spacing w:after="0"/>
              <w:rPr>
                <w:sz w:val="19"/>
                <w:szCs w:val="19"/>
                <w:color w:val="auto"/>
              </w:rPr>
            </w:pPr>
          </w:p>
        </w:tc>
      </w:tr>
      <w:tr>
        <w:trPr>
          <w:trHeight w:val="223"/>
        </w:trPr>
        <w:tc>
          <w:tcPr>
            <w:tcW w:w="76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current assets</w:t>
            </w:r>
          </w:p>
        </w:tc>
        <w:tc>
          <w:tcPr>
            <w:tcW w:w="120" w:type="dxa"/>
            <w:vAlign w:val="bottom"/>
            <w:tcBorders>
              <w:bottom w:val="single" w:sz="8" w:color="auto"/>
            </w:tcBorders>
            <w:shd w:val="clear" w:color="auto" w:fill="CFF0FC"/>
          </w:tcPr>
          <w:p>
            <w:pPr>
              <w:spacing w:after="0"/>
              <w:rPr>
                <w:sz w:val="19"/>
                <w:szCs w:val="19"/>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105,291</w:t>
            </w:r>
          </w:p>
        </w:tc>
        <w:tc>
          <w:tcPr>
            <w:tcW w:w="28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106,137</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472"/>
        </w:trPr>
        <w:tc>
          <w:tcPr>
            <w:tcW w:w="7680" w:type="dxa"/>
            <w:vAlign w:val="bottom"/>
          </w:tcPr>
          <w:p>
            <w:pPr>
              <w:ind w:left="20"/>
              <w:spacing w:after="0"/>
              <w:rPr>
                <w:sz w:val="20"/>
                <w:szCs w:val="20"/>
                <w:color w:val="auto"/>
              </w:rPr>
            </w:pPr>
            <w:r>
              <w:rPr>
                <w:rFonts w:ascii="Arial" w:cs="Arial" w:eastAsia="Arial" w:hAnsi="Arial"/>
                <w:sz w:val="18"/>
                <w:szCs w:val="18"/>
                <w:color w:val="auto"/>
              </w:rPr>
              <w:t>Property and equipment, net</w:t>
            </w:r>
          </w:p>
        </w:tc>
        <w:tc>
          <w:tcPr>
            <w:tcW w:w="120" w:type="dxa"/>
            <w:vAlign w:val="bottom"/>
          </w:tcPr>
          <w:p>
            <w:pPr>
              <w:spacing w:after="0"/>
              <w:rPr>
                <w:sz w:val="24"/>
                <w:szCs w:val="24"/>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660,733</w:t>
            </w: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560,874</w:t>
            </w:r>
          </w:p>
        </w:tc>
        <w:tc>
          <w:tcPr>
            <w:tcW w:w="100" w:type="dxa"/>
            <w:vAlign w:val="bottom"/>
          </w:tcPr>
          <w:p>
            <w:pPr>
              <w:spacing w:after="0"/>
              <w:rPr>
                <w:sz w:val="24"/>
                <w:szCs w:val="24"/>
                <w:color w:val="auto"/>
              </w:rPr>
            </w:pPr>
          </w:p>
        </w:tc>
      </w:tr>
      <w:tr>
        <w:trPr>
          <w:trHeight w:val="249"/>
        </w:trPr>
        <w:tc>
          <w:tcPr>
            <w:tcW w:w="7680" w:type="dxa"/>
            <w:vAlign w:val="bottom"/>
            <w:shd w:val="clear" w:color="auto" w:fill="CFF0FC"/>
          </w:tcPr>
          <w:p>
            <w:pPr>
              <w:ind w:left="20"/>
              <w:spacing w:after="0"/>
              <w:rPr>
                <w:sz w:val="20"/>
                <w:szCs w:val="20"/>
                <w:color w:val="auto"/>
              </w:rPr>
            </w:pPr>
            <w:r>
              <w:rPr>
                <w:rFonts w:ascii="Arial" w:cs="Arial" w:eastAsia="Arial" w:hAnsi="Arial"/>
                <w:sz w:val="18"/>
                <w:szCs w:val="18"/>
                <w:color w:val="auto"/>
              </w:rPr>
              <w:t>Operating lease right of use assets, net</w:t>
            </w:r>
          </w:p>
        </w:tc>
        <w:tc>
          <w:tcPr>
            <w:tcW w:w="120" w:type="dxa"/>
            <w:vAlign w:val="bottom"/>
            <w:shd w:val="clear" w:color="auto" w:fill="CFF0FC"/>
          </w:tcPr>
          <w:p>
            <w:pPr>
              <w:spacing w:after="0"/>
              <w:rPr>
                <w:sz w:val="21"/>
                <w:szCs w:val="21"/>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829,790</w:t>
            </w:r>
          </w:p>
        </w:tc>
        <w:tc>
          <w:tcPr>
            <w:tcW w:w="2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776,689</w:t>
            </w:r>
          </w:p>
        </w:tc>
        <w:tc>
          <w:tcPr>
            <w:tcW w:w="100" w:type="dxa"/>
            <w:vAlign w:val="bottom"/>
            <w:shd w:val="clear" w:color="auto" w:fill="CFF0FC"/>
          </w:tcPr>
          <w:p>
            <w:pPr>
              <w:spacing w:after="0"/>
              <w:rPr>
                <w:sz w:val="21"/>
                <w:szCs w:val="21"/>
                <w:color w:val="auto"/>
              </w:rPr>
            </w:pPr>
          </w:p>
        </w:tc>
      </w:tr>
      <w:tr>
        <w:trPr>
          <w:trHeight w:val="236"/>
        </w:trPr>
        <w:tc>
          <w:tcPr>
            <w:tcW w:w="7680" w:type="dxa"/>
            <w:vAlign w:val="bottom"/>
          </w:tcPr>
          <w:p>
            <w:pPr>
              <w:ind w:left="20"/>
              <w:spacing w:after="0"/>
              <w:rPr>
                <w:sz w:val="20"/>
                <w:szCs w:val="20"/>
                <w:color w:val="auto"/>
              </w:rPr>
            </w:pPr>
            <w:r>
              <w:rPr>
                <w:rFonts w:ascii="Arial" w:cs="Arial" w:eastAsia="Arial" w:hAnsi="Arial"/>
                <w:sz w:val="18"/>
                <w:szCs w:val="18"/>
                <w:color w:val="auto"/>
              </w:rPr>
              <w:t>Other intangible assets, net</w:t>
            </w:r>
          </w:p>
        </w:tc>
        <w:tc>
          <w:tcPr>
            <w:tcW w:w="12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119,341</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123,615</w:t>
            </w:r>
          </w:p>
        </w:tc>
        <w:tc>
          <w:tcPr>
            <w:tcW w:w="100" w:type="dxa"/>
            <w:vAlign w:val="bottom"/>
          </w:tcPr>
          <w:p>
            <w:pPr>
              <w:spacing w:after="0"/>
              <w:rPr>
                <w:sz w:val="20"/>
                <w:szCs w:val="20"/>
                <w:color w:val="auto"/>
              </w:rPr>
            </w:pPr>
          </w:p>
        </w:tc>
      </w:tr>
      <w:tr>
        <w:trPr>
          <w:trHeight w:val="249"/>
        </w:trPr>
        <w:tc>
          <w:tcPr>
            <w:tcW w:w="7680" w:type="dxa"/>
            <w:vAlign w:val="bottom"/>
            <w:shd w:val="clear" w:color="auto" w:fill="CFF0FC"/>
          </w:tcPr>
          <w:p>
            <w:pPr>
              <w:ind w:left="20"/>
              <w:spacing w:after="0"/>
              <w:rPr>
                <w:sz w:val="20"/>
                <w:szCs w:val="20"/>
                <w:color w:val="auto"/>
              </w:rPr>
            </w:pPr>
            <w:r>
              <w:rPr>
                <w:rFonts w:ascii="Arial" w:cs="Arial" w:eastAsia="Arial" w:hAnsi="Arial"/>
                <w:sz w:val="18"/>
                <w:szCs w:val="18"/>
                <w:color w:val="auto"/>
              </w:rPr>
              <w:t>Goodwill</w:t>
            </w:r>
          </w:p>
        </w:tc>
        <w:tc>
          <w:tcPr>
            <w:tcW w:w="120" w:type="dxa"/>
            <w:vAlign w:val="bottom"/>
            <w:shd w:val="clear" w:color="auto" w:fill="CFF0FC"/>
          </w:tcPr>
          <w:p>
            <w:pPr>
              <w:spacing w:after="0"/>
              <w:rPr>
                <w:sz w:val="21"/>
                <w:szCs w:val="21"/>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1,135,506</w:t>
            </w:r>
          </w:p>
        </w:tc>
        <w:tc>
          <w:tcPr>
            <w:tcW w:w="2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1,109,815</w:t>
            </w:r>
          </w:p>
        </w:tc>
        <w:tc>
          <w:tcPr>
            <w:tcW w:w="100" w:type="dxa"/>
            <w:vAlign w:val="bottom"/>
            <w:shd w:val="clear" w:color="auto" w:fill="CFF0FC"/>
          </w:tcPr>
          <w:p>
            <w:pPr>
              <w:spacing w:after="0"/>
              <w:rPr>
                <w:sz w:val="21"/>
                <w:szCs w:val="21"/>
                <w:color w:val="auto"/>
              </w:rPr>
            </w:pPr>
          </w:p>
        </w:tc>
      </w:tr>
      <w:tr>
        <w:trPr>
          <w:trHeight w:val="229"/>
        </w:trPr>
        <w:tc>
          <w:tcPr>
            <w:tcW w:w="7680" w:type="dxa"/>
            <w:vAlign w:val="bottom"/>
          </w:tcPr>
          <w:p>
            <w:pPr>
              <w:ind w:left="20"/>
              <w:spacing w:after="0"/>
              <w:rPr>
                <w:sz w:val="20"/>
                <w:szCs w:val="20"/>
                <w:color w:val="auto"/>
              </w:rPr>
            </w:pPr>
            <w:r>
              <w:rPr>
                <w:rFonts w:ascii="Arial" w:cs="Arial" w:eastAsia="Arial" w:hAnsi="Arial"/>
                <w:sz w:val="18"/>
                <w:szCs w:val="18"/>
                <w:color w:val="auto"/>
              </w:rPr>
              <w:t>Other assets</w:t>
            </w:r>
          </w:p>
        </w:tc>
        <w:tc>
          <w:tcPr>
            <w:tcW w:w="12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9,013</w:t>
            </w:r>
          </w:p>
        </w:tc>
        <w:tc>
          <w:tcPr>
            <w:tcW w:w="2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9,102</w:t>
            </w:r>
          </w:p>
        </w:tc>
        <w:tc>
          <w:tcPr>
            <w:tcW w:w="100" w:type="dxa"/>
            <w:vAlign w:val="bottom"/>
          </w:tcPr>
          <w:p>
            <w:pPr>
              <w:spacing w:after="0"/>
              <w:rPr>
                <w:sz w:val="19"/>
                <w:szCs w:val="19"/>
                <w:color w:val="auto"/>
              </w:rPr>
            </w:pPr>
          </w:p>
        </w:tc>
      </w:tr>
      <w:tr>
        <w:trPr>
          <w:trHeight w:val="263"/>
        </w:trPr>
        <w:tc>
          <w:tcPr>
            <w:tcW w:w="7680" w:type="dxa"/>
            <w:vAlign w:val="bottom"/>
            <w:shd w:val="clear" w:color="auto" w:fill="CFF0FC"/>
          </w:tcPr>
          <w:p>
            <w:pPr>
              <w:ind w:left="20"/>
              <w:spacing w:after="0"/>
              <w:rPr>
                <w:sz w:val="20"/>
                <w:szCs w:val="20"/>
                <w:color w:val="auto"/>
              </w:rPr>
            </w:pPr>
            <w:r>
              <w:rPr>
                <w:rFonts w:ascii="Arial" w:cs="Arial" w:eastAsia="Arial" w:hAnsi="Arial"/>
                <w:sz w:val="18"/>
                <w:szCs w:val="18"/>
                <w:color w:val="auto"/>
              </w:rPr>
              <w:t>Total assets</w:t>
            </w:r>
          </w:p>
        </w:tc>
        <w:tc>
          <w:tcPr>
            <w:tcW w:w="12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4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2,859,674</w:t>
            </w:r>
          </w:p>
        </w:tc>
        <w:tc>
          <w:tcPr>
            <w:tcW w:w="38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14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2,686,232</w:t>
            </w:r>
          </w:p>
        </w:tc>
        <w:tc>
          <w:tcPr>
            <w:tcW w:w="100" w:type="dxa"/>
            <w:vAlign w:val="bottom"/>
            <w:shd w:val="clear" w:color="auto" w:fill="CFF0FC"/>
          </w:tcPr>
          <w:p>
            <w:pPr>
              <w:spacing w:after="0"/>
              <w:rPr>
                <w:sz w:val="22"/>
                <w:szCs w:val="22"/>
                <w:color w:val="auto"/>
              </w:rPr>
            </w:pPr>
          </w:p>
        </w:tc>
      </w:tr>
      <w:tr>
        <w:trPr>
          <w:trHeight w:val="459"/>
        </w:trPr>
        <w:tc>
          <w:tcPr>
            <w:tcW w:w="7680" w:type="dxa"/>
            <w:vAlign w:val="bottom"/>
            <w:tcBorders>
              <w:top w:val="single" w:sz="8" w:color="CFF0FC"/>
            </w:tcBorders>
          </w:tcPr>
          <w:p>
            <w:pPr>
              <w:ind w:left="20"/>
              <w:spacing w:after="0"/>
              <w:rPr>
                <w:sz w:val="20"/>
                <w:szCs w:val="20"/>
                <w:color w:val="auto"/>
              </w:rPr>
            </w:pPr>
            <w:r>
              <w:rPr>
                <w:rFonts w:ascii="Arial" w:cs="Arial" w:eastAsia="Arial" w:hAnsi="Arial"/>
                <w:sz w:val="18"/>
                <w:szCs w:val="18"/>
                <w:b w:val="1"/>
                <w:bCs w:val="1"/>
                <w:color w:val="auto"/>
              </w:rPr>
              <w:t>Liabilities and stockholders’ equity</w:t>
            </w:r>
          </w:p>
        </w:tc>
        <w:tc>
          <w:tcPr>
            <w:tcW w:w="120" w:type="dxa"/>
            <w:vAlign w:val="bottom"/>
            <w:tcBorders>
              <w:top w:val="single" w:sz="8" w:color="auto"/>
            </w:tcBorders>
          </w:tcPr>
          <w:p>
            <w:pPr>
              <w:spacing w:after="0"/>
              <w:rPr>
                <w:sz w:val="24"/>
                <w:szCs w:val="24"/>
                <w:color w:val="auto"/>
              </w:rPr>
            </w:pPr>
          </w:p>
        </w:tc>
        <w:tc>
          <w:tcPr>
            <w:tcW w:w="1480" w:type="dxa"/>
            <w:vAlign w:val="bottom"/>
            <w:tcBorders>
              <w:top w:val="single" w:sz="8" w:color="auto"/>
            </w:tcBorders>
          </w:tcPr>
          <w:p>
            <w:pPr>
              <w:spacing w:after="0"/>
              <w:rPr>
                <w:sz w:val="24"/>
                <w:szCs w:val="24"/>
                <w:color w:val="auto"/>
              </w:rPr>
            </w:pPr>
          </w:p>
        </w:tc>
        <w:tc>
          <w:tcPr>
            <w:tcW w:w="280" w:type="dxa"/>
            <w:vAlign w:val="bottom"/>
            <w:tcBorders>
              <w:top w:val="single" w:sz="8" w:color="CFF0FC"/>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48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r>
      <w:tr>
        <w:trPr>
          <w:trHeight w:val="249"/>
        </w:trPr>
        <w:tc>
          <w:tcPr>
            <w:tcW w:w="7680" w:type="dxa"/>
            <w:vAlign w:val="bottom"/>
            <w:shd w:val="clear" w:color="auto" w:fill="CFF0FC"/>
          </w:tcPr>
          <w:p>
            <w:pPr>
              <w:ind w:left="20"/>
              <w:spacing w:after="0"/>
              <w:rPr>
                <w:sz w:val="20"/>
                <w:szCs w:val="20"/>
                <w:color w:val="auto"/>
              </w:rPr>
            </w:pPr>
            <w:r>
              <w:rPr>
                <w:rFonts w:ascii="Arial" w:cs="Arial" w:eastAsia="Arial" w:hAnsi="Arial"/>
                <w:sz w:val="18"/>
                <w:szCs w:val="18"/>
                <w:color w:val="auto"/>
              </w:rPr>
              <w:t>Current liabilities:</w:t>
            </w:r>
          </w:p>
        </w:tc>
        <w:tc>
          <w:tcPr>
            <w:tcW w:w="120" w:type="dxa"/>
            <w:vAlign w:val="bottom"/>
            <w:shd w:val="clear" w:color="auto" w:fill="CFF0FC"/>
          </w:tcPr>
          <w:p>
            <w:pPr>
              <w:spacing w:after="0"/>
              <w:rPr>
                <w:sz w:val="21"/>
                <w:szCs w:val="21"/>
                <w:color w:val="auto"/>
              </w:rPr>
            </w:pPr>
          </w:p>
        </w:tc>
        <w:tc>
          <w:tcPr>
            <w:tcW w:w="148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4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6"/>
        </w:trPr>
        <w:tc>
          <w:tcPr>
            <w:tcW w:w="7680" w:type="dxa"/>
            <w:vAlign w:val="bottom"/>
          </w:tcPr>
          <w:p>
            <w:pPr>
              <w:ind w:left="200"/>
              <w:spacing w:after="0"/>
              <w:rPr>
                <w:sz w:val="20"/>
                <w:szCs w:val="20"/>
                <w:color w:val="auto"/>
              </w:rPr>
            </w:pPr>
            <w:r>
              <w:rPr>
                <w:rFonts w:ascii="Arial" w:cs="Arial" w:eastAsia="Arial" w:hAnsi="Arial"/>
                <w:sz w:val="18"/>
                <w:szCs w:val="18"/>
                <w:color w:val="auto"/>
              </w:rPr>
              <w:t>Accounts payable</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80" w:type="dxa"/>
            <w:vAlign w:val="bottom"/>
          </w:tcPr>
          <w:p>
            <w:pPr>
              <w:jc w:val="right"/>
              <w:spacing w:after="0"/>
              <w:rPr>
                <w:sz w:val="20"/>
                <w:szCs w:val="20"/>
                <w:color w:val="auto"/>
              </w:rPr>
            </w:pPr>
            <w:r>
              <w:rPr>
                <w:rFonts w:ascii="Arial" w:cs="Arial" w:eastAsia="Arial" w:hAnsi="Arial"/>
                <w:sz w:val="16"/>
                <w:szCs w:val="16"/>
                <w:color w:val="auto"/>
              </w:rPr>
              <w:t>34,791</w:t>
            </w:r>
          </w:p>
        </w:tc>
        <w:tc>
          <w:tcPr>
            <w:tcW w:w="38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480" w:type="dxa"/>
            <w:vAlign w:val="bottom"/>
          </w:tcPr>
          <w:p>
            <w:pPr>
              <w:jc w:val="right"/>
              <w:spacing w:after="0"/>
              <w:rPr>
                <w:sz w:val="20"/>
                <w:szCs w:val="20"/>
                <w:color w:val="auto"/>
              </w:rPr>
            </w:pPr>
            <w:r>
              <w:rPr>
                <w:rFonts w:ascii="Arial" w:cs="Arial" w:eastAsia="Arial" w:hAnsi="Arial"/>
                <w:sz w:val="16"/>
                <w:szCs w:val="16"/>
                <w:color w:val="auto"/>
              </w:rPr>
              <w:t>25,649</w:t>
            </w:r>
          </w:p>
        </w:tc>
        <w:tc>
          <w:tcPr>
            <w:tcW w:w="100" w:type="dxa"/>
            <w:vAlign w:val="bottom"/>
          </w:tcPr>
          <w:p>
            <w:pPr>
              <w:spacing w:after="0"/>
              <w:rPr>
                <w:sz w:val="20"/>
                <w:szCs w:val="20"/>
                <w:color w:val="auto"/>
              </w:rPr>
            </w:pPr>
          </w:p>
        </w:tc>
      </w:tr>
      <w:tr>
        <w:trPr>
          <w:trHeight w:val="249"/>
        </w:trPr>
        <w:tc>
          <w:tcPr>
            <w:tcW w:w="76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Accrued payroll and related expenses</w:t>
            </w:r>
          </w:p>
        </w:tc>
        <w:tc>
          <w:tcPr>
            <w:tcW w:w="120" w:type="dxa"/>
            <w:vAlign w:val="bottom"/>
            <w:shd w:val="clear" w:color="auto" w:fill="CFF0FC"/>
          </w:tcPr>
          <w:p>
            <w:pPr>
              <w:spacing w:after="0"/>
              <w:rPr>
                <w:sz w:val="21"/>
                <w:szCs w:val="21"/>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22,200</w:t>
            </w:r>
          </w:p>
        </w:tc>
        <w:tc>
          <w:tcPr>
            <w:tcW w:w="2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17,218</w:t>
            </w:r>
          </w:p>
        </w:tc>
        <w:tc>
          <w:tcPr>
            <w:tcW w:w="100" w:type="dxa"/>
            <w:vAlign w:val="bottom"/>
            <w:shd w:val="clear" w:color="auto" w:fill="CFF0FC"/>
          </w:tcPr>
          <w:p>
            <w:pPr>
              <w:spacing w:after="0"/>
              <w:rPr>
                <w:sz w:val="21"/>
                <w:szCs w:val="21"/>
                <w:color w:val="auto"/>
              </w:rPr>
            </w:pPr>
          </w:p>
        </w:tc>
      </w:tr>
      <w:tr>
        <w:trPr>
          <w:trHeight w:val="236"/>
        </w:trPr>
        <w:tc>
          <w:tcPr>
            <w:tcW w:w="7680" w:type="dxa"/>
            <w:vAlign w:val="bottom"/>
          </w:tcPr>
          <w:p>
            <w:pPr>
              <w:ind w:left="200"/>
              <w:spacing w:after="0"/>
              <w:rPr>
                <w:sz w:val="20"/>
                <w:szCs w:val="20"/>
                <w:color w:val="auto"/>
              </w:rPr>
            </w:pPr>
            <w:r>
              <w:rPr>
                <w:rFonts w:ascii="Arial" w:cs="Arial" w:eastAsia="Arial" w:hAnsi="Arial"/>
                <w:sz w:val="18"/>
                <w:szCs w:val="18"/>
                <w:color w:val="auto"/>
              </w:rPr>
              <w:t>Other accrued expenses</w:t>
            </w:r>
          </w:p>
        </w:tc>
        <w:tc>
          <w:tcPr>
            <w:tcW w:w="12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41,551</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41,196</w:t>
            </w:r>
          </w:p>
        </w:tc>
        <w:tc>
          <w:tcPr>
            <w:tcW w:w="100" w:type="dxa"/>
            <w:vAlign w:val="bottom"/>
          </w:tcPr>
          <w:p>
            <w:pPr>
              <w:spacing w:after="0"/>
              <w:rPr>
                <w:sz w:val="20"/>
                <w:szCs w:val="20"/>
                <w:color w:val="auto"/>
              </w:rPr>
            </w:pPr>
          </w:p>
        </w:tc>
      </w:tr>
      <w:tr>
        <w:trPr>
          <w:trHeight w:val="249"/>
        </w:trPr>
        <w:tc>
          <w:tcPr>
            <w:tcW w:w="76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Current maturities of operating lease liability</w:t>
            </w:r>
          </w:p>
        </w:tc>
        <w:tc>
          <w:tcPr>
            <w:tcW w:w="120" w:type="dxa"/>
            <w:vAlign w:val="bottom"/>
            <w:shd w:val="clear" w:color="auto" w:fill="CFF0FC"/>
          </w:tcPr>
          <w:p>
            <w:pPr>
              <w:spacing w:after="0"/>
              <w:rPr>
                <w:sz w:val="21"/>
                <w:szCs w:val="21"/>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42,898</w:t>
            </w:r>
          </w:p>
        </w:tc>
        <w:tc>
          <w:tcPr>
            <w:tcW w:w="2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40,367</w:t>
            </w:r>
          </w:p>
        </w:tc>
        <w:tc>
          <w:tcPr>
            <w:tcW w:w="100" w:type="dxa"/>
            <w:vAlign w:val="bottom"/>
            <w:shd w:val="clear" w:color="auto" w:fill="CFF0FC"/>
          </w:tcPr>
          <w:p>
            <w:pPr>
              <w:spacing w:after="0"/>
              <w:rPr>
                <w:sz w:val="21"/>
                <w:szCs w:val="21"/>
                <w:color w:val="auto"/>
              </w:rPr>
            </w:pPr>
          </w:p>
        </w:tc>
      </w:tr>
      <w:tr>
        <w:trPr>
          <w:trHeight w:val="236"/>
        </w:trPr>
        <w:tc>
          <w:tcPr>
            <w:tcW w:w="7680" w:type="dxa"/>
            <w:vAlign w:val="bottom"/>
          </w:tcPr>
          <w:p>
            <w:pPr>
              <w:ind w:left="200"/>
              <w:spacing w:after="0"/>
              <w:rPr>
                <w:sz w:val="20"/>
                <w:szCs w:val="20"/>
                <w:color w:val="auto"/>
              </w:rPr>
            </w:pPr>
            <w:r>
              <w:rPr>
                <w:rFonts w:ascii="Arial" w:cs="Arial" w:eastAsia="Arial" w:hAnsi="Arial"/>
                <w:sz w:val="18"/>
                <w:szCs w:val="18"/>
                <w:color w:val="auto"/>
              </w:rPr>
              <w:t>Current maturities of finance lease liability</w:t>
            </w:r>
          </w:p>
        </w:tc>
        <w:tc>
          <w:tcPr>
            <w:tcW w:w="12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726</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668</w:t>
            </w:r>
          </w:p>
        </w:tc>
        <w:tc>
          <w:tcPr>
            <w:tcW w:w="100" w:type="dxa"/>
            <w:vAlign w:val="bottom"/>
          </w:tcPr>
          <w:p>
            <w:pPr>
              <w:spacing w:after="0"/>
              <w:rPr>
                <w:sz w:val="20"/>
                <w:szCs w:val="20"/>
                <w:color w:val="auto"/>
              </w:rPr>
            </w:pPr>
          </w:p>
        </w:tc>
      </w:tr>
      <w:tr>
        <w:trPr>
          <w:trHeight w:val="236"/>
        </w:trPr>
        <w:tc>
          <w:tcPr>
            <w:tcW w:w="768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Deferred revenue</w:t>
            </w:r>
          </w:p>
        </w:tc>
        <w:tc>
          <w:tcPr>
            <w:tcW w:w="120" w:type="dxa"/>
            <w:vAlign w:val="bottom"/>
            <w:tcBorders>
              <w:bottom w:val="single" w:sz="8" w:color="auto"/>
            </w:tcBorders>
            <w:shd w:val="clear" w:color="auto" w:fill="CFF0FC"/>
          </w:tcPr>
          <w:p>
            <w:pPr>
              <w:spacing w:after="0"/>
              <w:rPr>
                <w:sz w:val="20"/>
                <w:szCs w:val="20"/>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32,779</w:t>
            </w:r>
          </w:p>
        </w:tc>
        <w:tc>
          <w:tcPr>
            <w:tcW w:w="28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auto"/>
            </w:tcBorders>
            <w:shd w:val="clear" w:color="auto" w:fill="CFF0FC"/>
          </w:tcPr>
          <w:p>
            <w:pPr>
              <w:spacing w:after="0"/>
              <w:rPr>
                <w:sz w:val="20"/>
                <w:szCs w:val="20"/>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29,395</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23"/>
        </w:trPr>
        <w:tc>
          <w:tcPr>
            <w:tcW w:w="7680" w:type="dxa"/>
            <w:vAlign w:val="bottom"/>
          </w:tcPr>
          <w:p>
            <w:pPr>
              <w:ind w:left="20"/>
              <w:spacing w:after="0"/>
              <w:rPr>
                <w:sz w:val="20"/>
                <w:szCs w:val="20"/>
                <w:color w:val="auto"/>
              </w:rPr>
            </w:pPr>
            <w:r>
              <w:rPr>
                <w:rFonts w:ascii="Arial" w:cs="Arial" w:eastAsia="Arial" w:hAnsi="Arial"/>
                <w:sz w:val="18"/>
                <w:szCs w:val="18"/>
                <w:color w:val="auto"/>
              </w:rPr>
              <w:t>Total current liabilities</w:t>
            </w:r>
          </w:p>
        </w:tc>
        <w:tc>
          <w:tcPr>
            <w:tcW w:w="12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174,945</w:t>
            </w:r>
          </w:p>
        </w:tc>
        <w:tc>
          <w:tcPr>
            <w:tcW w:w="2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154,493</w:t>
            </w:r>
          </w:p>
        </w:tc>
        <w:tc>
          <w:tcPr>
            <w:tcW w:w="100" w:type="dxa"/>
            <w:vAlign w:val="bottom"/>
          </w:tcPr>
          <w:p>
            <w:pPr>
              <w:spacing w:after="0"/>
              <w:rPr>
                <w:sz w:val="19"/>
                <w:szCs w:val="19"/>
                <w:color w:val="auto"/>
              </w:rPr>
            </w:pPr>
          </w:p>
        </w:tc>
      </w:tr>
      <w:tr>
        <w:trPr>
          <w:trHeight w:val="236"/>
        </w:trPr>
        <w:tc>
          <w:tcPr>
            <w:tcW w:w="7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3"/>
        </w:trPr>
        <w:tc>
          <w:tcPr>
            <w:tcW w:w="7680" w:type="dxa"/>
            <w:vAlign w:val="bottom"/>
            <w:shd w:val="clear" w:color="auto" w:fill="CFF0FC"/>
          </w:tcPr>
          <w:p>
            <w:pPr>
              <w:ind w:left="20"/>
              <w:spacing w:after="0"/>
              <w:rPr>
                <w:sz w:val="20"/>
                <w:szCs w:val="20"/>
                <w:color w:val="auto"/>
              </w:rPr>
            </w:pPr>
            <w:r>
              <w:rPr>
                <w:rFonts w:ascii="Arial" w:cs="Arial" w:eastAsia="Arial" w:hAnsi="Arial"/>
                <w:sz w:val="18"/>
                <w:szCs w:val="18"/>
                <w:color w:val="auto"/>
              </w:rPr>
              <w:t>Long-term portion of debt, net</w:t>
            </w:r>
          </w:p>
        </w:tc>
        <w:tc>
          <w:tcPr>
            <w:tcW w:w="120" w:type="dxa"/>
            <w:vAlign w:val="bottom"/>
            <w:shd w:val="clear" w:color="auto" w:fill="CFF0FC"/>
          </w:tcPr>
          <w:p>
            <w:pPr>
              <w:spacing w:after="0"/>
              <w:rPr>
                <w:sz w:val="21"/>
                <w:szCs w:val="21"/>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897,022</w:t>
            </w:r>
          </w:p>
        </w:tc>
        <w:tc>
          <w:tcPr>
            <w:tcW w:w="2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895,830</w:t>
            </w:r>
          </w:p>
        </w:tc>
        <w:tc>
          <w:tcPr>
            <w:tcW w:w="100" w:type="dxa"/>
            <w:vAlign w:val="bottom"/>
            <w:shd w:val="clear" w:color="auto" w:fill="CFF0FC"/>
          </w:tcPr>
          <w:p>
            <w:pPr>
              <w:spacing w:after="0"/>
              <w:rPr>
                <w:sz w:val="21"/>
                <w:szCs w:val="21"/>
                <w:color w:val="auto"/>
              </w:rPr>
            </w:pPr>
          </w:p>
        </w:tc>
      </w:tr>
      <w:tr>
        <w:trPr>
          <w:trHeight w:val="236"/>
        </w:trPr>
        <w:tc>
          <w:tcPr>
            <w:tcW w:w="7680" w:type="dxa"/>
            <w:vAlign w:val="bottom"/>
          </w:tcPr>
          <w:p>
            <w:pPr>
              <w:ind w:left="20"/>
              <w:spacing w:after="0"/>
              <w:rPr>
                <w:sz w:val="20"/>
                <w:szCs w:val="20"/>
                <w:color w:val="auto"/>
              </w:rPr>
            </w:pPr>
            <w:r>
              <w:rPr>
                <w:rFonts w:ascii="Arial" w:cs="Arial" w:eastAsia="Arial" w:hAnsi="Arial"/>
                <w:sz w:val="18"/>
                <w:szCs w:val="18"/>
                <w:color w:val="auto"/>
              </w:rPr>
              <w:t>Operating lease liability</w:t>
            </w:r>
          </w:p>
        </w:tc>
        <w:tc>
          <w:tcPr>
            <w:tcW w:w="12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806,448</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759,775</w:t>
            </w:r>
          </w:p>
        </w:tc>
        <w:tc>
          <w:tcPr>
            <w:tcW w:w="100" w:type="dxa"/>
            <w:vAlign w:val="bottom"/>
          </w:tcPr>
          <w:p>
            <w:pPr>
              <w:spacing w:after="0"/>
              <w:rPr>
                <w:sz w:val="20"/>
                <w:szCs w:val="20"/>
                <w:color w:val="auto"/>
              </w:rPr>
            </w:pPr>
          </w:p>
        </w:tc>
      </w:tr>
      <w:tr>
        <w:trPr>
          <w:trHeight w:val="249"/>
        </w:trPr>
        <w:tc>
          <w:tcPr>
            <w:tcW w:w="7680" w:type="dxa"/>
            <w:vAlign w:val="bottom"/>
            <w:shd w:val="clear" w:color="auto" w:fill="CFF0FC"/>
          </w:tcPr>
          <w:p>
            <w:pPr>
              <w:ind w:left="20"/>
              <w:spacing w:after="0"/>
              <w:rPr>
                <w:sz w:val="20"/>
                <w:szCs w:val="20"/>
                <w:color w:val="auto"/>
              </w:rPr>
            </w:pPr>
            <w:r>
              <w:rPr>
                <w:rFonts w:ascii="Arial" w:cs="Arial" w:eastAsia="Arial" w:hAnsi="Arial"/>
                <w:sz w:val="18"/>
                <w:szCs w:val="18"/>
                <w:color w:val="auto"/>
              </w:rPr>
              <w:t>Financing lease liability</w:t>
            </w:r>
          </w:p>
        </w:tc>
        <w:tc>
          <w:tcPr>
            <w:tcW w:w="120" w:type="dxa"/>
            <w:vAlign w:val="bottom"/>
            <w:shd w:val="clear" w:color="auto" w:fill="CFF0FC"/>
          </w:tcPr>
          <w:p>
            <w:pPr>
              <w:spacing w:after="0"/>
              <w:rPr>
                <w:sz w:val="21"/>
                <w:szCs w:val="21"/>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14,230</w:t>
            </w:r>
          </w:p>
        </w:tc>
        <w:tc>
          <w:tcPr>
            <w:tcW w:w="2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14,779</w:t>
            </w:r>
          </w:p>
        </w:tc>
        <w:tc>
          <w:tcPr>
            <w:tcW w:w="100" w:type="dxa"/>
            <w:vAlign w:val="bottom"/>
            <w:shd w:val="clear" w:color="auto" w:fill="CFF0FC"/>
          </w:tcPr>
          <w:p>
            <w:pPr>
              <w:spacing w:after="0"/>
              <w:rPr>
                <w:sz w:val="21"/>
                <w:szCs w:val="21"/>
                <w:color w:val="auto"/>
              </w:rPr>
            </w:pPr>
          </w:p>
        </w:tc>
      </w:tr>
      <w:tr>
        <w:trPr>
          <w:trHeight w:val="236"/>
        </w:trPr>
        <w:tc>
          <w:tcPr>
            <w:tcW w:w="7680" w:type="dxa"/>
            <w:vAlign w:val="bottom"/>
          </w:tcPr>
          <w:p>
            <w:pPr>
              <w:ind w:left="20"/>
              <w:spacing w:after="0"/>
              <w:rPr>
                <w:sz w:val="20"/>
                <w:szCs w:val="20"/>
                <w:color w:val="auto"/>
              </w:rPr>
            </w:pPr>
            <w:r>
              <w:rPr>
                <w:rFonts w:ascii="Arial" w:cs="Arial" w:eastAsia="Arial" w:hAnsi="Arial"/>
                <w:sz w:val="18"/>
                <w:szCs w:val="18"/>
                <w:color w:val="auto"/>
              </w:rPr>
              <w:t>Deferred tax liability</w:t>
            </w:r>
          </w:p>
        </w:tc>
        <w:tc>
          <w:tcPr>
            <w:tcW w:w="12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68,268</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53,395</w:t>
            </w:r>
          </w:p>
        </w:tc>
        <w:tc>
          <w:tcPr>
            <w:tcW w:w="100" w:type="dxa"/>
            <w:vAlign w:val="bottom"/>
          </w:tcPr>
          <w:p>
            <w:pPr>
              <w:spacing w:after="0"/>
              <w:rPr>
                <w:sz w:val="20"/>
                <w:szCs w:val="20"/>
                <w:color w:val="auto"/>
              </w:rPr>
            </w:pPr>
          </w:p>
        </w:tc>
      </w:tr>
      <w:tr>
        <w:trPr>
          <w:trHeight w:val="236"/>
        </w:trPr>
        <w:tc>
          <w:tcPr>
            <w:tcW w:w="76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Other long-term liabilities</w:t>
            </w:r>
          </w:p>
        </w:tc>
        <w:tc>
          <w:tcPr>
            <w:tcW w:w="120" w:type="dxa"/>
            <w:vAlign w:val="bottom"/>
            <w:tcBorders>
              <w:bottom w:val="single" w:sz="8" w:color="auto"/>
            </w:tcBorders>
            <w:shd w:val="clear" w:color="auto" w:fill="CFF0FC"/>
          </w:tcPr>
          <w:p>
            <w:pPr>
              <w:spacing w:after="0"/>
              <w:rPr>
                <w:sz w:val="20"/>
                <w:szCs w:val="20"/>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6,044</w:t>
            </w:r>
          </w:p>
        </w:tc>
        <w:tc>
          <w:tcPr>
            <w:tcW w:w="28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auto"/>
            </w:tcBorders>
            <w:shd w:val="clear" w:color="auto" w:fill="CFF0FC"/>
          </w:tcPr>
          <w:p>
            <w:pPr>
              <w:spacing w:after="0"/>
              <w:rPr>
                <w:sz w:val="20"/>
                <w:szCs w:val="20"/>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6,832</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23"/>
        </w:trPr>
        <w:tc>
          <w:tcPr>
            <w:tcW w:w="7680" w:type="dxa"/>
            <w:vAlign w:val="bottom"/>
          </w:tcPr>
          <w:p>
            <w:pPr>
              <w:ind w:left="20"/>
              <w:spacing w:after="0"/>
              <w:rPr>
                <w:sz w:val="20"/>
                <w:szCs w:val="20"/>
                <w:color w:val="auto"/>
              </w:rPr>
            </w:pPr>
            <w:r>
              <w:rPr>
                <w:rFonts w:ascii="Arial" w:cs="Arial" w:eastAsia="Arial" w:hAnsi="Arial"/>
                <w:sz w:val="18"/>
                <w:szCs w:val="18"/>
                <w:color w:val="auto"/>
              </w:rPr>
              <w:t>Total liabilities</w:t>
            </w:r>
          </w:p>
        </w:tc>
        <w:tc>
          <w:tcPr>
            <w:tcW w:w="12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1,966,957</w:t>
            </w:r>
          </w:p>
        </w:tc>
        <w:tc>
          <w:tcPr>
            <w:tcW w:w="2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1,885,104</w:t>
            </w:r>
          </w:p>
        </w:tc>
        <w:tc>
          <w:tcPr>
            <w:tcW w:w="100" w:type="dxa"/>
            <w:vAlign w:val="bottom"/>
          </w:tcPr>
          <w:p>
            <w:pPr>
              <w:spacing w:after="0"/>
              <w:rPr>
                <w:sz w:val="19"/>
                <w:szCs w:val="19"/>
                <w:color w:val="auto"/>
              </w:rPr>
            </w:pPr>
          </w:p>
        </w:tc>
      </w:tr>
      <w:tr>
        <w:trPr>
          <w:trHeight w:val="236"/>
        </w:trPr>
        <w:tc>
          <w:tcPr>
            <w:tcW w:w="7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3"/>
        </w:trPr>
        <w:tc>
          <w:tcPr>
            <w:tcW w:w="7680" w:type="dxa"/>
            <w:vAlign w:val="bottom"/>
            <w:shd w:val="clear" w:color="auto" w:fill="CFF0FC"/>
          </w:tcPr>
          <w:p>
            <w:pPr>
              <w:ind w:left="20"/>
              <w:spacing w:after="0"/>
              <w:rPr>
                <w:sz w:val="20"/>
                <w:szCs w:val="20"/>
                <w:color w:val="auto"/>
              </w:rPr>
            </w:pPr>
            <w:r>
              <w:rPr>
                <w:rFonts w:ascii="Arial" w:cs="Arial" w:eastAsia="Arial" w:hAnsi="Arial"/>
                <w:sz w:val="18"/>
                <w:szCs w:val="18"/>
                <w:color w:val="auto"/>
              </w:rPr>
              <w:t>Stockholders’ equity:</w:t>
            </w:r>
          </w:p>
        </w:tc>
        <w:tc>
          <w:tcPr>
            <w:tcW w:w="120" w:type="dxa"/>
            <w:vAlign w:val="bottom"/>
            <w:shd w:val="clear" w:color="auto" w:fill="CFF0FC"/>
          </w:tcPr>
          <w:p>
            <w:pPr>
              <w:spacing w:after="0"/>
              <w:rPr>
                <w:sz w:val="21"/>
                <w:szCs w:val="21"/>
                <w:color w:val="auto"/>
              </w:rPr>
            </w:pPr>
          </w:p>
        </w:tc>
        <w:tc>
          <w:tcPr>
            <w:tcW w:w="148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4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15"/>
        </w:trPr>
        <w:tc>
          <w:tcPr>
            <w:tcW w:w="7680" w:type="dxa"/>
            <w:vAlign w:val="bottom"/>
          </w:tcPr>
          <w:p>
            <w:pPr>
              <w:ind w:left="200"/>
              <w:spacing w:after="0"/>
              <w:rPr>
                <w:sz w:val="20"/>
                <w:szCs w:val="20"/>
                <w:color w:val="auto"/>
              </w:rPr>
            </w:pPr>
            <w:r>
              <w:rPr>
                <w:rFonts w:ascii="Arial" w:cs="Arial" w:eastAsia="Arial" w:hAnsi="Arial"/>
                <w:sz w:val="18"/>
                <w:szCs w:val="18"/>
                <w:color w:val="auto"/>
              </w:rPr>
              <w:t>Common stock, $0.01 par value, 1,000,000,000 shares authorized,</w:t>
            </w: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680" w:type="dxa"/>
            <w:vAlign w:val="bottom"/>
          </w:tcPr>
          <w:p>
            <w:pPr>
              <w:ind w:left="300"/>
              <w:spacing w:after="0"/>
              <w:rPr>
                <w:sz w:val="20"/>
                <w:szCs w:val="20"/>
                <w:color w:val="auto"/>
              </w:rPr>
            </w:pPr>
            <w:r>
              <w:rPr>
                <w:rFonts w:ascii="Arial" w:cs="Arial" w:eastAsia="Arial" w:hAnsi="Arial"/>
                <w:sz w:val="18"/>
                <w:szCs w:val="18"/>
                <w:color w:val="auto"/>
              </w:rPr>
              <w:t>313,970,741 and 306,626,530 shares outstanding as of</w:t>
            </w: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7"/>
        </w:trPr>
        <w:tc>
          <w:tcPr>
            <w:tcW w:w="7680" w:type="dxa"/>
            <w:vAlign w:val="bottom"/>
          </w:tcPr>
          <w:p>
            <w:pPr>
              <w:ind w:left="340"/>
              <w:spacing w:after="0"/>
              <w:rPr>
                <w:sz w:val="20"/>
                <w:szCs w:val="20"/>
                <w:color w:val="auto"/>
              </w:rPr>
            </w:pPr>
            <w:r>
              <w:rPr>
                <w:rFonts w:ascii="Arial" w:cs="Arial" w:eastAsia="Arial" w:hAnsi="Arial"/>
                <w:sz w:val="18"/>
                <w:szCs w:val="18"/>
                <w:color w:val="auto"/>
              </w:rPr>
              <w:t>September 30, 2023 and December 31, 2022, respectively</w:t>
            </w:r>
          </w:p>
        </w:tc>
        <w:tc>
          <w:tcPr>
            <w:tcW w:w="12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3,145</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3,072</w:t>
            </w:r>
          </w:p>
        </w:tc>
        <w:tc>
          <w:tcPr>
            <w:tcW w:w="100" w:type="dxa"/>
            <w:vAlign w:val="bottom"/>
          </w:tcPr>
          <w:p>
            <w:pPr>
              <w:spacing w:after="0"/>
              <w:rPr>
                <w:sz w:val="20"/>
                <w:szCs w:val="20"/>
                <w:color w:val="auto"/>
              </w:rPr>
            </w:pPr>
          </w:p>
        </w:tc>
      </w:tr>
      <w:tr>
        <w:trPr>
          <w:trHeight w:val="249"/>
        </w:trPr>
        <w:tc>
          <w:tcPr>
            <w:tcW w:w="76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Additional paid-in capital</w:t>
            </w:r>
          </w:p>
        </w:tc>
        <w:tc>
          <w:tcPr>
            <w:tcW w:w="120" w:type="dxa"/>
            <w:vAlign w:val="bottom"/>
            <w:shd w:val="clear" w:color="auto" w:fill="CFF0FC"/>
          </w:tcPr>
          <w:p>
            <w:pPr>
              <w:spacing w:after="0"/>
              <w:rPr>
                <w:sz w:val="21"/>
                <w:szCs w:val="21"/>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807,342</w:t>
            </w:r>
          </w:p>
        </w:tc>
        <w:tc>
          <w:tcPr>
            <w:tcW w:w="2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783,579</w:t>
            </w:r>
          </w:p>
        </w:tc>
        <w:tc>
          <w:tcPr>
            <w:tcW w:w="100" w:type="dxa"/>
            <w:vAlign w:val="bottom"/>
            <w:shd w:val="clear" w:color="auto" w:fill="CFF0FC"/>
          </w:tcPr>
          <w:p>
            <w:pPr>
              <w:spacing w:after="0"/>
              <w:rPr>
                <w:sz w:val="21"/>
                <w:szCs w:val="21"/>
                <w:color w:val="auto"/>
              </w:rPr>
            </w:pPr>
          </w:p>
        </w:tc>
      </w:tr>
      <w:tr>
        <w:trPr>
          <w:trHeight w:val="229"/>
        </w:trPr>
        <w:tc>
          <w:tcPr>
            <w:tcW w:w="7680" w:type="dxa"/>
            <w:vAlign w:val="bottom"/>
          </w:tcPr>
          <w:p>
            <w:pPr>
              <w:ind w:left="200"/>
              <w:spacing w:after="0"/>
              <w:rPr>
                <w:sz w:val="20"/>
                <w:szCs w:val="20"/>
                <w:color w:val="auto"/>
              </w:rPr>
            </w:pPr>
            <w:r>
              <w:rPr>
                <w:rFonts w:ascii="Arial" w:cs="Arial" w:eastAsia="Arial" w:hAnsi="Arial"/>
                <w:sz w:val="18"/>
                <w:szCs w:val="18"/>
                <w:color w:val="auto"/>
              </w:rPr>
              <w:t>Retained earnings</w:t>
            </w:r>
          </w:p>
        </w:tc>
        <w:tc>
          <w:tcPr>
            <w:tcW w:w="12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82,230</w:t>
            </w:r>
          </w:p>
        </w:tc>
        <w:tc>
          <w:tcPr>
            <w:tcW w:w="2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14,477</w:t>
            </w:r>
          </w:p>
        </w:tc>
        <w:tc>
          <w:tcPr>
            <w:tcW w:w="100" w:type="dxa"/>
            <w:vAlign w:val="bottom"/>
          </w:tcPr>
          <w:p>
            <w:pPr>
              <w:spacing w:after="0"/>
              <w:rPr>
                <w:sz w:val="19"/>
                <w:szCs w:val="19"/>
                <w:color w:val="auto"/>
              </w:rPr>
            </w:pPr>
          </w:p>
        </w:tc>
      </w:tr>
      <w:tr>
        <w:trPr>
          <w:trHeight w:val="223"/>
        </w:trPr>
        <w:tc>
          <w:tcPr>
            <w:tcW w:w="76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stockholders’ equity</w:t>
            </w:r>
          </w:p>
        </w:tc>
        <w:tc>
          <w:tcPr>
            <w:tcW w:w="120" w:type="dxa"/>
            <w:vAlign w:val="bottom"/>
            <w:tcBorders>
              <w:bottom w:val="single" w:sz="8" w:color="auto"/>
            </w:tcBorders>
            <w:shd w:val="clear" w:color="auto" w:fill="CFF0FC"/>
          </w:tcPr>
          <w:p>
            <w:pPr>
              <w:spacing w:after="0"/>
              <w:rPr>
                <w:sz w:val="19"/>
                <w:szCs w:val="19"/>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892,717</w:t>
            </w:r>
          </w:p>
        </w:tc>
        <w:tc>
          <w:tcPr>
            <w:tcW w:w="28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801,128</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23"/>
        </w:trPr>
        <w:tc>
          <w:tcPr>
            <w:tcW w:w="7680" w:type="dxa"/>
            <w:vAlign w:val="bottom"/>
          </w:tcPr>
          <w:p>
            <w:pPr>
              <w:ind w:left="20"/>
              <w:spacing w:after="0"/>
              <w:rPr>
                <w:sz w:val="20"/>
                <w:szCs w:val="20"/>
                <w:color w:val="auto"/>
              </w:rPr>
            </w:pPr>
            <w:r>
              <w:rPr>
                <w:rFonts w:ascii="Arial" w:cs="Arial" w:eastAsia="Arial" w:hAnsi="Arial"/>
                <w:sz w:val="18"/>
                <w:szCs w:val="18"/>
                <w:color w:val="auto"/>
              </w:rPr>
              <w:t>Total liabilities and stockholders’ equity</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80" w:type="dxa"/>
            <w:vAlign w:val="bottom"/>
          </w:tcPr>
          <w:p>
            <w:pPr>
              <w:jc w:val="right"/>
              <w:spacing w:after="0"/>
              <w:rPr>
                <w:sz w:val="20"/>
                <w:szCs w:val="20"/>
                <w:color w:val="auto"/>
              </w:rPr>
            </w:pPr>
            <w:r>
              <w:rPr>
                <w:rFonts w:ascii="Arial" w:cs="Arial" w:eastAsia="Arial" w:hAnsi="Arial"/>
                <w:sz w:val="16"/>
                <w:szCs w:val="16"/>
                <w:color w:val="auto"/>
              </w:rPr>
              <w:t>2,859,674</w:t>
            </w:r>
          </w:p>
        </w:tc>
        <w:tc>
          <w:tcPr>
            <w:tcW w:w="38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480" w:type="dxa"/>
            <w:vAlign w:val="bottom"/>
          </w:tcPr>
          <w:p>
            <w:pPr>
              <w:jc w:val="right"/>
              <w:spacing w:after="0"/>
              <w:rPr>
                <w:sz w:val="20"/>
                <w:szCs w:val="20"/>
                <w:color w:val="auto"/>
              </w:rPr>
            </w:pPr>
            <w:r>
              <w:rPr>
                <w:rFonts w:ascii="Arial" w:cs="Arial" w:eastAsia="Arial" w:hAnsi="Arial"/>
                <w:sz w:val="16"/>
                <w:szCs w:val="16"/>
                <w:color w:val="auto"/>
              </w:rPr>
              <w:t>2,686,232</w:t>
            </w:r>
          </w:p>
        </w:tc>
        <w:tc>
          <w:tcPr>
            <w:tcW w:w="100" w:type="dxa"/>
            <w:vAlign w:val="bottom"/>
          </w:tcPr>
          <w:p>
            <w:pPr>
              <w:spacing w:after="0"/>
              <w:rPr>
                <w:sz w:val="19"/>
                <w:szCs w:val="19"/>
                <w:color w:val="auto"/>
              </w:rPr>
            </w:pPr>
          </w:p>
        </w:tc>
      </w:tr>
      <w:tr>
        <w:trPr>
          <w:trHeight w:val="20"/>
        </w:trPr>
        <w:tc>
          <w:tcPr>
            <w:tcW w:w="76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5895975</wp:posOffset>
            </wp:positionH>
            <wp:positionV relativeFrom="paragraph">
              <wp:posOffset>-5093970</wp:posOffset>
            </wp:positionV>
            <wp:extent cx="68580" cy="31686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580" cy="31686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-5093970</wp:posOffset>
            </wp:positionV>
            <wp:extent cx="68580" cy="31686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580" cy="316865"/>
                    </a:xfrm>
                    <a:prstGeom prst="rect">
                      <a:avLst/>
                    </a:prstGeom>
                    <a:noFill/>
                  </pic:spPr>
                </pic:pic>
              </a:graphicData>
            </a:graphic>
          </wp:anchor>
        </w:drawing>
        <w:drawing>
          <wp:anchor simplePos="0" relativeHeight="251657728" behindDoc="1" locked="0" layoutInCell="0" allowOverlap="1">
            <wp:simplePos x="0" y="0"/>
            <wp:positionH relativeFrom="column">
              <wp:posOffset>5895975</wp:posOffset>
            </wp:positionH>
            <wp:positionV relativeFrom="paragraph">
              <wp:posOffset>-4015105</wp:posOffset>
            </wp:positionV>
            <wp:extent cx="1241425" cy="3340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41425" cy="334010"/>
                    </a:xfrm>
                    <a:prstGeom prst="rect">
                      <a:avLst/>
                    </a:prstGeom>
                    <a:noFill/>
                  </pic:spPr>
                </pic:pic>
              </a:graphicData>
            </a:graphic>
          </wp:anchor>
        </w:drawing>
        <w:drawing>
          <wp:anchor simplePos="0" relativeHeight="251657728" behindDoc="1" locked="0" layoutInCell="0" allowOverlap="1">
            <wp:simplePos x="0" y="0"/>
            <wp:positionH relativeFrom="column">
              <wp:posOffset>5895975</wp:posOffset>
            </wp:positionH>
            <wp:positionV relativeFrom="paragraph">
              <wp:posOffset>-2611120</wp:posOffset>
            </wp:positionV>
            <wp:extent cx="68580" cy="31686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580" cy="31686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-2611120</wp:posOffset>
            </wp:positionV>
            <wp:extent cx="68580" cy="31686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316865"/>
                    </a:xfrm>
                    <a:prstGeom prst="rect">
                      <a:avLst/>
                    </a:prstGeom>
                    <a:noFill/>
                  </pic:spPr>
                </pic:pic>
              </a:graphicData>
            </a:graphic>
          </wp:anchor>
        </w:drawing>
        <w:drawing>
          <wp:anchor simplePos="0" relativeHeight="251657728" behindDoc="1" locked="0" layoutInCell="0" allowOverlap="1">
            <wp:simplePos x="0" y="0"/>
            <wp:positionH relativeFrom="column">
              <wp:posOffset>5895975</wp:posOffset>
            </wp:positionH>
            <wp:positionV relativeFrom="paragraph">
              <wp:posOffset>-1532255</wp:posOffset>
            </wp:positionV>
            <wp:extent cx="68580" cy="31686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31686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-1532255</wp:posOffset>
            </wp:positionV>
            <wp:extent cx="68580" cy="31686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316865"/>
                    </a:xfrm>
                    <a:prstGeom prst="rect">
                      <a:avLst/>
                    </a:prstGeom>
                    <a:noFill/>
                  </pic:spPr>
                </pic:pic>
              </a:graphicData>
            </a:graphic>
          </wp:anchor>
        </w:drawing>
        <w:drawing>
          <wp:anchor simplePos="0" relativeHeight="251657728" behindDoc="1" locked="0" layoutInCell="0" allowOverlap="1">
            <wp:simplePos x="0" y="0"/>
            <wp:positionH relativeFrom="column">
              <wp:posOffset>5895975</wp:posOffset>
            </wp:positionH>
            <wp:positionV relativeFrom="paragraph">
              <wp:posOffset>-179070</wp:posOffset>
            </wp:positionV>
            <wp:extent cx="68580" cy="1797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1797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-179070</wp:posOffset>
            </wp:positionV>
            <wp:extent cx="68580" cy="1797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179705"/>
                    </a:xfrm>
                    <a:prstGeom prst="rect">
                      <a:avLst/>
                    </a:prstGeom>
                    <a:noFill/>
                  </pic:spPr>
                </pic:pic>
              </a:graphicData>
            </a:graphic>
          </wp:anchor>
        </w:drawing>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231F20"/>
        </w:rPr>
        <w:t>See accompanying notes to unaudited condensed consolidated financial statements.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Mister Car Wash,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 and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and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340" w:type="dxa"/>
            <w:vAlign w:val="bottom"/>
          </w:tcPr>
          <w:p>
            <w:pPr>
              <w:spacing w:after="0"/>
              <w:rPr>
                <w:sz w:val="20"/>
                <w:szCs w:val="20"/>
                <w:color w:val="auto"/>
              </w:rPr>
            </w:pPr>
          </w:p>
        </w:tc>
        <w:tc>
          <w:tcPr>
            <w:tcW w:w="3080" w:type="dxa"/>
            <w:vAlign w:val="bottom"/>
            <w:gridSpan w:val="6"/>
          </w:tcPr>
          <w:p>
            <w:pPr>
              <w:jc w:val="right"/>
              <w:ind w:right="260"/>
              <w:spacing w:after="0"/>
              <w:rPr>
                <w:sz w:val="20"/>
                <w:szCs w:val="20"/>
                <w:color w:val="auto"/>
              </w:rPr>
            </w:pPr>
            <w:r>
              <w:rPr>
                <w:rFonts w:ascii="Arial" w:cs="Arial" w:eastAsia="Arial" w:hAnsi="Arial"/>
                <w:sz w:val="18"/>
                <w:szCs w:val="18"/>
                <w:b w:val="1"/>
                <w:bCs w:val="1"/>
                <w:color w:val="auto"/>
                <w:w w:val="91"/>
              </w:rPr>
              <w:t>Three Months Ended September 30,</w:t>
            </w:r>
          </w:p>
        </w:tc>
        <w:tc>
          <w:tcPr>
            <w:tcW w:w="2820" w:type="dxa"/>
            <w:vAlign w:val="bottom"/>
            <w:gridSpan w:val="6"/>
          </w:tcPr>
          <w:p>
            <w:pPr>
              <w:ind w:left="20"/>
              <w:spacing w:after="0"/>
              <w:rPr>
                <w:sz w:val="20"/>
                <w:szCs w:val="20"/>
                <w:color w:val="auto"/>
              </w:rPr>
            </w:pPr>
            <w:r>
              <w:rPr>
                <w:rFonts w:ascii="Arial" w:cs="Arial" w:eastAsia="Arial" w:hAnsi="Arial"/>
                <w:sz w:val="18"/>
                <w:szCs w:val="18"/>
                <w:b w:val="1"/>
                <w:bCs w:val="1"/>
                <w:color w:val="auto"/>
                <w:w w:val="93"/>
              </w:rPr>
              <w:t>Nine Months Ended September 30,</w:t>
            </w:r>
          </w:p>
        </w:tc>
      </w:tr>
      <w:tr>
        <w:trPr>
          <w:trHeight w:val="238"/>
        </w:trPr>
        <w:tc>
          <w:tcPr>
            <w:tcW w:w="5340" w:type="dxa"/>
            <w:vAlign w:val="bottom"/>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104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2023</w:t>
            </w:r>
          </w:p>
        </w:tc>
        <w:tc>
          <w:tcPr>
            <w:tcW w:w="360" w:type="dxa"/>
            <w:vAlign w:val="bottom"/>
            <w:tcBorders>
              <w:top w:val="single" w:sz="8" w:color="auto"/>
            </w:tcBorders>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102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2022</w:t>
            </w:r>
          </w:p>
        </w:tc>
        <w:tc>
          <w:tcPr>
            <w:tcW w:w="220" w:type="dxa"/>
            <w:vAlign w:val="bottom"/>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102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2023</w:t>
            </w:r>
          </w:p>
        </w:tc>
        <w:tc>
          <w:tcPr>
            <w:tcW w:w="320" w:type="dxa"/>
            <w:vAlign w:val="bottom"/>
            <w:tcBorders>
              <w:top w:val="single" w:sz="8" w:color="auto"/>
            </w:tcBorders>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98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20"/>
                <w:szCs w:val="20"/>
                <w:color w:val="auto"/>
              </w:rPr>
            </w:pPr>
          </w:p>
        </w:tc>
      </w:tr>
      <w:tr>
        <w:trPr>
          <w:trHeight w:val="240"/>
        </w:trPr>
        <w:tc>
          <w:tcPr>
            <w:tcW w:w="534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revenues</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234,076</w:t>
            </w:r>
          </w:p>
        </w:tc>
        <w:tc>
          <w:tcPr>
            <w:tcW w:w="360" w:type="dxa"/>
            <w:vAlign w:val="bottom"/>
            <w:shd w:val="clear" w:color="auto" w:fill="CFF0FC"/>
          </w:tcPr>
          <w:p>
            <w:pPr>
              <w:spacing w:after="0"/>
              <w:rPr>
                <w:sz w:val="20"/>
                <w:szCs w:val="20"/>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217,576</w:t>
            </w:r>
          </w:p>
        </w:tc>
        <w:tc>
          <w:tcPr>
            <w:tcW w:w="220" w:type="dxa"/>
            <w:vAlign w:val="bottom"/>
            <w:shd w:val="clear" w:color="auto" w:fill="CFF0FC"/>
          </w:tcPr>
          <w:p>
            <w:pPr>
              <w:spacing w:after="0"/>
              <w:rPr>
                <w:sz w:val="20"/>
                <w:szCs w:val="20"/>
                <w:color w:val="auto"/>
              </w:rPr>
            </w:pPr>
          </w:p>
        </w:tc>
        <w:tc>
          <w:tcPr>
            <w:tcW w:w="220" w:type="dxa"/>
            <w:vAlign w:val="bottom"/>
            <w:shd w:val="clear" w:color="auto" w:fill="CFF0FC"/>
          </w:tcPr>
          <w:p>
            <w:pPr>
              <w:ind w:left="2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696,930</w:t>
            </w:r>
          </w:p>
        </w:tc>
        <w:tc>
          <w:tcPr>
            <w:tcW w:w="320" w:type="dxa"/>
            <w:vAlign w:val="bottom"/>
            <w:shd w:val="clear" w:color="auto" w:fill="CFF0FC"/>
          </w:tcPr>
          <w:p>
            <w:pPr>
              <w:spacing w:after="0"/>
              <w:rPr>
                <w:sz w:val="20"/>
                <w:szCs w:val="20"/>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662,154</w:t>
            </w:r>
          </w:p>
        </w:tc>
        <w:tc>
          <w:tcPr>
            <w:tcW w:w="100" w:type="dxa"/>
            <w:vAlign w:val="bottom"/>
            <w:shd w:val="clear" w:color="auto" w:fill="CFF0FC"/>
          </w:tcPr>
          <w:p>
            <w:pPr>
              <w:spacing w:after="0"/>
              <w:rPr>
                <w:sz w:val="20"/>
                <w:szCs w:val="20"/>
                <w:color w:val="auto"/>
              </w:rPr>
            </w:pPr>
          </w:p>
        </w:tc>
      </w:tr>
      <w:tr>
        <w:trPr>
          <w:trHeight w:val="236"/>
        </w:trPr>
        <w:tc>
          <w:tcPr>
            <w:tcW w:w="5340" w:type="dxa"/>
            <w:vAlign w:val="bottom"/>
          </w:tcPr>
          <w:p>
            <w:pPr>
              <w:ind w:left="20"/>
              <w:spacing w:after="0"/>
              <w:rPr>
                <w:sz w:val="20"/>
                <w:szCs w:val="20"/>
                <w:color w:val="auto"/>
              </w:rPr>
            </w:pPr>
            <w:r>
              <w:rPr>
                <w:rFonts w:ascii="Arial" w:cs="Arial" w:eastAsia="Arial" w:hAnsi="Arial"/>
                <w:sz w:val="18"/>
                <w:szCs w:val="18"/>
                <w:color w:val="auto"/>
              </w:rPr>
              <w:t>Cost of labor and chemicals</w:t>
            </w:r>
          </w:p>
        </w:tc>
        <w:tc>
          <w:tcPr>
            <w:tcW w:w="2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72,760</w:t>
            </w:r>
          </w:p>
        </w:tc>
        <w:tc>
          <w:tcPr>
            <w:tcW w:w="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68,228</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210,376</w:t>
            </w:r>
          </w:p>
        </w:tc>
        <w:tc>
          <w:tcPr>
            <w:tcW w:w="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203,117</w:t>
            </w:r>
          </w:p>
        </w:tc>
        <w:tc>
          <w:tcPr>
            <w:tcW w:w="100" w:type="dxa"/>
            <w:vAlign w:val="bottom"/>
          </w:tcPr>
          <w:p>
            <w:pPr>
              <w:spacing w:after="0"/>
              <w:rPr>
                <w:sz w:val="20"/>
                <w:szCs w:val="20"/>
                <w:color w:val="auto"/>
              </w:rPr>
            </w:pPr>
          </w:p>
        </w:tc>
      </w:tr>
      <w:tr>
        <w:trPr>
          <w:trHeight w:val="249"/>
        </w:trPr>
        <w:tc>
          <w:tcPr>
            <w:tcW w:w="5340" w:type="dxa"/>
            <w:vAlign w:val="bottom"/>
            <w:shd w:val="clear" w:color="auto" w:fill="CFF0FC"/>
          </w:tcPr>
          <w:p>
            <w:pPr>
              <w:ind w:left="20"/>
              <w:spacing w:after="0"/>
              <w:rPr>
                <w:sz w:val="20"/>
                <w:szCs w:val="20"/>
                <w:color w:val="auto"/>
              </w:rPr>
            </w:pPr>
            <w:r>
              <w:rPr>
                <w:rFonts w:ascii="Arial" w:cs="Arial" w:eastAsia="Arial" w:hAnsi="Arial"/>
                <w:sz w:val="18"/>
                <w:szCs w:val="18"/>
                <w:color w:val="auto"/>
              </w:rPr>
              <w:t>Other store operating expenses</w:t>
            </w:r>
          </w:p>
        </w:tc>
        <w:tc>
          <w:tcPr>
            <w:tcW w:w="22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90,514</w:t>
            </w:r>
          </w:p>
        </w:tc>
        <w:tc>
          <w:tcPr>
            <w:tcW w:w="3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82,343</w:t>
            </w:r>
          </w:p>
        </w:tc>
        <w:tc>
          <w:tcPr>
            <w:tcW w:w="2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270,317</w:t>
            </w:r>
          </w:p>
        </w:tc>
        <w:tc>
          <w:tcPr>
            <w:tcW w:w="3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239,173</w:t>
            </w:r>
          </w:p>
        </w:tc>
        <w:tc>
          <w:tcPr>
            <w:tcW w:w="100" w:type="dxa"/>
            <w:vAlign w:val="bottom"/>
            <w:shd w:val="clear" w:color="auto" w:fill="CFF0FC"/>
          </w:tcPr>
          <w:p>
            <w:pPr>
              <w:spacing w:after="0"/>
              <w:rPr>
                <w:sz w:val="21"/>
                <w:szCs w:val="21"/>
                <w:color w:val="auto"/>
              </w:rPr>
            </w:pPr>
          </w:p>
        </w:tc>
      </w:tr>
      <w:tr>
        <w:trPr>
          <w:trHeight w:val="236"/>
        </w:trPr>
        <w:tc>
          <w:tcPr>
            <w:tcW w:w="5340" w:type="dxa"/>
            <w:vAlign w:val="bottom"/>
          </w:tcPr>
          <w:p>
            <w:pPr>
              <w:ind w:left="20"/>
              <w:spacing w:after="0"/>
              <w:rPr>
                <w:sz w:val="20"/>
                <w:szCs w:val="20"/>
                <w:color w:val="auto"/>
              </w:rPr>
            </w:pPr>
            <w:r>
              <w:rPr>
                <w:rFonts w:ascii="Arial" w:cs="Arial" w:eastAsia="Arial" w:hAnsi="Arial"/>
                <w:sz w:val="18"/>
                <w:szCs w:val="18"/>
                <w:color w:val="auto"/>
              </w:rPr>
              <w:t>General and administrative</w:t>
            </w:r>
          </w:p>
        </w:tc>
        <w:tc>
          <w:tcPr>
            <w:tcW w:w="2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26,426</w:t>
            </w:r>
          </w:p>
        </w:tc>
        <w:tc>
          <w:tcPr>
            <w:tcW w:w="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24,743</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78,438</w:t>
            </w:r>
          </w:p>
        </w:tc>
        <w:tc>
          <w:tcPr>
            <w:tcW w:w="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74,040</w:t>
            </w:r>
          </w:p>
        </w:tc>
        <w:tc>
          <w:tcPr>
            <w:tcW w:w="100" w:type="dxa"/>
            <w:vAlign w:val="bottom"/>
          </w:tcPr>
          <w:p>
            <w:pPr>
              <w:spacing w:after="0"/>
              <w:rPr>
                <w:sz w:val="20"/>
                <w:szCs w:val="20"/>
                <w:color w:val="auto"/>
              </w:rPr>
            </w:pPr>
          </w:p>
        </w:tc>
      </w:tr>
      <w:tr>
        <w:trPr>
          <w:trHeight w:val="249"/>
        </w:trPr>
        <w:tc>
          <w:tcPr>
            <w:tcW w:w="5340" w:type="dxa"/>
            <w:vAlign w:val="bottom"/>
            <w:shd w:val="clear" w:color="auto" w:fill="CFF0FC"/>
          </w:tcPr>
          <w:p>
            <w:pPr>
              <w:ind w:left="20"/>
              <w:spacing w:after="0"/>
              <w:rPr>
                <w:sz w:val="20"/>
                <w:szCs w:val="20"/>
                <w:color w:val="auto"/>
              </w:rPr>
            </w:pPr>
            <w:r>
              <w:rPr>
                <w:rFonts w:ascii="Arial" w:cs="Arial" w:eastAsia="Arial" w:hAnsi="Arial"/>
                <w:sz w:val="18"/>
                <w:szCs w:val="18"/>
                <w:color w:val="auto"/>
              </w:rPr>
              <w:t>(Gain) loss on sale of assets, net</w:t>
            </w:r>
          </w:p>
        </w:tc>
        <w:tc>
          <w:tcPr>
            <w:tcW w:w="22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1,321</w:t>
            </w:r>
          </w:p>
        </w:tc>
        <w:tc>
          <w:tcPr>
            <w:tcW w:w="3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2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(649 )</w:t>
            </w:r>
          </w:p>
        </w:tc>
        <w:tc>
          <w:tcPr>
            <w:tcW w:w="220" w:type="dxa"/>
            <w:vAlign w:val="bottom"/>
            <w:shd w:val="clear" w:color="auto" w:fill="CFF0FC"/>
          </w:tcPr>
          <w:p>
            <w:pPr>
              <w:spacing w:after="0"/>
              <w:rPr>
                <w:sz w:val="21"/>
                <w:szCs w:val="21"/>
                <w:color w:val="auto"/>
              </w:rPr>
            </w:pPr>
          </w:p>
        </w:tc>
        <w:tc>
          <w:tcPr>
            <w:tcW w:w="13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(3,470 )</w:t>
            </w:r>
          </w:p>
        </w:tc>
        <w:tc>
          <w:tcPr>
            <w:tcW w:w="180" w:type="dxa"/>
            <w:vAlign w:val="bottom"/>
            <w:shd w:val="clear" w:color="auto" w:fill="CFF0FC"/>
          </w:tcPr>
          <w:p>
            <w:pPr>
              <w:spacing w:after="0"/>
              <w:rPr>
                <w:sz w:val="21"/>
                <w:szCs w:val="21"/>
                <w:color w:val="auto"/>
              </w:rPr>
            </w:pPr>
          </w:p>
        </w:tc>
        <w:tc>
          <w:tcPr>
            <w:tcW w:w="10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(3,336 )</w:t>
            </w:r>
          </w:p>
        </w:tc>
      </w:tr>
      <w:tr>
        <w:trPr>
          <w:trHeight w:val="236"/>
        </w:trPr>
        <w:tc>
          <w:tcPr>
            <w:tcW w:w="5340" w:type="dxa"/>
            <w:vAlign w:val="bottom"/>
            <w:tcBorders>
              <w:top w:val="single" w:sz="8" w:color="CFF0FC"/>
            </w:tcBorders>
          </w:tcPr>
          <w:p>
            <w:pPr>
              <w:ind w:left="20"/>
              <w:spacing w:after="0"/>
              <w:rPr>
                <w:sz w:val="20"/>
                <w:szCs w:val="20"/>
                <w:color w:val="auto"/>
              </w:rPr>
            </w:pPr>
            <w:r>
              <w:rPr>
                <w:rFonts w:ascii="Arial" w:cs="Arial" w:eastAsia="Arial" w:hAnsi="Arial"/>
                <w:sz w:val="18"/>
                <w:szCs w:val="18"/>
                <w:color w:val="auto"/>
              </w:rPr>
              <w:t>Total costs and expenses</w:t>
            </w:r>
          </w:p>
        </w:tc>
        <w:tc>
          <w:tcPr>
            <w:tcW w:w="220" w:type="dxa"/>
            <w:vAlign w:val="bottom"/>
            <w:tcBorders>
              <w:top w:val="single" w:sz="8" w:color="auto"/>
              <w:bottom w:val="single" w:sz="8" w:color="auto"/>
            </w:tcBorders>
          </w:tcPr>
          <w:p>
            <w:pPr>
              <w:spacing w:after="0"/>
              <w:rPr>
                <w:sz w:val="20"/>
                <w:szCs w:val="20"/>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191,021</w:t>
            </w:r>
          </w:p>
        </w:tc>
        <w:tc>
          <w:tcPr>
            <w:tcW w:w="360" w:type="dxa"/>
            <w:vAlign w:val="bottom"/>
            <w:tcBorders>
              <w:top w:val="single" w:sz="8" w:color="CFF0FC"/>
            </w:tcBorders>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174,665</w:t>
            </w:r>
          </w:p>
        </w:tc>
        <w:tc>
          <w:tcPr>
            <w:tcW w:w="220" w:type="dxa"/>
            <w:vAlign w:val="bottom"/>
            <w:tcBorders>
              <w:top w:val="single" w:sz="8" w:color="CFF0FC"/>
            </w:tcBorders>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555,661</w:t>
            </w:r>
          </w:p>
        </w:tc>
        <w:tc>
          <w:tcPr>
            <w:tcW w:w="320" w:type="dxa"/>
            <w:vAlign w:val="bottom"/>
            <w:tcBorders>
              <w:top w:val="single" w:sz="8" w:color="CFF0FC"/>
            </w:tcBorders>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512,994</w:t>
            </w:r>
          </w:p>
        </w:tc>
        <w:tc>
          <w:tcPr>
            <w:tcW w:w="100" w:type="dxa"/>
            <w:vAlign w:val="bottom"/>
            <w:tcBorders>
              <w:top w:val="single" w:sz="8" w:color="CFF0FC"/>
            </w:tcBorders>
          </w:tcPr>
          <w:p>
            <w:pPr>
              <w:spacing w:after="0"/>
              <w:rPr>
                <w:sz w:val="20"/>
                <w:szCs w:val="20"/>
                <w:color w:val="auto"/>
              </w:rPr>
            </w:pPr>
          </w:p>
        </w:tc>
      </w:tr>
      <w:tr>
        <w:trPr>
          <w:trHeight w:val="236"/>
        </w:trPr>
        <w:tc>
          <w:tcPr>
            <w:tcW w:w="5340" w:type="dxa"/>
            <w:vAlign w:val="bottom"/>
            <w:shd w:val="clear" w:color="auto" w:fill="CFF0FC"/>
          </w:tcPr>
          <w:p>
            <w:pPr>
              <w:ind w:left="160"/>
              <w:spacing w:after="0"/>
              <w:rPr>
                <w:sz w:val="20"/>
                <w:szCs w:val="20"/>
                <w:color w:val="auto"/>
              </w:rPr>
            </w:pPr>
            <w:r>
              <w:rPr>
                <w:rFonts w:ascii="Arial" w:cs="Arial" w:eastAsia="Arial" w:hAnsi="Arial"/>
                <w:sz w:val="18"/>
                <w:szCs w:val="18"/>
                <w:color w:val="auto"/>
              </w:rPr>
              <w:t>Operating income</w:t>
            </w:r>
          </w:p>
        </w:tc>
        <w:tc>
          <w:tcPr>
            <w:tcW w:w="220" w:type="dxa"/>
            <w:vAlign w:val="bottom"/>
            <w:shd w:val="clear" w:color="auto" w:fill="CFF0FC"/>
          </w:tcPr>
          <w:p>
            <w:pPr>
              <w:spacing w:after="0"/>
              <w:rPr>
                <w:sz w:val="20"/>
                <w:szCs w:val="20"/>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43,055</w:t>
            </w:r>
          </w:p>
        </w:tc>
        <w:tc>
          <w:tcPr>
            <w:tcW w:w="36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42,911</w:t>
            </w:r>
          </w:p>
        </w:tc>
        <w:tc>
          <w:tcPr>
            <w:tcW w:w="2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141,269</w:t>
            </w:r>
          </w:p>
        </w:tc>
        <w:tc>
          <w:tcPr>
            <w:tcW w:w="3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149,160</w:t>
            </w:r>
          </w:p>
        </w:tc>
        <w:tc>
          <w:tcPr>
            <w:tcW w:w="100" w:type="dxa"/>
            <w:vAlign w:val="bottom"/>
            <w:shd w:val="clear" w:color="auto" w:fill="CFF0FC"/>
          </w:tcPr>
          <w:p>
            <w:pPr>
              <w:spacing w:after="0"/>
              <w:rPr>
                <w:sz w:val="20"/>
                <w:szCs w:val="20"/>
                <w:color w:val="auto"/>
              </w:rPr>
            </w:pPr>
          </w:p>
        </w:tc>
      </w:tr>
      <w:tr>
        <w:trPr>
          <w:trHeight w:val="479"/>
        </w:trPr>
        <w:tc>
          <w:tcPr>
            <w:tcW w:w="5340" w:type="dxa"/>
            <w:vAlign w:val="bottom"/>
          </w:tcPr>
          <w:p>
            <w:pPr>
              <w:ind w:left="20"/>
              <w:spacing w:after="0"/>
              <w:rPr>
                <w:sz w:val="20"/>
                <w:szCs w:val="20"/>
                <w:color w:val="auto"/>
              </w:rPr>
            </w:pPr>
            <w:r>
              <w:rPr>
                <w:rFonts w:ascii="Arial" w:cs="Arial" w:eastAsia="Arial" w:hAnsi="Arial"/>
                <w:sz w:val="18"/>
                <w:szCs w:val="18"/>
                <w:color w:val="auto"/>
              </w:rPr>
              <w:t>Other expense:</w:t>
            </w: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43"/>
        </w:trPr>
        <w:tc>
          <w:tcPr>
            <w:tcW w:w="534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Interest expense, net</w:t>
            </w:r>
          </w:p>
        </w:tc>
        <w:tc>
          <w:tcPr>
            <w:tcW w:w="220" w:type="dxa"/>
            <w:vAlign w:val="bottom"/>
            <w:tcBorders>
              <w:bottom w:val="single" w:sz="8" w:color="auto"/>
            </w:tcBorders>
            <w:shd w:val="clear" w:color="auto" w:fill="CFF0FC"/>
          </w:tcPr>
          <w:p>
            <w:pPr>
              <w:spacing w:after="0"/>
              <w:rPr>
                <w:sz w:val="21"/>
                <w:szCs w:val="21"/>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19,100</w:t>
            </w:r>
          </w:p>
        </w:tc>
        <w:tc>
          <w:tcPr>
            <w:tcW w:w="360" w:type="dxa"/>
            <w:vAlign w:val="bottom"/>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10,100</w:t>
            </w:r>
          </w:p>
        </w:tc>
        <w:tc>
          <w:tcPr>
            <w:tcW w:w="220" w:type="dxa"/>
            <w:vAlign w:val="bottom"/>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55,143</w:t>
            </w:r>
          </w:p>
        </w:tc>
        <w:tc>
          <w:tcPr>
            <w:tcW w:w="320" w:type="dxa"/>
            <w:vAlign w:val="bottom"/>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27,028</w:t>
            </w:r>
          </w:p>
        </w:tc>
        <w:tc>
          <w:tcPr>
            <w:tcW w:w="100" w:type="dxa"/>
            <w:vAlign w:val="bottom"/>
            <w:shd w:val="clear" w:color="auto" w:fill="CFF0FC"/>
          </w:tcPr>
          <w:p>
            <w:pPr>
              <w:spacing w:after="0"/>
              <w:rPr>
                <w:sz w:val="21"/>
                <w:szCs w:val="21"/>
                <w:color w:val="auto"/>
              </w:rPr>
            </w:pPr>
          </w:p>
        </w:tc>
      </w:tr>
      <w:tr>
        <w:trPr>
          <w:trHeight w:val="242"/>
        </w:trPr>
        <w:tc>
          <w:tcPr>
            <w:tcW w:w="5340" w:type="dxa"/>
            <w:vAlign w:val="bottom"/>
          </w:tcPr>
          <w:p>
            <w:pPr>
              <w:ind w:left="20"/>
              <w:spacing w:after="0"/>
              <w:rPr>
                <w:sz w:val="20"/>
                <w:szCs w:val="20"/>
                <w:color w:val="auto"/>
              </w:rPr>
            </w:pPr>
            <w:r>
              <w:rPr>
                <w:rFonts w:ascii="Arial" w:cs="Arial" w:eastAsia="Arial" w:hAnsi="Arial"/>
                <w:sz w:val="18"/>
                <w:szCs w:val="18"/>
                <w:color w:val="auto"/>
              </w:rPr>
              <w:t>Total other expense</w:t>
            </w:r>
          </w:p>
        </w:tc>
        <w:tc>
          <w:tcPr>
            <w:tcW w:w="2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19,100</w:t>
            </w:r>
          </w:p>
        </w:tc>
        <w:tc>
          <w:tcPr>
            <w:tcW w:w="36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10,100</w:t>
            </w:r>
          </w:p>
        </w:tc>
        <w:tc>
          <w:tcPr>
            <w:tcW w:w="22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55,143</w:t>
            </w:r>
          </w:p>
        </w:tc>
        <w:tc>
          <w:tcPr>
            <w:tcW w:w="32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27,028</w:t>
            </w:r>
          </w:p>
        </w:tc>
        <w:tc>
          <w:tcPr>
            <w:tcW w:w="100" w:type="dxa"/>
            <w:vAlign w:val="bottom"/>
          </w:tcPr>
          <w:p>
            <w:pPr>
              <w:spacing w:after="0"/>
              <w:rPr>
                <w:sz w:val="21"/>
                <w:szCs w:val="21"/>
                <w:color w:val="auto"/>
              </w:rPr>
            </w:pPr>
          </w:p>
        </w:tc>
      </w:tr>
      <w:tr>
        <w:trPr>
          <w:trHeight w:val="236"/>
        </w:trPr>
        <w:tc>
          <w:tcPr>
            <w:tcW w:w="534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Income before taxes</w:t>
            </w:r>
          </w:p>
        </w:tc>
        <w:tc>
          <w:tcPr>
            <w:tcW w:w="220" w:type="dxa"/>
            <w:vAlign w:val="bottom"/>
            <w:shd w:val="clear" w:color="auto" w:fill="CFF0FC"/>
          </w:tcPr>
          <w:p>
            <w:pPr>
              <w:spacing w:after="0"/>
              <w:rPr>
                <w:sz w:val="20"/>
                <w:szCs w:val="20"/>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23,955</w:t>
            </w:r>
          </w:p>
        </w:tc>
        <w:tc>
          <w:tcPr>
            <w:tcW w:w="36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32,811</w:t>
            </w:r>
          </w:p>
        </w:tc>
        <w:tc>
          <w:tcPr>
            <w:tcW w:w="2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86,126</w:t>
            </w:r>
          </w:p>
        </w:tc>
        <w:tc>
          <w:tcPr>
            <w:tcW w:w="3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122,132</w:t>
            </w:r>
          </w:p>
        </w:tc>
        <w:tc>
          <w:tcPr>
            <w:tcW w:w="100" w:type="dxa"/>
            <w:vAlign w:val="bottom"/>
            <w:shd w:val="clear" w:color="auto" w:fill="CFF0FC"/>
          </w:tcPr>
          <w:p>
            <w:pPr>
              <w:spacing w:after="0"/>
              <w:rPr>
                <w:sz w:val="20"/>
                <w:szCs w:val="20"/>
                <w:color w:val="auto"/>
              </w:rPr>
            </w:pPr>
          </w:p>
        </w:tc>
      </w:tr>
      <w:tr>
        <w:trPr>
          <w:trHeight w:val="243"/>
        </w:trPr>
        <w:tc>
          <w:tcPr>
            <w:tcW w:w="5340" w:type="dxa"/>
            <w:vAlign w:val="bottom"/>
          </w:tcPr>
          <w:p>
            <w:pPr>
              <w:ind w:left="20"/>
              <w:spacing w:after="0"/>
              <w:rPr>
                <w:sz w:val="20"/>
                <w:szCs w:val="20"/>
                <w:color w:val="auto"/>
              </w:rPr>
            </w:pPr>
            <w:r>
              <w:rPr>
                <w:rFonts w:ascii="Arial" w:cs="Arial" w:eastAsia="Arial" w:hAnsi="Arial"/>
                <w:sz w:val="18"/>
                <w:szCs w:val="18"/>
                <w:color w:val="auto"/>
              </w:rPr>
              <w:t>Income tax provision</w:t>
            </w:r>
          </w:p>
        </w:tc>
        <w:tc>
          <w:tcPr>
            <w:tcW w:w="2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4,470</w:t>
            </w:r>
          </w:p>
        </w:tc>
        <w:tc>
          <w:tcPr>
            <w:tcW w:w="36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8,814</w:t>
            </w:r>
          </w:p>
        </w:tc>
        <w:tc>
          <w:tcPr>
            <w:tcW w:w="22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18,373</w:t>
            </w:r>
          </w:p>
        </w:tc>
        <w:tc>
          <w:tcPr>
            <w:tcW w:w="32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26,988</w:t>
            </w:r>
          </w:p>
        </w:tc>
        <w:tc>
          <w:tcPr>
            <w:tcW w:w="100" w:type="dxa"/>
            <w:vAlign w:val="bottom"/>
          </w:tcPr>
          <w:p>
            <w:pPr>
              <w:spacing w:after="0"/>
              <w:rPr>
                <w:sz w:val="21"/>
                <w:szCs w:val="21"/>
                <w:color w:val="auto"/>
              </w:rPr>
            </w:pPr>
          </w:p>
        </w:tc>
      </w:tr>
      <w:tr>
        <w:trPr>
          <w:trHeight w:val="236"/>
        </w:trPr>
        <w:tc>
          <w:tcPr>
            <w:tcW w:w="53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Net income</w:t>
            </w: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19,485</w:t>
            </w:r>
          </w:p>
        </w:tc>
        <w:tc>
          <w:tcPr>
            <w:tcW w:w="36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23,997</w:t>
            </w:r>
          </w:p>
        </w:tc>
        <w:tc>
          <w:tcPr>
            <w:tcW w:w="22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67,753</w:t>
            </w:r>
          </w:p>
        </w:tc>
        <w:tc>
          <w:tcPr>
            <w:tcW w:w="32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95,144</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472"/>
        </w:trPr>
        <w:tc>
          <w:tcPr>
            <w:tcW w:w="5340" w:type="dxa"/>
            <w:vAlign w:val="bottom"/>
          </w:tcPr>
          <w:p>
            <w:pPr>
              <w:ind w:left="20"/>
              <w:spacing w:after="0"/>
              <w:rPr>
                <w:sz w:val="20"/>
                <w:szCs w:val="20"/>
                <w:color w:val="auto"/>
              </w:rPr>
            </w:pPr>
            <w:r>
              <w:rPr>
                <w:rFonts w:ascii="Arial" w:cs="Arial" w:eastAsia="Arial" w:hAnsi="Arial"/>
                <w:sz w:val="18"/>
                <w:szCs w:val="18"/>
                <w:color w:val="auto"/>
              </w:rPr>
              <w:t>Other comprehensive income, net of tax:</w:t>
            </w: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49"/>
        </w:trPr>
        <w:tc>
          <w:tcPr>
            <w:tcW w:w="5340" w:type="dxa"/>
            <w:vAlign w:val="bottom"/>
            <w:shd w:val="clear" w:color="auto" w:fill="CFF0FC"/>
          </w:tcPr>
          <w:p>
            <w:pPr>
              <w:ind w:left="20"/>
              <w:spacing w:after="0"/>
              <w:rPr>
                <w:sz w:val="20"/>
                <w:szCs w:val="20"/>
                <w:color w:val="auto"/>
              </w:rPr>
            </w:pPr>
            <w:r>
              <w:rPr>
                <w:rFonts w:ascii="Arial" w:cs="Arial" w:eastAsia="Arial" w:hAnsi="Arial"/>
                <w:sz w:val="18"/>
                <w:szCs w:val="18"/>
                <w:color w:val="auto"/>
              </w:rPr>
              <w:t>(Loss) gain on interest rate swap</w:t>
            </w:r>
          </w:p>
        </w:tc>
        <w:tc>
          <w:tcPr>
            <w:tcW w:w="22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2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(1,795 )</w:t>
            </w:r>
          </w:p>
        </w:tc>
        <w:tc>
          <w:tcPr>
            <w:tcW w:w="22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375</w:t>
            </w:r>
          </w:p>
        </w:tc>
        <w:tc>
          <w:tcPr>
            <w:tcW w:w="100" w:type="dxa"/>
            <w:vAlign w:val="bottom"/>
            <w:shd w:val="clear" w:color="auto" w:fill="CFF0FC"/>
          </w:tcPr>
          <w:p>
            <w:pPr>
              <w:spacing w:after="0"/>
              <w:rPr>
                <w:sz w:val="21"/>
                <w:szCs w:val="21"/>
                <w:color w:val="auto"/>
              </w:rPr>
            </w:pPr>
          </w:p>
        </w:tc>
      </w:tr>
      <w:tr>
        <w:trPr>
          <w:trHeight w:val="236"/>
        </w:trPr>
        <w:tc>
          <w:tcPr>
            <w:tcW w:w="5340" w:type="dxa"/>
            <w:vAlign w:val="bottom"/>
            <w:tcBorders>
              <w:top w:val="single" w:sz="8" w:color="CFF0FC"/>
            </w:tcBorders>
          </w:tcPr>
          <w:p>
            <w:pPr>
              <w:ind w:left="20"/>
              <w:spacing w:after="0"/>
              <w:rPr>
                <w:sz w:val="20"/>
                <w:szCs w:val="20"/>
                <w:color w:val="auto"/>
              </w:rPr>
            </w:pPr>
            <w:r>
              <w:rPr>
                <w:rFonts w:ascii="Arial" w:cs="Arial" w:eastAsia="Arial" w:hAnsi="Arial"/>
                <w:sz w:val="18"/>
                <w:szCs w:val="18"/>
                <w:color w:val="auto"/>
              </w:rPr>
              <w:t>Total comprehensive income</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19,485</w:t>
            </w:r>
          </w:p>
        </w:tc>
        <w:tc>
          <w:tcPr>
            <w:tcW w:w="360" w:type="dxa"/>
            <w:vAlign w:val="bottom"/>
            <w:tcBorders>
              <w:top w:val="single" w:sz="8" w:color="CFF0FC"/>
            </w:tcBorders>
          </w:tcPr>
          <w:p>
            <w:pPr>
              <w:spacing w:after="0"/>
              <w:rPr>
                <w:sz w:val="20"/>
                <w:szCs w:val="20"/>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22,202</w:t>
            </w:r>
          </w:p>
        </w:tc>
        <w:tc>
          <w:tcPr>
            <w:tcW w:w="220" w:type="dxa"/>
            <w:vAlign w:val="bottom"/>
            <w:tcBorders>
              <w:top w:val="single" w:sz="8" w:color="CFF0FC"/>
            </w:tcBorders>
          </w:tcPr>
          <w:p>
            <w:pPr>
              <w:spacing w:after="0"/>
              <w:rPr>
                <w:sz w:val="20"/>
                <w:szCs w:val="20"/>
                <w:color w:val="auto"/>
              </w:rPr>
            </w:pPr>
          </w:p>
        </w:tc>
        <w:tc>
          <w:tcPr>
            <w:tcW w:w="2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67,753</w:t>
            </w:r>
          </w:p>
        </w:tc>
        <w:tc>
          <w:tcPr>
            <w:tcW w:w="320" w:type="dxa"/>
            <w:vAlign w:val="bottom"/>
            <w:tcBorders>
              <w:top w:val="single" w:sz="8" w:color="CFF0FC"/>
            </w:tcBorders>
          </w:tcPr>
          <w:p>
            <w:pPr>
              <w:spacing w:after="0"/>
              <w:rPr>
                <w:sz w:val="20"/>
                <w:szCs w:val="20"/>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95,519</w:t>
            </w:r>
          </w:p>
        </w:tc>
        <w:tc>
          <w:tcPr>
            <w:tcW w:w="100" w:type="dxa"/>
            <w:vAlign w:val="bottom"/>
            <w:tcBorders>
              <w:top w:val="single" w:sz="8" w:color="CFF0FC"/>
            </w:tcBorders>
          </w:tcPr>
          <w:p>
            <w:pPr>
              <w:spacing w:after="0"/>
              <w:rPr>
                <w:sz w:val="20"/>
                <w:szCs w:val="20"/>
                <w:color w:val="auto"/>
              </w:rPr>
            </w:pPr>
          </w:p>
        </w:tc>
      </w:tr>
      <w:tr>
        <w:trPr>
          <w:trHeight w:val="20"/>
        </w:trPr>
        <w:tc>
          <w:tcPr>
            <w:tcW w:w="53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3"/>
        </w:trPr>
        <w:tc>
          <w:tcPr>
            <w:tcW w:w="5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43"/>
        </w:trPr>
        <w:tc>
          <w:tcPr>
            <w:tcW w:w="534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income per share:</w:t>
            </w:r>
          </w:p>
        </w:tc>
        <w:tc>
          <w:tcPr>
            <w:tcW w:w="22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9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43"/>
        </w:trPr>
        <w:tc>
          <w:tcPr>
            <w:tcW w:w="5340" w:type="dxa"/>
            <w:vAlign w:val="bottom"/>
          </w:tcPr>
          <w:p>
            <w:pPr>
              <w:ind w:left="240"/>
              <w:spacing w:after="0"/>
              <w:rPr>
                <w:sz w:val="20"/>
                <w:szCs w:val="20"/>
                <w:color w:val="auto"/>
              </w:rPr>
            </w:pPr>
            <w:r>
              <w:rPr>
                <w:rFonts w:ascii="Arial" w:cs="Arial" w:eastAsia="Arial" w:hAnsi="Arial"/>
                <w:sz w:val="18"/>
                <w:szCs w:val="18"/>
                <w:color w:val="auto"/>
              </w:rPr>
              <w:t>Basic</w:t>
            </w: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0.06</w:t>
            </w:r>
          </w:p>
        </w:tc>
        <w:tc>
          <w:tcPr>
            <w:tcW w:w="360" w:type="dxa"/>
            <w:vAlign w:val="bottom"/>
          </w:tcPr>
          <w:p>
            <w:pPr>
              <w:spacing w:after="0"/>
              <w:rPr>
                <w:sz w:val="21"/>
                <w:szCs w:val="21"/>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0.08</w:t>
            </w:r>
          </w:p>
        </w:tc>
        <w:tc>
          <w:tcPr>
            <w:tcW w:w="220" w:type="dxa"/>
            <w:vAlign w:val="bottom"/>
          </w:tcPr>
          <w:p>
            <w:pPr>
              <w:spacing w:after="0"/>
              <w:rPr>
                <w:sz w:val="21"/>
                <w:szCs w:val="21"/>
                <w:color w:val="auto"/>
              </w:rPr>
            </w:pPr>
          </w:p>
        </w:tc>
        <w:tc>
          <w:tcPr>
            <w:tcW w:w="2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0.22</w:t>
            </w:r>
          </w:p>
        </w:tc>
        <w:tc>
          <w:tcPr>
            <w:tcW w:w="320" w:type="dxa"/>
            <w:vAlign w:val="bottom"/>
          </w:tcPr>
          <w:p>
            <w:pPr>
              <w:spacing w:after="0"/>
              <w:rPr>
                <w:sz w:val="21"/>
                <w:szCs w:val="21"/>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0.31</w:t>
            </w:r>
          </w:p>
        </w:tc>
        <w:tc>
          <w:tcPr>
            <w:tcW w:w="100" w:type="dxa"/>
            <w:vAlign w:val="bottom"/>
          </w:tcPr>
          <w:p>
            <w:pPr>
              <w:spacing w:after="0"/>
              <w:rPr>
                <w:sz w:val="21"/>
                <w:szCs w:val="21"/>
                <w:color w:val="auto"/>
              </w:rPr>
            </w:pPr>
          </w:p>
        </w:tc>
      </w:tr>
      <w:tr>
        <w:trPr>
          <w:trHeight w:val="20"/>
        </w:trPr>
        <w:tc>
          <w:tcPr>
            <w:tcW w:w="5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63"/>
        </w:trPr>
        <w:tc>
          <w:tcPr>
            <w:tcW w:w="534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Diluted</w:t>
            </w: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0.06</w:t>
            </w:r>
          </w:p>
        </w:tc>
        <w:tc>
          <w:tcPr>
            <w:tcW w:w="360" w:type="dxa"/>
            <w:vAlign w:val="bottom"/>
            <w:tcBorders>
              <w:bottom w:val="single" w:sz="8" w:color="CFF0FC"/>
            </w:tcBorders>
            <w:shd w:val="clear" w:color="auto" w:fill="CFF0FC"/>
          </w:tcPr>
          <w:p>
            <w:pPr>
              <w:spacing w:after="0"/>
              <w:rPr>
                <w:sz w:val="22"/>
                <w:szCs w:val="22"/>
                <w:color w:val="auto"/>
              </w:rPr>
            </w:pP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0.07</w:t>
            </w:r>
          </w:p>
        </w:tc>
        <w:tc>
          <w:tcPr>
            <w:tcW w:w="220" w:type="dxa"/>
            <w:vAlign w:val="bottom"/>
            <w:tcBorders>
              <w:bottom w:val="single" w:sz="8" w:color="CFF0FC"/>
            </w:tcBorders>
            <w:shd w:val="clear" w:color="auto" w:fill="CFF0FC"/>
          </w:tcPr>
          <w:p>
            <w:pPr>
              <w:spacing w:after="0"/>
              <w:rPr>
                <w:sz w:val="22"/>
                <w:szCs w:val="22"/>
                <w:color w:val="auto"/>
              </w:rPr>
            </w:pPr>
          </w:p>
        </w:tc>
        <w:tc>
          <w:tcPr>
            <w:tcW w:w="220" w:type="dxa"/>
            <w:vAlign w:val="bottom"/>
            <w:tcBorders>
              <w:top w:val="single" w:sz="8" w:color="auto"/>
              <w:bottom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0.21</w:t>
            </w:r>
          </w:p>
        </w:tc>
        <w:tc>
          <w:tcPr>
            <w:tcW w:w="320" w:type="dxa"/>
            <w:vAlign w:val="bottom"/>
            <w:tcBorders>
              <w:bottom w:val="single" w:sz="8" w:color="CFF0FC"/>
            </w:tcBorders>
            <w:shd w:val="clear" w:color="auto" w:fill="CFF0FC"/>
          </w:tcPr>
          <w:p>
            <w:pPr>
              <w:spacing w:after="0"/>
              <w:rPr>
                <w:sz w:val="22"/>
                <w:szCs w:val="22"/>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0.29</w:t>
            </w:r>
          </w:p>
        </w:tc>
        <w:tc>
          <w:tcPr>
            <w:tcW w:w="100" w:type="dxa"/>
            <w:vAlign w:val="bottom"/>
            <w:tcBorders>
              <w:bottom w:val="single" w:sz="8" w:color="CFF0FC"/>
            </w:tcBorders>
            <w:shd w:val="clear" w:color="auto" w:fill="CFF0FC"/>
          </w:tcPr>
          <w:p>
            <w:pPr>
              <w:spacing w:after="0"/>
              <w:rPr>
                <w:sz w:val="22"/>
                <w:szCs w:val="22"/>
                <w:color w:val="auto"/>
              </w:rPr>
            </w:pPr>
          </w:p>
        </w:tc>
      </w:tr>
      <w:tr>
        <w:trPr>
          <w:trHeight w:val="217"/>
        </w:trPr>
        <w:tc>
          <w:tcPr>
            <w:tcW w:w="5340" w:type="dxa"/>
            <w:vAlign w:val="bottom"/>
          </w:tcPr>
          <w:p>
            <w:pPr>
              <w:ind w:left="20"/>
              <w:spacing w:after="0"/>
              <w:rPr>
                <w:sz w:val="20"/>
                <w:szCs w:val="20"/>
                <w:color w:val="auto"/>
              </w:rPr>
            </w:pPr>
            <w:r>
              <w:rPr>
                <w:rFonts w:ascii="Arial" w:cs="Arial" w:eastAsia="Arial" w:hAnsi="Arial"/>
                <w:sz w:val="18"/>
                <w:szCs w:val="18"/>
                <w:color w:val="auto"/>
              </w:rPr>
              <w:t>Weighted-average common shares outstanding:</w:t>
            </w: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9"/>
        </w:trPr>
        <w:tc>
          <w:tcPr>
            <w:tcW w:w="534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Basic</w:t>
            </w:r>
          </w:p>
        </w:tc>
        <w:tc>
          <w:tcPr>
            <w:tcW w:w="220" w:type="dxa"/>
            <w:vAlign w:val="bottom"/>
            <w:tcBorders>
              <w:bottom w:val="single" w:sz="8" w:color="auto"/>
            </w:tcBorders>
            <w:shd w:val="clear" w:color="auto" w:fill="CFF0FC"/>
          </w:tcPr>
          <w:p>
            <w:pPr>
              <w:spacing w:after="0"/>
              <w:rPr>
                <w:sz w:val="21"/>
                <w:szCs w:val="21"/>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312,883,586</w:t>
            </w:r>
          </w:p>
        </w:tc>
        <w:tc>
          <w:tcPr>
            <w:tcW w:w="36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304,290,590</w:t>
            </w:r>
          </w:p>
        </w:tc>
        <w:tc>
          <w:tcPr>
            <w:tcW w:w="22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7"/>
              </w:rPr>
              <w:t>309,850,600</w:t>
            </w:r>
          </w:p>
        </w:tc>
        <w:tc>
          <w:tcPr>
            <w:tcW w:w="32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3"/>
              </w:rPr>
              <w:t>302,641,749</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5340" w:type="dxa"/>
            <w:vAlign w:val="bottom"/>
          </w:tcPr>
          <w:p>
            <w:pPr>
              <w:ind w:left="240"/>
              <w:spacing w:after="0"/>
              <w:rPr>
                <w:sz w:val="20"/>
                <w:szCs w:val="20"/>
                <w:color w:val="auto"/>
              </w:rPr>
            </w:pPr>
            <w:r>
              <w:rPr>
                <w:rFonts w:ascii="Arial" w:cs="Arial" w:eastAsia="Arial" w:hAnsi="Arial"/>
                <w:sz w:val="18"/>
                <w:szCs w:val="18"/>
                <w:color w:val="auto"/>
              </w:rPr>
              <w:t>Diluted</w:t>
            </w:r>
          </w:p>
        </w:tc>
        <w:tc>
          <w:tcPr>
            <w:tcW w:w="2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328,844,569</w:t>
            </w:r>
          </w:p>
        </w:tc>
        <w:tc>
          <w:tcPr>
            <w:tcW w:w="3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326,881,152</w:t>
            </w:r>
          </w:p>
        </w:tc>
        <w:tc>
          <w:tcPr>
            <w:tcW w:w="2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328,265,878</w:t>
            </w:r>
          </w:p>
        </w:tc>
        <w:tc>
          <w:tcPr>
            <w:tcW w:w="3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327,773,344</w:t>
            </w:r>
          </w:p>
        </w:tc>
        <w:tc>
          <w:tcPr>
            <w:tcW w:w="10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4192270</wp:posOffset>
            </wp:positionH>
            <wp:positionV relativeFrom="paragraph">
              <wp:posOffset>-3235960</wp:posOffset>
            </wp:positionV>
            <wp:extent cx="76835" cy="1714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6835" cy="171450"/>
                    </a:xfrm>
                    <a:prstGeom prst="rect">
                      <a:avLst/>
                    </a:prstGeom>
                    <a:noFill/>
                  </pic:spPr>
                </pic:pic>
              </a:graphicData>
            </a:graphic>
          </wp:anchor>
        </w:drawing>
        <w:drawing>
          <wp:anchor simplePos="0" relativeHeight="251657728" behindDoc="1" locked="0" layoutInCell="0" allowOverlap="1">
            <wp:simplePos x="0" y="0"/>
            <wp:positionH relativeFrom="column">
              <wp:posOffset>5210810</wp:posOffset>
            </wp:positionH>
            <wp:positionV relativeFrom="paragraph">
              <wp:posOffset>-3235960</wp:posOffset>
            </wp:positionV>
            <wp:extent cx="68580" cy="1714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6135370</wp:posOffset>
            </wp:positionH>
            <wp:positionV relativeFrom="paragraph">
              <wp:posOffset>-3235960</wp:posOffset>
            </wp:positionV>
            <wp:extent cx="68580" cy="1714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-3235960</wp:posOffset>
            </wp:positionV>
            <wp:extent cx="68580" cy="1714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4179570</wp:posOffset>
            </wp:positionH>
            <wp:positionV relativeFrom="paragraph">
              <wp:posOffset>-2460625</wp:posOffset>
            </wp:positionV>
            <wp:extent cx="2971165" cy="1968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971165" cy="196850"/>
                    </a:xfrm>
                    <a:prstGeom prst="rect">
                      <a:avLst/>
                    </a:prstGeom>
                    <a:noFill/>
                  </pic:spPr>
                </pic:pic>
              </a:graphicData>
            </a:graphic>
          </wp:anchor>
        </w:drawing>
        <w:drawing>
          <wp:anchor simplePos="0" relativeHeight="251657728" behindDoc="1" locked="0" layoutInCell="0" allowOverlap="1">
            <wp:simplePos x="0" y="0"/>
            <wp:positionH relativeFrom="column">
              <wp:posOffset>4192270</wp:posOffset>
            </wp:positionH>
            <wp:positionV relativeFrom="paragraph">
              <wp:posOffset>-1805940</wp:posOffset>
            </wp:positionV>
            <wp:extent cx="76835" cy="31686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6835" cy="316865"/>
                    </a:xfrm>
                    <a:prstGeom prst="rect">
                      <a:avLst/>
                    </a:prstGeom>
                    <a:noFill/>
                  </pic:spPr>
                </pic:pic>
              </a:graphicData>
            </a:graphic>
          </wp:anchor>
        </w:drawing>
        <w:drawing>
          <wp:anchor simplePos="0" relativeHeight="251657728" behindDoc="1" locked="0" layoutInCell="0" allowOverlap="1">
            <wp:simplePos x="0" y="0"/>
            <wp:positionH relativeFrom="column">
              <wp:posOffset>5210810</wp:posOffset>
            </wp:positionH>
            <wp:positionV relativeFrom="paragraph">
              <wp:posOffset>-1805940</wp:posOffset>
            </wp:positionV>
            <wp:extent cx="68580" cy="31686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580" cy="316865"/>
                    </a:xfrm>
                    <a:prstGeom prst="rect">
                      <a:avLst/>
                    </a:prstGeom>
                    <a:noFill/>
                  </pic:spPr>
                </pic:pic>
              </a:graphicData>
            </a:graphic>
          </wp:anchor>
        </w:drawing>
        <w:drawing>
          <wp:anchor simplePos="0" relativeHeight="251657728" behindDoc="1" locked="0" layoutInCell="0" allowOverlap="1">
            <wp:simplePos x="0" y="0"/>
            <wp:positionH relativeFrom="column">
              <wp:posOffset>6135370</wp:posOffset>
            </wp:positionH>
            <wp:positionV relativeFrom="paragraph">
              <wp:posOffset>-1805940</wp:posOffset>
            </wp:positionV>
            <wp:extent cx="68580" cy="31686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 cy="31686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-1805940</wp:posOffset>
            </wp:positionV>
            <wp:extent cx="68580" cy="31686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580" cy="316865"/>
                    </a:xfrm>
                    <a:prstGeom prst="rect">
                      <a:avLst/>
                    </a:prstGeom>
                    <a:noFill/>
                  </pic:spPr>
                </pic:pic>
              </a:graphicData>
            </a:graphic>
          </wp:anchor>
        </w:drawing>
        <w:drawing>
          <wp:anchor simplePos="0" relativeHeight="251657728" behindDoc="1" locked="0" layoutInCell="0" allowOverlap="1">
            <wp:simplePos x="0" y="0"/>
            <wp:positionH relativeFrom="column">
              <wp:posOffset>4192270</wp:posOffset>
            </wp:positionH>
            <wp:positionV relativeFrom="paragraph">
              <wp:posOffset>-1335405</wp:posOffset>
            </wp:positionV>
            <wp:extent cx="76835" cy="34226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6835" cy="342265"/>
                    </a:xfrm>
                    <a:prstGeom prst="rect">
                      <a:avLst/>
                    </a:prstGeom>
                    <a:noFill/>
                  </pic:spPr>
                </pic:pic>
              </a:graphicData>
            </a:graphic>
          </wp:anchor>
        </w:drawing>
        <w:drawing>
          <wp:anchor simplePos="0" relativeHeight="251657728" behindDoc="1" locked="0" layoutInCell="0" allowOverlap="1">
            <wp:simplePos x="0" y="0"/>
            <wp:positionH relativeFrom="column">
              <wp:posOffset>5210810</wp:posOffset>
            </wp:positionH>
            <wp:positionV relativeFrom="paragraph">
              <wp:posOffset>-1335405</wp:posOffset>
            </wp:positionV>
            <wp:extent cx="68580" cy="34226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580" cy="342265"/>
                    </a:xfrm>
                    <a:prstGeom prst="rect">
                      <a:avLst/>
                    </a:prstGeom>
                    <a:noFill/>
                  </pic:spPr>
                </pic:pic>
              </a:graphicData>
            </a:graphic>
          </wp:anchor>
        </w:drawing>
        <w:drawing>
          <wp:anchor simplePos="0" relativeHeight="251657728" behindDoc="1" locked="0" layoutInCell="0" allowOverlap="1">
            <wp:simplePos x="0" y="0"/>
            <wp:positionH relativeFrom="column">
              <wp:posOffset>6135370</wp:posOffset>
            </wp:positionH>
            <wp:positionV relativeFrom="paragraph">
              <wp:posOffset>-1335405</wp:posOffset>
            </wp:positionV>
            <wp:extent cx="68580" cy="34226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580" cy="34226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-1335405</wp:posOffset>
            </wp:positionV>
            <wp:extent cx="68580" cy="34226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580" cy="342265"/>
                    </a:xfrm>
                    <a:prstGeom prst="rect">
                      <a:avLst/>
                    </a:prstGeom>
                    <a:noFill/>
                  </pic:spPr>
                </pic:pic>
              </a:graphicData>
            </a:graphic>
          </wp:anchor>
        </w:drawing>
        <w:drawing>
          <wp:anchor simplePos="0" relativeHeight="251657728" behindDoc="1" locked="0" layoutInCell="0" allowOverlap="1">
            <wp:simplePos x="0" y="0"/>
            <wp:positionH relativeFrom="column">
              <wp:posOffset>4192270</wp:posOffset>
            </wp:positionH>
            <wp:positionV relativeFrom="paragraph">
              <wp:posOffset>-504825</wp:posOffset>
            </wp:positionV>
            <wp:extent cx="2945765" cy="17970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2945765" cy="179705"/>
                    </a:xfrm>
                    <a:prstGeom prst="rect">
                      <a:avLst/>
                    </a:prstGeom>
                    <a:noFill/>
                  </pic:spPr>
                </pic:pic>
              </a:graphicData>
            </a:graphic>
          </wp:anchor>
        </w:drawing>
        <w:drawing>
          <wp:anchor simplePos="0" relativeHeight="251657728" behindDoc="1" locked="0" layoutInCell="0" allowOverlap="1">
            <wp:simplePos x="0" y="0"/>
            <wp:positionH relativeFrom="column">
              <wp:posOffset>4192270</wp:posOffset>
            </wp:positionH>
            <wp:positionV relativeFrom="paragraph">
              <wp:posOffset>-170815</wp:posOffset>
            </wp:positionV>
            <wp:extent cx="76835" cy="17145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6835" cy="171450"/>
                    </a:xfrm>
                    <a:prstGeom prst="rect">
                      <a:avLst/>
                    </a:prstGeom>
                    <a:noFill/>
                  </pic:spPr>
                </pic:pic>
              </a:graphicData>
            </a:graphic>
          </wp:anchor>
        </w:drawing>
        <w:drawing>
          <wp:anchor simplePos="0" relativeHeight="251657728" behindDoc="1" locked="0" layoutInCell="0" allowOverlap="1">
            <wp:simplePos x="0" y="0"/>
            <wp:positionH relativeFrom="column">
              <wp:posOffset>5210810</wp:posOffset>
            </wp:positionH>
            <wp:positionV relativeFrom="paragraph">
              <wp:posOffset>-170815</wp:posOffset>
            </wp:positionV>
            <wp:extent cx="68580" cy="17145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6135370</wp:posOffset>
            </wp:positionH>
            <wp:positionV relativeFrom="paragraph">
              <wp:posOffset>-170815</wp:posOffset>
            </wp:positionV>
            <wp:extent cx="68580" cy="17145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17145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580" cy="171450"/>
                    </a:xfrm>
                    <a:prstGeom prst="rect">
                      <a:avLst/>
                    </a:prstGeom>
                    <a:noFill/>
                  </pic:spPr>
                </pic:pic>
              </a:graphicData>
            </a:graphic>
          </wp:anchor>
        </w:drawing>
      </w: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231F20"/>
        </w:rPr>
        <w:t>See accompanying notes to unaudited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Mister Car Wash,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680" w:type="dxa"/>
            <w:vAlign w:val="bottom"/>
          </w:tcPr>
          <w:p>
            <w:pPr>
              <w:spacing w:after="0"/>
              <w:rPr>
                <w:sz w:val="19"/>
                <w:szCs w:val="19"/>
                <w:color w:val="auto"/>
              </w:rPr>
            </w:pPr>
          </w:p>
        </w:tc>
        <w:tc>
          <w:tcPr>
            <w:tcW w:w="3560" w:type="dxa"/>
            <w:vAlign w:val="bottom"/>
            <w:gridSpan w:val="6"/>
          </w:tcPr>
          <w:p>
            <w:pPr>
              <w:jc w:val="right"/>
              <w:ind w:right="620"/>
              <w:spacing w:after="0"/>
              <w:rPr>
                <w:sz w:val="20"/>
                <w:szCs w:val="20"/>
                <w:color w:val="auto"/>
              </w:rPr>
            </w:pPr>
            <w:r>
              <w:rPr>
                <w:rFonts w:ascii="Arial" w:cs="Arial" w:eastAsia="Arial" w:hAnsi="Arial"/>
                <w:sz w:val="16"/>
                <w:szCs w:val="16"/>
                <w:b w:val="1"/>
                <w:bCs w:val="1"/>
                <w:color w:val="auto"/>
              </w:rPr>
              <w:t>Nine Months Ended September 30,</w:t>
            </w:r>
          </w:p>
        </w:tc>
      </w:tr>
      <w:tr>
        <w:trPr>
          <w:trHeight w:val="223"/>
        </w:trPr>
        <w:tc>
          <w:tcPr>
            <w:tcW w:w="7680" w:type="dxa"/>
            <w:vAlign w:val="bottom"/>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2023</w:t>
            </w:r>
          </w:p>
        </w:tc>
        <w:tc>
          <w:tcPr>
            <w:tcW w:w="620" w:type="dxa"/>
            <w:vAlign w:val="bottom"/>
            <w:tcBorders>
              <w:top w:val="single" w:sz="8" w:color="auto"/>
              <w:bottom w:val="single" w:sz="8" w:color="auto"/>
            </w:tcBorders>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2022</w:t>
            </w:r>
          </w:p>
        </w:tc>
        <w:tc>
          <w:tcPr>
            <w:tcW w:w="100" w:type="dxa"/>
            <w:vAlign w:val="bottom"/>
          </w:tcPr>
          <w:p>
            <w:pPr>
              <w:spacing w:after="0"/>
              <w:rPr>
                <w:sz w:val="19"/>
                <w:szCs w:val="19"/>
                <w:color w:val="auto"/>
              </w:rPr>
            </w:pPr>
          </w:p>
        </w:tc>
      </w:tr>
      <w:tr>
        <w:trPr>
          <w:trHeight w:val="229"/>
        </w:trPr>
        <w:tc>
          <w:tcPr>
            <w:tcW w:w="7680" w:type="dxa"/>
            <w:vAlign w:val="bottom"/>
            <w:shd w:val="clear" w:color="auto" w:fill="CFF0FC"/>
          </w:tcPr>
          <w:p>
            <w:pPr>
              <w:ind w:left="20"/>
              <w:spacing w:after="0"/>
              <w:rPr>
                <w:sz w:val="20"/>
                <w:szCs w:val="20"/>
                <w:color w:val="auto"/>
              </w:rPr>
            </w:pPr>
            <w:r>
              <w:rPr>
                <w:rFonts w:ascii="Arial" w:cs="Arial" w:eastAsia="Arial" w:hAnsi="Arial"/>
                <w:sz w:val="16"/>
                <w:szCs w:val="16"/>
                <w:b w:val="1"/>
                <w:bCs w:val="1"/>
                <w:color w:val="auto"/>
              </w:rPr>
              <w:t>Cash flows from operating activities:</w:t>
            </w:r>
          </w:p>
        </w:tc>
        <w:tc>
          <w:tcPr>
            <w:tcW w:w="98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0"/>
        </w:trPr>
        <w:tc>
          <w:tcPr>
            <w:tcW w:w="768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980" w:type="dxa"/>
            <w:vAlign w:val="bottom"/>
          </w:tcPr>
          <w:p>
            <w:pPr>
              <w:jc w:val="right"/>
              <w:ind w:right="799"/>
              <w:spacing w:after="0"/>
              <w:rPr>
                <w:sz w:val="20"/>
                <w:szCs w:val="20"/>
                <w:color w:val="auto"/>
              </w:rPr>
            </w:pPr>
            <w:r>
              <w:rPr>
                <w:rFonts w:ascii="Arial" w:cs="Arial" w:eastAsia="Arial" w:hAnsi="Arial"/>
                <w:sz w:val="16"/>
                <w:szCs w:val="16"/>
                <w:color w:val="auto"/>
                <w:w w:val="89"/>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67,753</w:t>
            </w:r>
          </w:p>
        </w:tc>
        <w:tc>
          <w:tcPr>
            <w:tcW w:w="280" w:type="dxa"/>
            <w:vAlign w:val="bottom"/>
          </w:tcPr>
          <w:p>
            <w:pPr>
              <w:spacing w:after="0"/>
              <w:rPr>
                <w:sz w:val="19"/>
                <w:szCs w:val="19"/>
                <w:color w:val="auto"/>
              </w:rPr>
            </w:pPr>
          </w:p>
        </w:tc>
        <w:tc>
          <w:tcPr>
            <w:tcW w:w="360" w:type="dxa"/>
            <w:vAlign w:val="bottom"/>
          </w:tcPr>
          <w:p>
            <w:pPr>
              <w:jc w:val="right"/>
              <w:ind w:right="204"/>
              <w:spacing w:after="0"/>
              <w:rPr>
                <w:sz w:val="20"/>
                <w:szCs w:val="20"/>
                <w:color w:val="auto"/>
              </w:rPr>
            </w:pPr>
            <w:r>
              <w:rPr>
                <w:rFonts w:ascii="Arial" w:cs="Arial" w:eastAsia="Arial" w:hAnsi="Arial"/>
                <w:sz w:val="15"/>
                <w:szCs w:val="15"/>
                <w:color w:val="auto"/>
                <w:w w:val="71"/>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95,144</w:t>
            </w:r>
          </w:p>
        </w:tc>
        <w:tc>
          <w:tcPr>
            <w:tcW w:w="100" w:type="dxa"/>
            <w:vAlign w:val="bottom"/>
          </w:tcPr>
          <w:p>
            <w:pPr>
              <w:spacing w:after="0"/>
              <w:rPr>
                <w:sz w:val="19"/>
                <w:szCs w:val="19"/>
                <w:color w:val="auto"/>
              </w:rPr>
            </w:pPr>
          </w:p>
        </w:tc>
      </w:tr>
      <w:tr>
        <w:trPr>
          <w:trHeight w:val="239"/>
        </w:trPr>
        <w:tc>
          <w:tcPr>
            <w:tcW w:w="7680" w:type="dxa"/>
            <w:vAlign w:val="bottom"/>
            <w:shd w:val="clear" w:color="auto" w:fill="CFF0FC"/>
          </w:tcPr>
          <w:p>
            <w:pPr>
              <w:ind w:left="20"/>
              <w:spacing w:after="0"/>
              <w:rPr>
                <w:sz w:val="20"/>
                <w:szCs w:val="20"/>
                <w:color w:val="auto"/>
              </w:rPr>
            </w:pPr>
            <w:r>
              <w:rPr>
                <w:rFonts w:ascii="Arial" w:cs="Arial" w:eastAsia="Arial" w:hAnsi="Arial"/>
                <w:sz w:val="16"/>
                <w:szCs w:val="16"/>
                <w:color w:val="auto"/>
              </w:rPr>
              <w:t>Adjustments to reconcile net income to net cash provided by operating activities:</w:t>
            </w:r>
          </w:p>
        </w:tc>
        <w:tc>
          <w:tcPr>
            <w:tcW w:w="980" w:type="dxa"/>
            <w:vAlign w:val="bottom"/>
            <w:shd w:val="clear" w:color="auto" w:fill="CFF0FC"/>
          </w:tcPr>
          <w:p>
            <w:pPr>
              <w:spacing w:after="0"/>
              <w:rPr>
                <w:sz w:val="20"/>
                <w:szCs w:val="20"/>
                <w:color w:val="auto"/>
              </w:rPr>
            </w:pPr>
          </w:p>
        </w:tc>
        <w:tc>
          <w:tcPr>
            <w:tcW w:w="62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2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20"/>
        </w:trPr>
        <w:tc>
          <w:tcPr>
            <w:tcW w:w="7680" w:type="dxa"/>
            <w:vAlign w:val="bottom"/>
          </w:tcPr>
          <w:p>
            <w:pPr>
              <w:ind w:left="200"/>
              <w:spacing w:after="0"/>
              <w:rPr>
                <w:sz w:val="20"/>
                <w:szCs w:val="20"/>
                <w:color w:val="auto"/>
              </w:rPr>
            </w:pPr>
            <w:r>
              <w:rPr>
                <w:rFonts w:ascii="Arial" w:cs="Arial" w:eastAsia="Arial" w:hAnsi="Arial"/>
                <w:sz w:val="16"/>
                <w:szCs w:val="16"/>
                <w:color w:val="auto"/>
              </w:rPr>
              <w:t>Depreciation and amortization expense</w:t>
            </w:r>
          </w:p>
        </w:tc>
        <w:tc>
          <w:tcPr>
            <w:tcW w:w="9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51,418</w:t>
            </w: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45,274</w:t>
            </w:r>
          </w:p>
        </w:tc>
        <w:tc>
          <w:tcPr>
            <w:tcW w:w="100" w:type="dxa"/>
            <w:vAlign w:val="bottom"/>
          </w:tcPr>
          <w:p>
            <w:pPr>
              <w:spacing w:after="0"/>
              <w:rPr>
                <w:sz w:val="19"/>
                <w:szCs w:val="19"/>
                <w:color w:val="auto"/>
              </w:rPr>
            </w:pPr>
          </w:p>
        </w:tc>
      </w:tr>
      <w:tr>
        <w:trPr>
          <w:trHeight w:val="239"/>
        </w:trPr>
        <w:tc>
          <w:tcPr>
            <w:tcW w:w="7680" w:type="dxa"/>
            <w:vAlign w:val="bottom"/>
            <w:shd w:val="clear" w:color="auto" w:fill="CFF0FC"/>
          </w:tcPr>
          <w:p>
            <w:pPr>
              <w:ind w:left="200"/>
              <w:spacing w:after="0"/>
              <w:rPr>
                <w:sz w:val="20"/>
                <w:szCs w:val="20"/>
                <w:color w:val="auto"/>
              </w:rPr>
            </w:pPr>
            <w:r>
              <w:rPr>
                <w:rFonts w:ascii="Arial" w:cs="Arial" w:eastAsia="Arial" w:hAnsi="Arial"/>
                <w:sz w:val="16"/>
                <w:szCs w:val="16"/>
                <w:color w:val="auto"/>
              </w:rPr>
              <w:t>Stock-based compensation expense</w:t>
            </w:r>
          </w:p>
        </w:tc>
        <w:tc>
          <w:tcPr>
            <w:tcW w:w="980" w:type="dxa"/>
            <w:vAlign w:val="bottom"/>
            <w:shd w:val="clear" w:color="auto" w:fill="CFF0FC"/>
          </w:tcPr>
          <w:p>
            <w:pPr>
              <w:spacing w:after="0"/>
              <w:rPr>
                <w:sz w:val="20"/>
                <w:szCs w:val="20"/>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17,643</w:t>
            </w:r>
          </w:p>
        </w:tc>
        <w:tc>
          <w:tcPr>
            <w:tcW w:w="28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16,959</w:t>
            </w:r>
          </w:p>
        </w:tc>
        <w:tc>
          <w:tcPr>
            <w:tcW w:w="100" w:type="dxa"/>
            <w:vAlign w:val="bottom"/>
            <w:shd w:val="clear" w:color="auto" w:fill="CFF0FC"/>
          </w:tcPr>
          <w:p>
            <w:pPr>
              <w:spacing w:after="0"/>
              <w:rPr>
                <w:sz w:val="20"/>
                <w:szCs w:val="20"/>
                <w:color w:val="auto"/>
              </w:rPr>
            </w:pPr>
          </w:p>
        </w:tc>
      </w:tr>
      <w:tr>
        <w:trPr>
          <w:trHeight w:val="220"/>
        </w:trPr>
        <w:tc>
          <w:tcPr>
            <w:tcW w:w="7680" w:type="dxa"/>
            <w:vAlign w:val="bottom"/>
          </w:tcPr>
          <w:p>
            <w:pPr>
              <w:ind w:left="200"/>
              <w:spacing w:after="0"/>
              <w:rPr>
                <w:sz w:val="20"/>
                <w:szCs w:val="20"/>
                <w:color w:val="auto"/>
              </w:rPr>
            </w:pPr>
            <w:r>
              <w:rPr>
                <w:rFonts w:ascii="Arial" w:cs="Arial" w:eastAsia="Arial" w:hAnsi="Arial"/>
                <w:sz w:val="16"/>
                <w:szCs w:val="16"/>
                <w:color w:val="auto"/>
              </w:rPr>
              <w:t>Gain on sale of assets, net</w:t>
            </w:r>
          </w:p>
        </w:tc>
        <w:tc>
          <w:tcPr>
            <w:tcW w:w="980" w:type="dxa"/>
            <w:vAlign w:val="bottom"/>
          </w:tcPr>
          <w:p>
            <w:pPr>
              <w:spacing w:after="0"/>
              <w:rPr>
                <w:sz w:val="19"/>
                <w:szCs w:val="19"/>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6"/>
                <w:szCs w:val="16"/>
                <w:color w:val="auto"/>
              </w:rPr>
              <w:t>(3,470 )</w:t>
            </w:r>
          </w:p>
        </w:tc>
        <w:tc>
          <w:tcPr>
            <w:tcW w:w="360" w:type="dxa"/>
            <w:vAlign w:val="bottom"/>
          </w:tcPr>
          <w:p>
            <w:pPr>
              <w:spacing w:after="0"/>
              <w:rPr>
                <w:sz w:val="19"/>
                <w:szCs w:val="19"/>
                <w:color w:val="auto"/>
              </w:rPr>
            </w:pPr>
          </w:p>
        </w:tc>
        <w:tc>
          <w:tcPr>
            <w:tcW w:w="1320" w:type="dxa"/>
            <w:vAlign w:val="bottom"/>
            <w:gridSpan w:val="2"/>
          </w:tcPr>
          <w:p>
            <w:pPr>
              <w:jc w:val="right"/>
              <w:ind w:right="40"/>
              <w:spacing w:after="0"/>
              <w:rPr>
                <w:sz w:val="20"/>
                <w:szCs w:val="20"/>
                <w:color w:val="auto"/>
              </w:rPr>
            </w:pPr>
            <w:r>
              <w:rPr>
                <w:rFonts w:ascii="Arial" w:cs="Arial" w:eastAsia="Arial" w:hAnsi="Arial"/>
                <w:sz w:val="16"/>
                <w:szCs w:val="16"/>
                <w:color w:val="auto"/>
              </w:rPr>
              <w:t>(3,336 )</w:t>
            </w:r>
          </w:p>
        </w:tc>
      </w:tr>
      <w:tr>
        <w:trPr>
          <w:trHeight w:val="239"/>
        </w:trPr>
        <w:tc>
          <w:tcPr>
            <w:tcW w:w="7680" w:type="dxa"/>
            <w:vAlign w:val="bottom"/>
            <w:shd w:val="clear" w:color="auto" w:fill="CFF0FC"/>
          </w:tcPr>
          <w:p>
            <w:pPr>
              <w:ind w:left="200"/>
              <w:spacing w:after="0"/>
              <w:rPr>
                <w:sz w:val="20"/>
                <w:szCs w:val="20"/>
                <w:color w:val="auto"/>
              </w:rPr>
            </w:pPr>
            <w:r>
              <w:rPr>
                <w:rFonts w:ascii="Arial" w:cs="Arial" w:eastAsia="Arial" w:hAnsi="Arial"/>
                <w:sz w:val="16"/>
                <w:szCs w:val="16"/>
                <w:color w:val="auto"/>
              </w:rPr>
              <w:t>Amortization of debt issuance costs</w:t>
            </w:r>
          </w:p>
        </w:tc>
        <w:tc>
          <w:tcPr>
            <w:tcW w:w="980" w:type="dxa"/>
            <w:vAlign w:val="bottom"/>
            <w:shd w:val="clear" w:color="auto" w:fill="CFF0FC"/>
          </w:tcPr>
          <w:p>
            <w:pPr>
              <w:spacing w:after="0"/>
              <w:rPr>
                <w:sz w:val="20"/>
                <w:szCs w:val="20"/>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1,270</w:t>
            </w:r>
          </w:p>
        </w:tc>
        <w:tc>
          <w:tcPr>
            <w:tcW w:w="28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1,270</w:t>
            </w:r>
          </w:p>
        </w:tc>
        <w:tc>
          <w:tcPr>
            <w:tcW w:w="100" w:type="dxa"/>
            <w:vAlign w:val="bottom"/>
            <w:shd w:val="clear" w:color="auto" w:fill="CFF0FC"/>
          </w:tcPr>
          <w:p>
            <w:pPr>
              <w:spacing w:after="0"/>
              <w:rPr>
                <w:sz w:val="20"/>
                <w:szCs w:val="20"/>
                <w:color w:val="auto"/>
              </w:rPr>
            </w:pPr>
          </w:p>
        </w:tc>
      </w:tr>
      <w:tr>
        <w:trPr>
          <w:trHeight w:val="220"/>
        </w:trPr>
        <w:tc>
          <w:tcPr>
            <w:tcW w:w="7680" w:type="dxa"/>
            <w:vAlign w:val="bottom"/>
          </w:tcPr>
          <w:p>
            <w:pPr>
              <w:ind w:left="200"/>
              <w:spacing w:after="0"/>
              <w:rPr>
                <w:sz w:val="20"/>
                <w:szCs w:val="20"/>
                <w:color w:val="auto"/>
              </w:rPr>
            </w:pPr>
            <w:r>
              <w:rPr>
                <w:rFonts w:ascii="Arial" w:cs="Arial" w:eastAsia="Arial" w:hAnsi="Arial"/>
                <w:sz w:val="16"/>
                <w:szCs w:val="16"/>
                <w:color w:val="auto"/>
              </w:rPr>
              <w:t>Non-cash lease expense</w:t>
            </w:r>
          </w:p>
        </w:tc>
        <w:tc>
          <w:tcPr>
            <w:tcW w:w="9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33,337</w:t>
            </w: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29,602</w:t>
            </w:r>
          </w:p>
        </w:tc>
        <w:tc>
          <w:tcPr>
            <w:tcW w:w="100" w:type="dxa"/>
            <w:vAlign w:val="bottom"/>
          </w:tcPr>
          <w:p>
            <w:pPr>
              <w:spacing w:after="0"/>
              <w:rPr>
                <w:sz w:val="19"/>
                <w:szCs w:val="19"/>
                <w:color w:val="auto"/>
              </w:rPr>
            </w:pPr>
          </w:p>
        </w:tc>
      </w:tr>
      <w:tr>
        <w:trPr>
          <w:trHeight w:val="239"/>
        </w:trPr>
        <w:tc>
          <w:tcPr>
            <w:tcW w:w="7680" w:type="dxa"/>
            <w:vAlign w:val="bottom"/>
            <w:shd w:val="clear" w:color="auto" w:fill="CFF0FC"/>
          </w:tcPr>
          <w:p>
            <w:pPr>
              <w:ind w:left="200"/>
              <w:spacing w:after="0"/>
              <w:rPr>
                <w:sz w:val="20"/>
                <w:szCs w:val="20"/>
                <w:color w:val="auto"/>
              </w:rPr>
            </w:pPr>
            <w:r>
              <w:rPr>
                <w:rFonts w:ascii="Arial" w:cs="Arial" w:eastAsia="Arial" w:hAnsi="Arial"/>
                <w:sz w:val="16"/>
                <w:szCs w:val="16"/>
                <w:color w:val="auto"/>
              </w:rPr>
              <w:t>Deferred income tax</w:t>
            </w:r>
          </w:p>
        </w:tc>
        <w:tc>
          <w:tcPr>
            <w:tcW w:w="980" w:type="dxa"/>
            <w:vAlign w:val="bottom"/>
            <w:shd w:val="clear" w:color="auto" w:fill="CFF0FC"/>
          </w:tcPr>
          <w:p>
            <w:pPr>
              <w:spacing w:after="0"/>
              <w:rPr>
                <w:sz w:val="20"/>
                <w:szCs w:val="20"/>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14,748</w:t>
            </w:r>
          </w:p>
        </w:tc>
        <w:tc>
          <w:tcPr>
            <w:tcW w:w="28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21,526</w:t>
            </w:r>
          </w:p>
        </w:tc>
        <w:tc>
          <w:tcPr>
            <w:tcW w:w="100" w:type="dxa"/>
            <w:vAlign w:val="bottom"/>
            <w:shd w:val="clear" w:color="auto" w:fill="CFF0FC"/>
          </w:tcPr>
          <w:p>
            <w:pPr>
              <w:spacing w:after="0"/>
              <w:rPr>
                <w:sz w:val="20"/>
                <w:szCs w:val="20"/>
                <w:color w:val="auto"/>
              </w:rPr>
            </w:pPr>
          </w:p>
        </w:tc>
      </w:tr>
      <w:tr>
        <w:trPr>
          <w:trHeight w:val="220"/>
        </w:trPr>
        <w:tc>
          <w:tcPr>
            <w:tcW w:w="7680" w:type="dxa"/>
            <w:vAlign w:val="bottom"/>
          </w:tcPr>
          <w:p>
            <w:pPr>
              <w:ind w:left="200"/>
              <w:spacing w:after="0"/>
              <w:rPr>
                <w:sz w:val="20"/>
                <w:szCs w:val="20"/>
                <w:color w:val="auto"/>
              </w:rPr>
            </w:pPr>
            <w:r>
              <w:rPr>
                <w:rFonts w:ascii="Arial" w:cs="Arial" w:eastAsia="Arial" w:hAnsi="Arial"/>
                <w:sz w:val="16"/>
                <w:szCs w:val="16"/>
                <w:color w:val="auto"/>
              </w:rPr>
              <w:t>Changes in assets and liabilities:</w:t>
            </w:r>
          </w:p>
        </w:tc>
        <w:tc>
          <w:tcPr>
            <w:tcW w:w="9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9"/>
        </w:trPr>
        <w:tc>
          <w:tcPr>
            <w:tcW w:w="7680" w:type="dxa"/>
            <w:vAlign w:val="bottom"/>
            <w:shd w:val="clear" w:color="auto" w:fill="CFF0FC"/>
          </w:tcPr>
          <w:p>
            <w:pPr>
              <w:ind w:left="300"/>
              <w:spacing w:after="0"/>
              <w:rPr>
                <w:sz w:val="20"/>
                <w:szCs w:val="20"/>
                <w:color w:val="auto"/>
              </w:rPr>
            </w:pPr>
            <w:r>
              <w:rPr>
                <w:rFonts w:ascii="Arial" w:cs="Arial" w:eastAsia="Arial" w:hAnsi="Arial"/>
                <w:sz w:val="16"/>
                <w:szCs w:val="16"/>
                <w:color w:val="auto"/>
              </w:rPr>
              <w:t>Accounts receivable, net</w:t>
            </w:r>
          </w:p>
        </w:tc>
        <w:tc>
          <w:tcPr>
            <w:tcW w:w="980" w:type="dxa"/>
            <w:vAlign w:val="bottom"/>
            <w:shd w:val="clear" w:color="auto" w:fill="CFF0FC"/>
          </w:tcPr>
          <w:p>
            <w:pPr>
              <w:spacing w:after="0"/>
              <w:rPr>
                <w:sz w:val="20"/>
                <w:szCs w:val="20"/>
                <w:color w:val="auto"/>
              </w:rPr>
            </w:pPr>
          </w:p>
        </w:tc>
        <w:tc>
          <w:tcPr>
            <w:tcW w:w="90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(1,874 )</w:t>
            </w:r>
          </w:p>
        </w:tc>
        <w:tc>
          <w:tcPr>
            <w:tcW w:w="360" w:type="dxa"/>
            <w:vAlign w:val="bottom"/>
            <w:shd w:val="clear" w:color="auto" w:fill="CFF0FC"/>
          </w:tcPr>
          <w:p>
            <w:pPr>
              <w:spacing w:after="0"/>
              <w:rPr>
                <w:sz w:val="20"/>
                <w:szCs w:val="20"/>
                <w:color w:val="auto"/>
              </w:rPr>
            </w:pPr>
          </w:p>
        </w:tc>
        <w:tc>
          <w:tcPr>
            <w:tcW w:w="132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(1,663 )</w:t>
            </w:r>
          </w:p>
        </w:tc>
      </w:tr>
      <w:tr>
        <w:trPr>
          <w:trHeight w:val="220"/>
        </w:trPr>
        <w:tc>
          <w:tcPr>
            <w:tcW w:w="7680" w:type="dxa"/>
            <w:vAlign w:val="bottom"/>
          </w:tcPr>
          <w:p>
            <w:pPr>
              <w:ind w:left="300"/>
              <w:spacing w:after="0"/>
              <w:rPr>
                <w:sz w:val="20"/>
                <w:szCs w:val="20"/>
                <w:color w:val="auto"/>
              </w:rPr>
            </w:pPr>
            <w:r>
              <w:rPr>
                <w:rFonts w:ascii="Arial" w:cs="Arial" w:eastAsia="Arial" w:hAnsi="Arial"/>
                <w:sz w:val="16"/>
                <w:szCs w:val="16"/>
                <w:color w:val="auto"/>
              </w:rPr>
              <w:t>Other receivables</w:t>
            </w:r>
          </w:p>
        </w:tc>
        <w:tc>
          <w:tcPr>
            <w:tcW w:w="9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212</w:t>
            </w: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8,355</w:t>
            </w:r>
          </w:p>
        </w:tc>
        <w:tc>
          <w:tcPr>
            <w:tcW w:w="100" w:type="dxa"/>
            <w:vAlign w:val="bottom"/>
          </w:tcPr>
          <w:p>
            <w:pPr>
              <w:spacing w:after="0"/>
              <w:rPr>
                <w:sz w:val="19"/>
                <w:szCs w:val="19"/>
                <w:color w:val="auto"/>
              </w:rPr>
            </w:pPr>
          </w:p>
        </w:tc>
      </w:tr>
      <w:tr>
        <w:trPr>
          <w:trHeight w:val="239"/>
        </w:trPr>
        <w:tc>
          <w:tcPr>
            <w:tcW w:w="7680" w:type="dxa"/>
            <w:vAlign w:val="bottom"/>
            <w:shd w:val="clear" w:color="auto" w:fill="CFF0FC"/>
          </w:tcPr>
          <w:p>
            <w:pPr>
              <w:ind w:left="300"/>
              <w:spacing w:after="0"/>
              <w:rPr>
                <w:sz w:val="20"/>
                <w:szCs w:val="20"/>
                <w:color w:val="auto"/>
              </w:rPr>
            </w:pPr>
            <w:r>
              <w:rPr>
                <w:rFonts w:ascii="Arial" w:cs="Arial" w:eastAsia="Arial" w:hAnsi="Arial"/>
                <w:sz w:val="16"/>
                <w:szCs w:val="16"/>
                <w:color w:val="auto"/>
              </w:rPr>
              <w:t>Inventory, net</w:t>
            </w:r>
          </w:p>
        </w:tc>
        <w:tc>
          <w:tcPr>
            <w:tcW w:w="980" w:type="dxa"/>
            <w:vAlign w:val="bottom"/>
            <w:shd w:val="clear" w:color="auto" w:fill="CFF0FC"/>
          </w:tcPr>
          <w:p>
            <w:pPr>
              <w:spacing w:after="0"/>
              <w:rPr>
                <w:sz w:val="20"/>
                <w:szCs w:val="20"/>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88</w:t>
            </w:r>
          </w:p>
        </w:tc>
        <w:tc>
          <w:tcPr>
            <w:tcW w:w="28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32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(2,431 )</w:t>
            </w:r>
          </w:p>
        </w:tc>
      </w:tr>
      <w:tr>
        <w:trPr>
          <w:trHeight w:val="220"/>
        </w:trPr>
        <w:tc>
          <w:tcPr>
            <w:tcW w:w="7680" w:type="dxa"/>
            <w:vAlign w:val="bottom"/>
          </w:tcPr>
          <w:p>
            <w:pPr>
              <w:ind w:left="300"/>
              <w:spacing w:after="0"/>
              <w:rPr>
                <w:sz w:val="20"/>
                <w:szCs w:val="20"/>
                <w:color w:val="auto"/>
              </w:rPr>
            </w:pPr>
            <w:r>
              <w:rPr>
                <w:rFonts w:ascii="Arial" w:cs="Arial" w:eastAsia="Arial" w:hAnsi="Arial"/>
                <w:sz w:val="16"/>
                <w:szCs w:val="16"/>
                <w:color w:val="auto"/>
              </w:rPr>
              <w:t>Prepaid expenses and other current assets</w:t>
            </w:r>
          </w:p>
        </w:tc>
        <w:tc>
          <w:tcPr>
            <w:tcW w:w="980" w:type="dxa"/>
            <w:vAlign w:val="bottom"/>
          </w:tcPr>
          <w:p>
            <w:pPr>
              <w:spacing w:after="0"/>
              <w:rPr>
                <w:sz w:val="19"/>
                <w:szCs w:val="19"/>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6"/>
                <w:szCs w:val="16"/>
                <w:color w:val="auto"/>
              </w:rPr>
              <w:t>(408 )</w:t>
            </w:r>
          </w:p>
        </w:tc>
        <w:tc>
          <w:tcPr>
            <w:tcW w:w="360" w:type="dxa"/>
            <w:vAlign w:val="bottom"/>
          </w:tcPr>
          <w:p>
            <w:pPr>
              <w:spacing w:after="0"/>
              <w:rPr>
                <w:sz w:val="19"/>
                <w:szCs w:val="19"/>
                <w:color w:val="auto"/>
              </w:rPr>
            </w:pPr>
          </w:p>
        </w:tc>
        <w:tc>
          <w:tcPr>
            <w:tcW w:w="1320" w:type="dxa"/>
            <w:vAlign w:val="bottom"/>
            <w:gridSpan w:val="2"/>
          </w:tcPr>
          <w:p>
            <w:pPr>
              <w:jc w:val="right"/>
              <w:ind w:right="40"/>
              <w:spacing w:after="0"/>
              <w:rPr>
                <w:sz w:val="20"/>
                <w:szCs w:val="20"/>
                <w:color w:val="auto"/>
              </w:rPr>
            </w:pPr>
            <w:r>
              <w:rPr>
                <w:rFonts w:ascii="Arial" w:cs="Arial" w:eastAsia="Arial" w:hAnsi="Arial"/>
                <w:sz w:val="16"/>
                <w:szCs w:val="16"/>
                <w:color w:val="auto"/>
              </w:rPr>
              <w:t>(2,458 )</w:t>
            </w:r>
          </w:p>
        </w:tc>
      </w:tr>
      <w:tr>
        <w:trPr>
          <w:trHeight w:val="239"/>
        </w:trPr>
        <w:tc>
          <w:tcPr>
            <w:tcW w:w="7680" w:type="dxa"/>
            <w:vAlign w:val="bottom"/>
            <w:shd w:val="clear" w:color="auto" w:fill="CFF0FC"/>
          </w:tcPr>
          <w:p>
            <w:pPr>
              <w:ind w:left="300"/>
              <w:spacing w:after="0"/>
              <w:rPr>
                <w:sz w:val="20"/>
                <w:szCs w:val="20"/>
                <w:color w:val="auto"/>
              </w:rPr>
            </w:pPr>
            <w:r>
              <w:rPr>
                <w:rFonts w:ascii="Arial" w:cs="Arial" w:eastAsia="Arial" w:hAnsi="Arial"/>
                <w:sz w:val="16"/>
                <w:szCs w:val="16"/>
                <w:color w:val="auto"/>
              </w:rPr>
              <w:t>Accounts payable</w:t>
            </w:r>
          </w:p>
        </w:tc>
        <w:tc>
          <w:tcPr>
            <w:tcW w:w="980" w:type="dxa"/>
            <w:vAlign w:val="bottom"/>
            <w:shd w:val="clear" w:color="auto" w:fill="CFF0FC"/>
          </w:tcPr>
          <w:p>
            <w:pPr>
              <w:spacing w:after="0"/>
              <w:rPr>
                <w:sz w:val="20"/>
                <w:szCs w:val="20"/>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3,777</w:t>
            </w:r>
          </w:p>
        </w:tc>
        <w:tc>
          <w:tcPr>
            <w:tcW w:w="28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6,424</w:t>
            </w:r>
          </w:p>
        </w:tc>
        <w:tc>
          <w:tcPr>
            <w:tcW w:w="100" w:type="dxa"/>
            <w:vAlign w:val="bottom"/>
            <w:shd w:val="clear" w:color="auto" w:fill="CFF0FC"/>
          </w:tcPr>
          <w:p>
            <w:pPr>
              <w:spacing w:after="0"/>
              <w:rPr>
                <w:sz w:val="20"/>
                <w:szCs w:val="20"/>
                <w:color w:val="auto"/>
              </w:rPr>
            </w:pPr>
          </w:p>
        </w:tc>
      </w:tr>
      <w:tr>
        <w:trPr>
          <w:trHeight w:val="220"/>
        </w:trPr>
        <w:tc>
          <w:tcPr>
            <w:tcW w:w="7680" w:type="dxa"/>
            <w:vAlign w:val="bottom"/>
          </w:tcPr>
          <w:p>
            <w:pPr>
              <w:ind w:left="300"/>
              <w:spacing w:after="0"/>
              <w:rPr>
                <w:sz w:val="20"/>
                <w:szCs w:val="20"/>
                <w:color w:val="auto"/>
              </w:rPr>
            </w:pPr>
            <w:r>
              <w:rPr>
                <w:rFonts w:ascii="Arial" w:cs="Arial" w:eastAsia="Arial" w:hAnsi="Arial"/>
                <w:sz w:val="16"/>
                <w:szCs w:val="16"/>
                <w:color w:val="auto"/>
              </w:rPr>
              <w:t>Accrued expenses</w:t>
            </w:r>
          </w:p>
        </w:tc>
        <w:tc>
          <w:tcPr>
            <w:tcW w:w="9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8,170</w:t>
            </w: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4,295</w:t>
            </w:r>
          </w:p>
        </w:tc>
        <w:tc>
          <w:tcPr>
            <w:tcW w:w="100" w:type="dxa"/>
            <w:vAlign w:val="bottom"/>
          </w:tcPr>
          <w:p>
            <w:pPr>
              <w:spacing w:after="0"/>
              <w:rPr>
                <w:sz w:val="19"/>
                <w:szCs w:val="19"/>
                <w:color w:val="auto"/>
              </w:rPr>
            </w:pPr>
          </w:p>
        </w:tc>
      </w:tr>
      <w:tr>
        <w:trPr>
          <w:trHeight w:val="239"/>
        </w:trPr>
        <w:tc>
          <w:tcPr>
            <w:tcW w:w="7680" w:type="dxa"/>
            <w:vAlign w:val="bottom"/>
            <w:shd w:val="clear" w:color="auto" w:fill="CFF0FC"/>
          </w:tcPr>
          <w:p>
            <w:pPr>
              <w:ind w:left="300"/>
              <w:spacing w:after="0"/>
              <w:rPr>
                <w:sz w:val="20"/>
                <w:szCs w:val="20"/>
                <w:color w:val="auto"/>
              </w:rPr>
            </w:pPr>
            <w:r>
              <w:rPr>
                <w:rFonts w:ascii="Arial" w:cs="Arial" w:eastAsia="Arial" w:hAnsi="Arial"/>
                <w:sz w:val="16"/>
                <w:szCs w:val="16"/>
                <w:color w:val="auto"/>
              </w:rPr>
              <w:t>Deferred revenue</w:t>
            </w:r>
          </w:p>
        </w:tc>
        <w:tc>
          <w:tcPr>
            <w:tcW w:w="980" w:type="dxa"/>
            <w:vAlign w:val="bottom"/>
            <w:shd w:val="clear" w:color="auto" w:fill="CFF0FC"/>
          </w:tcPr>
          <w:p>
            <w:pPr>
              <w:spacing w:after="0"/>
              <w:rPr>
                <w:sz w:val="20"/>
                <w:szCs w:val="20"/>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3,288</w:t>
            </w:r>
          </w:p>
        </w:tc>
        <w:tc>
          <w:tcPr>
            <w:tcW w:w="28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660</w:t>
            </w:r>
          </w:p>
        </w:tc>
        <w:tc>
          <w:tcPr>
            <w:tcW w:w="100" w:type="dxa"/>
            <w:vAlign w:val="bottom"/>
            <w:shd w:val="clear" w:color="auto" w:fill="CFF0FC"/>
          </w:tcPr>
          <w:p>
            <w:pPr>
              <w:spacing w:after="0"/>
              <w:rPr>
                <w:sz w:val="20"/>
                <w:szCs w:val="20"/>
                <w:color w:val="auto"/>
              </w:rPr>
            </w:pPr>
          </w:p>
        </w:tc>
      </w:tr>
      <w:tr>
        <w:trPr>
          <w:trHeight w:val="220"/>
        </w:trPr>
        <w:tc>
          <w:tcPr>
            <w:tcW w:w="7680" w:type="dxa"/>
            <w:vAlign w:val="bottom"/>
          </w:tcPr>
          <w:p>
            <w:pPr>
              <w:ind w:left="300"/>
              <w:spacing w:after="0"/>
              <w:rPr>
                <w:sz w:val="20"/>
                <w:szCs w:val="20"/>
                <w:color w:val="auto"/>
              </w:rPr>
            </w:pPr>
            <w:r>
              <w:rPr>
                <w:rFonts w:ascii="Arial" w:cs="Arial" w:eastAsia="Arial" w:hAnsi="Arial"/>
                <w:sz w:val="16"/>
                <w:szCs w:val="16"/>
                <w:color w:val="auto"/>
              </w:rPr>
              <w:t>Operating lease liability</w:t>
            </w:r>
          </w:p>
        </w:tc>
        <w:tc>
          <w:tcPr>
            <w:tcW w:w="980" w:type="dxa"/>
            <w:vAlign w:val="bottom"/>
          </w:tcPr>
          <w:p>
            <w:pPr>
              <w:spacing w:after="0"/>
              <w:rPr>
                <w:sz w:val="19"/>
                <w:szCs w:val="19"/>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6"/>
                <w:szCs w:val="16"/>
                <w:color w:val="auto"/>
              </w:rPr>
              <w:t>(29,689 )</w:t>
            </w:r>
          </w:p>
        </w:tc>
        <w:tc>
          <w:tcPr>
            <w:tcW w:w="360" w:type="dxa"/>
            <w:vAlign w:val="bottom"/>
          </w:tcPr>
          <w:p>
            <w:pPr>
              <w:spacing w:after="0"/>
              <w:rPr>
                <w:sz w:val="19"/>
                <w:szCs w:val="19"/>
                <w:color w:val="auto"/>
              </w:rPr>
            </w:pPr>
          </w:p>
        </w:tc>
        <w:tc>
          <w:tcPr>
            <w:tcW w:w="1320" w:type="dxa"/>
            <w:vAlign w:val="bottom"/>
            <w:gridSpan w:val="2"/>
          </w:tcPr>
          <w:p>
            <w:pPr>
              <w:jc w:val="right"/>
              <w:ind w:right="40"/>
              <w:spacing w:after="0"/>
              <w:rPr>
                <w:sz w:val="20"/>
                <w:szCs w:val="20"/>
                <w:color w:val="auto"/>
              </w:rPr>
            </w:pPr>
            <w:r>
              <w:rPr>
                <w:rFonts w:ascii="Arial" w:cs="Arial" w:eastAsia="Arial" w:hAnsi="Arial"/>
                <w:sz w:val="16"/>
                <w:szCs w:val="16"/>
                <w:color w:val="auto"/>
              </w:rPr>
              <w:t>(32,103 )</w:t>
            </w:r>
          </w:p>
        </w:tc>
      </w:tr>
      <w:tr>
        <w:trPr>
          <w:trHeight w:val="232"/>
        </w:trPr>
        <w:tc>
          <w:tcPr>
            <w:tcW w:w="7680" w:type="dxa"/>
            <w:vAlign w:val="bottom"/>
            <w:shd w:val="clear" w:color="auto" w:fill="CFF0FC"/>
          </w:tcPr>
          <w:p>
            <w:pPr>
              <w:ind w:left="300"/>
              <w:spacing w:after="0"/>
              <w:rPr>
                <w:sz w:val="20"/>
                <w:szCs w:val="20"/>
                <w:color w:val="auto"/>
              </w:rPr>
            </w:pPr>
            <w:r>
              <w:rPr>
                <w:rFonts w:ascii="Arial" w:cs="Arial" w:eastAsia="Arial" w:hAnsi="Arial"/>
                <w:sz w:val="16"/>
                <w:szCs w:val="16"/>
                <w:color w:val="auto"/>
              </w:rPr>
              <w:t>Other noncurrent assets and liabilities</w:t>
            </w:r>
          </w:p>
        </w:tc>
        <w:tc>
          <w:tcPr>
            <w:tcW w:w="980" w:type="dxa"/>
            <w:vAlign w:val="bottom"/>
            <w:shd w:val="clear" w:color="auto" w:fill="CFF0FC"/>
          </w:tcPr>
          <w:p>
            <w:pPr>
              <w:spacing w:after="0"/>
              <w:rPr>
                <w:sz w:val="20"/>
                <w:szCs w:val="20"/>
                <w:color w:val="auto"/>
              </w:rPr>
            </w:pPr>
          </w:p>
        </w:tc>
        <w:tc>
          <w:tcPr>
            <w:tcW w:w="90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(777 )</w:t>
            </w:r>
          </w:p>
        </w:tc>
        <w:tc>
          <w:tcPr>
            <w:tcW w:w="360" w:type="dxa"/>
            <w:vAlign w:val="bottom"/>
            <w:shd w:val="clear" w:color="auto" w:fill="CFF0FC"/>
          </w:tcPr>
          <w:p>
            <w:pPr>
              <w:spacing w:after="0"/>
              <w:rPr>
                <w:sz w:val="20"/>
                <w:szCs w:val="20"/>
                <w:color w:val="auto"/>
              </w:rPr>
            </w:pPr>
          </w:p>
        </w:tc>
        <w:tc>
          <w:tcPr>
            <w:tcW w:w="132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(2,065 )</w:t>
            </w:r>
          </w:p>
        </w:tc>
      </w:tr>
      <w:tr>
        <w:trPr>
          <w:trHeight w:val="223"/>
        </w:trPr>
        <w:tc>
          <w:tcPr>
            <w:tcW w:w="7680" w:type="dxa"/>
            <w:vAlign w:val="bottom"/>
            <w:tcBorders>
              <w:top w:val="single" w:sz="8" w:color="CFF0FC"/>
            </w:tcBorders>
          </w:tcPr>
          <w:p>
            <w:pPr>
              <w:ind w:left="120"/>
              <w:spacing w:after="0"/>
              <w:rPr>
                <w:sz w:val="20"/>
                <w:szCs w:val="20"/>
                <w:color w:val="auto"/>
              </w:rPr>
            </w:pPr>
            <w:r>
              <w:rPr>
                <w:rFonts w:ascii="Arial" w:cs="Arial" w:eastAsia="Arial" w:hAnsi="Arial"/>
                <w:sz w:val="16"/>
                <w:szCs w:val="16"/>
                <w:color w:val="auto"/>
              </w:rPr>
              <w:t>Net cash provided by operating activities</w:t>
            </w:r>
          </w:p>
        </w:tc>
        <w:tc>
          <w:tcPr>
            <w:tcW w:w="980" w:type="dxa"/>
            <w:vAlign w:val="bottom"/>
            <w:tcBorders>
              <w:top w:val="single" w:sz="8" w:color="auto"/>
              <w:bottom w:val="single" w:sz="8" w:color="auto"/>
            </w:tcBorders>
          </w:tcPr>
          <w:p>
            <w:pPr>
              <w:jc w:val="right"/>
              <w:ind w:right="799"/>
              <w:spacing w:after="0"/>
              <w:rPr>
                <w:sz w:val="20"/>
                <w:szCs w:val="20"/>
                <w:color w:val="auto"/>
              </w:rPr>
            </w:pPr>
            <w:r>
              <w:rPr>
                <w:rFonts w:ascii="Arial" w:cs="Arial" w:eastAsia="Arial" w:hAnsi="Arial"/>
                <w:sz w:val="16"/>
                <w:szCs w:val="16"/>
                <w:color w:val="auto"/>
                <w:w w:val="8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165,486</w:t>
            </w:r>
          </w:p>
        </w:tc>
        <w:tc>
          <w:tcPr>
            <w:tcW w:w="280" w:type="dxa"/>
            <w:vAlign w:val="bottom"/>
            <w:tcBorders>
              <w:top w:val="single" w:sz="8" w:color="CFF0FC"/>
            </w:tcBorders>
          </w:tcPr>
          <w:p>
            <w:pPr>
              <w:spacing w:after="0"/>
              <w:rPr>
                <w:sz w:val="19"/>
                <w:szCs w:val="19"/>
                <w:color w:val="auto"/>
              </w:rPr>
            </w:pPr>
          </w:p>
        </w:tc>
        <w:tc>
          <w:tcPr>
            <w:tcW w:w="360" w:type="dxa"/>
            <w:vAlign w:val="bottom"/>
            <w:tcBorders>
              <w:top w:val="single" w:sz="8" w:color="auto"/>
              <w:bottom w:val="single" w:sz="8" w:color="auto"/>
            </w:tcBorders>
          </w:tcPr>
          <w:p>
            <w:pPr>
              <w:jc w:val="right"/>
              <w:ind w:right="204"/>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185,453</w:t>
            </w:r>
          </w:p>
        </w:tc>
        <w:tc>
          <w:tcPr>
            <w:tcW w:w="100" w:type="dxa"/>
            <w:vAlign w:val="bottom"/>
            <w:tcBorders>
              <w:top w:val="single" w:sz="8" w:color="CFF0FC"/>
            </w:tcBorders>
          </w:tcPr>
          <w:p>
            <w:pPr>
              <w:spacing w:after="0"/>
              <w:rPr>
                <w:sz w:val="19"/>
                <w:szCs w:val="19"/>
                <w:color w:val="auto"/>
              </w:rPr>
            </w:pPr>
          </w:p>
        </w:tc>
      </w:tr>
      <w:tr>
        <w:trPr>
          <w:trHeight w:val="229"/>
        </w:trPr>
        <w:tc>
          <w:tcPr>
            <w:tcW w:w="76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7680" w:type="dxa"/>
            <w:vAlign w:val="bottom"/>
            <w:shd w:val="clear" w:color="auto" w:fill="CFF0FC"/>
          </w:tcPr>
          <w:p>
            <w:pPr>
              <w:ind w:left="20"/>
              <w:spacing w:after="0"/>
              <w:rPr>
                <w:sz w:val="20"/>
                <w:szCs w:val="20"/>
                <w:color w:val="auto"/>
              </w:rPr>
            </w:pPr>
            <w:r>
              <w:rPr>
                <w:rFonts w:ascii="Arial" w:cs="Arial" w:eastAsia="Arial" w:hAnsi="Arial"/>
                <w:sz w:val="16"/>
                <w:szCs w:val="16"/>
                <w:b w:val="1"/>
                <w:bCs w:val="1"/>
                <w:color w:val="auto"/>
              </w:rPr>
              <w:t>Cash flows from investing activities:</w:t>
            </w:r>
          </w:p>
        </w:tc>
        <w:tc>
          <w:tcPr>
            <w:tcW w:w="98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0"/>
        </w:trPr>
        <w:tc>
          <w:tcPr>
            <w:tcW w:w="7680" w:type="dxa"/>
            <w:vAlign w:val="bottom"/>
          </w:tcPr>
          <w:p>
            <w:pPr>
              <w:ind w:left="20"/>
              <w:spacing w:after="0"/>
              <w:rPr>
                <w:sz w:val="20"/>
                <w:szCs w:val="20"/>
                <w:color w:val="auto"/>
              </w:rPr>
            </w:pPr>
            <w:r>
              <w:rPr>
                <w:rFonts w:ascii="Arial" w:cs="Arial" w:eastAsia="Arial" w:hAnsi="Arial"/>
                <w:sz w:val="16"/>
                <w:szCs w:val="16"/>
                <w:color w:val="auto"/>
              </w:rPr>
              <w:t>Purchases of property and equipment</w:t>
            </w:r>
          </w:p>
        </w:tc>
        <w:tc>
          <w:tcPr>
            <w:tcW w:w="980" w:type="dxa"/>
            <w:vAlign w:val="bottom"/>
          </w:tcPr>
          <w:p>
            <w:pPr>
              <w:spacing w:after="0"/>
              <w:rPr>
                <w:sz w:val="19"/>
                <w:szCs w:val="19"/>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6"/>
                <w:szCs w:val="16"/>
                <w:color w:val="auto"/>
                <w:w w:val="93"/>
              </w:rPr>
              <w:t>(218,692 )</w:t>
            </w:r>
          </w:p>
        </w:tc>
        <w:tc>
          <w:tcPr>
            <w:tcW w:w="360" w:type="dxa"/>
            <w:vAlign w:val="bottom"/>
          </w:tcPr>
          <w:p>
            <w:pPr>
              <w:spacing w:after="0"/>
              <w:rPr>
                <w:sz w:val="19"/>
                <w:szCs w:val="19"/>
                <w:color w:val="auto"/>
              </w:rPr>
            </w:pPr>
          </w:p>
        </w:tc>
        <w:tc>
          <w:tcPr>
            <w:tcW w:w="1320" w:type="dxa"/>
            <w:vAlign w:val="bottom"/>
            <w:gridSpan w:val="2"/>
          </w:tcPr>
          <w:p>
            <w:pPr>
              <w:jc w:val="right"/>
              <w:ind w:right="40"/>
              <w:spacing w:after="0"/>
              <w:rPr>
                <w:sz w:val="20"/>
                <w:szCs w:val="20"/>
                <w:color w:val="auto"/>
              </w:rPr>
            </w:pPr>
            <w:r>
              <w:rPr>
                <w:rFonts w:ascii="Arial" w:cs="Arial" w:eastAsia="Arial" w:hAnsi="Arial"/>
                <w:sz w:val="16"/>
                <w:szCs w:val="16"/>
                <w:color w:val="auto"/>
              </w:rPr>
              <w:t>(132,014 )</w:t>
            </w:r>
          </w:p>
        </w:tc>
      </w:tr>
      <w:tr>
        <w:trPr>
          <w:trHeight w:val="239"/>
        </w:trPr>
        <w:tc>
          <w:tcPr>
            <w:tcW w:w="7680" w:type="dxa"/>
            <w:vAlign w:val="bottom"/>
            <w:shd w:val="clear" w:color="auto" w:fill="CFF0FC"/>
          </w:tcPr>
          <w:p>
            <w:pPr>
              <w:ind w:left="20"/>
              <w:spacing w:after="0"/>
              <w:rPr>
                <w:sz w:val="20"/>
                <w:szCs w:val="20"/>
                <w:color w:val="auto"/>
              </w:rPr>
            </w:pPr>
            <w:r>
              <w:rPr>
                <w:rFonts w:ascii="Arial" w:cs="Arial" w:eastAsia="Arial" w:hAnsi="Arial"/>
                <w:sz w:val="16"/>
                <w:szCs w:val="16"/>
                <w:color w:val="auto"/>
              </w:rPr>
              <w:t>Acquisition of car wash operations, net of cash</w:t>
            </w:r>
          </w:p>
        </w:tc>
        <w:tc>
          <w:tcPr>
            <w:tcW w:w="980" w:type="dxa"/>
            <w:vAlign w:val="bottom"/>
            <w:shd w:val="clear" w:color="auto" w:fill="CFF0FC"/>
          </w:tcPr>
          <w:p>
            <w:pPr>
              <w:spacing w:after="0"/>
              <w:rPr>
                <w:sz w:val="20"/>
                <w:szCs w:val="20"/>
                <w:color w:val="auto"/>
              </w:rPr>
            </w:pPr>
          </w:p>
        </w:tc>
        <w:tc>
          <w:tcPr>
            <w:tcW w:w="90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(51,890 )</w:t>
            </w:r>
          </w:p>
        </w:tc>
        <w:tc>
          <w:tcPr>
            <w:tcW w:w="360" w:type="dxa"/>
            <w:vAlign w:val="bottom"/>
            <w:shd w:val="clear" w:color="auto" w:fill="CFF0FC"/>
          </w:tcPr>
          <w:p>
            <w:pPr>
              <w:spacing w:after="0"/>
              <w:rPr>
                <w:sz w:val="20"/>
                <w:szCs w:val="20"/>
                <w:color w:val="auto"/>
              </w:rPr>
            </w:pPr>
          </w:p>
        </w:tc>
        <w:tc>
          <w:tcPr>
            <w:tcW w:w="132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(65,533 )</w:t>
            </w:r>
          </w:p>
        </w:tc>
      </w:tr>
      <w:tr>
        <w:trPr>
          <w:trHeight w:val="223"/>
        </w:trPr>
        <w:tc>
          <w:tcPr>
            <w:tcW w:w="7680" w:type="dxa"/>
            <w:vAlign w:val="bottom"/>
          </w:tcPr>
          <w:p>
            <w:pPr>
              <w:ind w:left="20"/>
              <w:spacing w:after="0"/>
              <w:rPr>
                <w:sz w:val="20"/>
                <w:szCs w:val="20"/>
                <w:color w:val="auto"/>
              </w:rPr>
            </w:pPr>
            <w:r>
              <w:rPr>
                <w:rFonts w:ascii="Arial" w:cs="Arial" w:eastAsia="Arial" w:hAnsi="Arial"/>
                <w:sz w:val="16"/>
                <w:szCs w:val="16"/>
                <w:color w:val="auto"/>
              </w:rPr>
              <w:t>Proceeds from sale of property and equipment</w:t>
            </w:r>
          </w:p>
        </w:tc>
        <w:tc>
          <w:tcPr>
            <w:tcW w:w="9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96,930</w:t>
            </w:r>
          </w:p>
        </w:tc>
        <w:tc>
          <w:tcPr>
            <w:tcW w:w="28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63,763</w:t>
            </w:r>
          </w:p>
        </w:tc>
        <w:tc>
          <w:tcPr>
            <w:tcW w:w="100" w:type="dxa"/>
            <w:vAlign w:val="bottom"/>
          </w:tcPr>
          <w:p>
            <w:pPr>
              <w:spacing w:after="0"/>
              <w:rPr>
                <w:sz w:val="19"/>
                <w:szCs w:val="19"/>
                <w:color w:val="auto"/>
              </w:rPr>
            </w:pPr>
          </w:p>
        </w:tc>
      </w:tr>
      <w:tr>
        <w:trPr>
          <w:trHeight w:val="223"/>
        </w:trPr>
        <w:tc>
          <w:tcPr>
            <w:tcW w:w="7680" w:type="dxa"/>
            <w:vAlign w:val="bottom"/>
            <w:shd w:val="clear" w:color="auto" w:fill="CFF0FC"/>
          </w:tcPr>
          <w:p>
            <w:pPr>
              <w:ind w:left="120"/>
              <w:spacing w:after="0"/>
              <w:rPr>
                <w:sz w:val="20"/>
                <w:szCs w:val="20"/>
                <w:color w:val="auto"/>
              </w:rPr>
            </w:pPr>
            <w:r>
              <w:rPr>
                <w:rFonts w:ascii="Arial" w:cs="Arial" w:eastAsia="Arial" w:hAnsi="Arial"/>
                <w:sz w:val="16"/>
                <w:szCs w:val="16"/>
                <w:color w:val="auto"/>
              </w:rPr>
              <w:t>Net cash used in investing activities</w:t>
            </w:r>
          </w:p>
        </w:tc>
        <w:tc>
          <w:tcPr>
            <w:tcW w:w="980" w:type="dxa"/>
            <w:vAlign w:val="bottom"/>
            <w:shd w:val="clear" w:color="auto" w:fill="CFF0FC"/>
          </w:tcPr>
          <w:p>
            <w:pPr>
              <w:jc w:val="right"/>
              <w:ind w:right="799"/>
              <w:spacing w:after="0"/>
              <w:rPr>
                <w:sz w:val="20"/>
                <w:szCs w:val="20"/>
                <w:color w:val="auto"/>
              </w:rPr>
            </w:pPr>
            <w:r>
              <w:rPr>
                <w:rFonts w:ascii="Arial" w:cs="Arial" w:eastAsia="Arial" w:hAnsi="Arial"/>
                <w:sz w:val="16"/>
                <w:szCs w:val="16"/>
                <w:color w:val="auto"/>
                <w:w w:val="89"/>
              </w:rPr>
              <w:t>$</w:t>
            </w:r>
          </w:p>
        </w:tc>
        <w:tc>
          <w:tcPr>
            <w:tcW w:w="90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w w:val="93"/>
              </w:rPr>
              <w:t>(173,652 )</w:t>
            </w:r>
          </w:p>
        </w:tc>
        <w:tc>
          <w:tcPr>
            <w:tcW w:w="360" w:type="dxa"/>
            <w:vAlign w:val="bottom"/>
            <w:shd w:val="clear" w:color="auto" w:fill="CFF0FC"/>
          </w:tcPr>
          <w:p>
            <w:pPr>
              <w:jc w:val="right"/>
              <w:ind w:right="204"/>
              <w:spacing w:after="0"/>
              <w:rPr>
                <w:sz w:val="20"/>
                <w:szCs w:val="20"/>
                <w:color w:val="auto"/>
              </w:rPr>
            </w:pPr>
            <w:r>
              <w:rPr>
                <w:rFonts w:ascii="Arial" w:cs="Arial" w:eastAsia="Arial" w:hAnsi="Arial"/>
                <w:sz w:val="15"/>
                <w:szCs w:val="15"/>
                <w:color w:val="auto"/>
                <w:w w:val="71"/>
              </w:rPr>
              <w:t>$</w:t>
            </w:r>
          </w:p>
        </w:tc>
        <w:tc>
          <w:tcPr>
            <w:tcW w:w="132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(133,784 )</w:t>
            </w:r>
          </w:p>
        </w:tc>
      </w:tr>
      <w:tr>
        <w:trPr>
          <w:trHeight w:val="449"/>
        </w:trPr>
        <w:tc>
          <w:tcPr>
            <w:tcW w:w="7680" w:type="dxa"/>
            <w:vAlign w:val="bottom"/>
            <w:tcBorders>
              <w:top w:val="single" w:sz="8" w:color="CFF0FC"/>
            </w:tcBorders>
          </w:tcPr>
          <w:p>
            <w:pPr>
              <w:ind w:left="20"/>
              <w:spacing w:after="0"/>
              <w:rPr>
                <w:sz w:val="20"/>
                <w:szCs w:val="20"/>
                <w:color w:val="auto"/>
              </w:rPr>
            </w:pPr>
            <w:r>
              <w:rPr>
                <w:rFonts w:ascii="Arial" w:cs="Arial" w:eastAsia="Arial" w:hAnsi="Arial"/>
                <w:sz w:val="16"/>
                <w:szCs w:val="16"/>
                <w:b w:val="1"/>
                <w:bCs w:val="1"/>
                <w:color w:val="auto"/>
              </w:rPr>
              <w:t>Cash flows from financing activities:</w:t>
            </w:r>
          </w:p>
        </w:tc>
        <w:tc>
          <w:tcPr>
            <w:tcW w:w="980" w:type="dxa"/>
            <w:vAlign w:val="bottom"/>
            <w:tcBorders>
              <w:top w:val="single" w:sz="8" w:color="auto"/>
            </w:tcBorders>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280" w:type="dxa"/>
            <w:vAlign w:val="bottom"/>
            <w:tcBorders>
              <w:top w:val="single" w:sz="8" w:color="CFF0FC"/>
            </w:tcBorders>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r>
      <w:tr>
        <w:trPr>
          <w:trHeight w:val="239"/>
        </w:trPr>
        <w:tc>
          <w:tcPr>
            <w:tcW w:w="7680" w:type="dxa"/>
            <w:vAlign w:val="bottom"/>
            <w:shd w:val="clear" w:color="auto" w:fill="CFF0FC"/>
          </w:tcPr>
          <w:p>
            <w:pPr>
              <w:ind w:left="20"/>
              <w:spacing w:after="0"/>
              <w:rPr>
                <w:sz w:val="20"/>
                <w:szCs w:val="20"/>
                <w:color w:val="auto"/>
              </w:rPr>
            </w:pPr>
            <w:r>
              <w:rPr>
                <w:rFonts w:ascii="Arial" w:cs="Arial" w:eastAsia="Arial" w:hAnsi="Arial"/>
                <w:sz w:val="16"/>
                <w:szCs w:val="16"/>
                <w:color w:val="auto"/>
              </w:rPr>
              <w:t>Proceeds from issuance of common stock under employee plans</w:t>
            </w:r>
          </w:p>
        </w:tc>
        <w:tc>
          <w:tcPr>
            <w:tcW w:w="980" w:type="dxa"/>
            <w:vAlign w:val="bottom"/>
            <w:shd w:val="clear" w:color="auto" w:fill="CFF0FC"/>
          </w:tcPr>
          <w:p>
            <w:pPr>
              <w:spacing w:after="0"/>
              <w:rPr>
                <w:sz w:val="20"/>
                <w:szCs w:val="20"/>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6,176</w:t>
            </w:r>
          </w:p>
        </w:tc>
        <w:tc>
          <w:tcPr>
            <w:tcW w:w="28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5,941</w:t>
            </w:r>
          </w:p>
        </w:tc>
        <w:tc>
          <w:tcPr>
            <w:tcW w:w="100" w:type="dxa"/>
            <w:vAlign w:val="bottom"/>
            <w:shd w:val="clear" w:color="auto" w:fill="CFF0FC"/>
          </w:tcPr>
          <w:p>
            <w:pPr>
              <w:spacing w:after="0"/>
              <w:rPr>
                <w:sz w:val="20"/>
                <w:szCs w:val="20"/>
                <w:color w:val="auto"/>
              </w:rPr>
            </w:pPr>
          </w:p>
        </w:tc>
      </w:tr>
      <w:tr>
        <w:trPr>
          <w:trHeight w:val="220"/>
        </w:trPr>
        <w:tc>
          <w:tcPr>
            <w:tcW w:w="7680" w:type="dxa"/>
            <w:vAlign w:val="bottom"/>
          </w:tcPr>
          <w:p>
            <w:pPr>
              <w:ind w:left="20"/>
              <w:spacing w:after="0"/>
              <w:rPr>
                <w:sz w:val="20"/>
                <w:szCs w:val="20"/>
                <w:color w:val="auto"/>
              </w:rPr>
            </w:pPr>
            <w:r>
              <w:rPr>
                <w:rFonts w:ascii="Arial" w:cs="Arial" w:eastAsia="Arial" w:hAnsi="Arial"/>
                <w:sz w:val="16"/>
                <w:szCs w:val="16"/>
                <w:color w:val="auto"/>
              </w:rPr>
              <w:t>Payments on debt borrowings</w:t>
            </w:r>
          </w:p>
        </w:tc>
        <w:tc>
          <w:tcPr>
            <w:tcW w:w="9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20" w:type="dxa"/>
            <w:vAlign w:val="bottom"/>
            <w:gridSpan w:val="2"/>
          </w:tcPr>
          <w:p>
            <w:pPr>
              <w:jc w:val="right"/>
              <w:ind w:right="40"/>
              <w:spacing w:after="0"/>
              <w:rPr>
                <w:sz w:val="20"/>
                <w:szCs w:val="20"/>
                <w:color w:val="auto"/>
              </w:rPr>
            </w:pPr>
            <w:r>
              <w:rPr>
                <w:rFonts w:ascii="Arial" w:cs="Arial" w:eastAsia="Arial" w:hAnsi="Arial"/>
                <w:sz w:val="16"/>
                <w:szCs w:val="16"/>
                <w:color w:val="auto"/>
              </w:rPr>
              <w:t>(2,100 )</w:t>
            </w:r>
          </w:p>
        </w:tc>
      </w:tr>
      <w:tr>
        <w:trPr>
          <w:trHeight w:val="239"/>
        </w:trPr>
        <w:tc>
          <w:tcPr>
            <w:tcW w:w="7680" w:type="dxa"/>
            <w:vAlign w:val="bottom"/>
            <w:shd w:val="clear" w:color="auto" w:fill="CFF0FC"/>
          </w:tcPr>
          <w:p>
            <w:pPr>
              <w:ind w:left="20"/>
              <w:spacing w:after="0"/>
              <w:rPr>
                <w:sz w:val="20"/>
                <w:szCs w:val="20"/>
                <w:color w:val="auto"/>
              </w:rPr>
            </w:pPr>
            <w:r>
              <w:rPr>
                <w:rFonts w:ascii="Arial" w:cs="Arial" w:eastAsia="Arial" w:hAnsi="Arial"/>
                <w:sz w:val="16"/>
                <w:szCs w:val="16"/>
                <w:color w:val="auto"/>
              </w:rPr>
              <w:t>Principal payments on finance lease obligations</w:t>
            </w:r>
          </w:p>
        </w:tc>
        <w:tc>
          <w:tcPr>
            <w:tcW w:w="980" w:type="dxa"/>
            <w:vAlign w:val="bottom"/>
            <w:shd w:val="clear" w:color="auto" w:fill="CFF0FC"/>
          </w:tcPr>
          <w:p>
            <w:pPr>
              <w:spacing w:after="0"/>
              <w:rPr>
                <w:sz w:val="20"/>
                <w:szCs w:val="20"/>
                <w:color w:val="auto"/>
              </w:rPr>
            </w:pPr>
          </w:p>
        </w:tc>
        <w:tc>
          <w:tcPr>
            <w:tcW w:w="90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(492 )</w:t>
            </w:r>
          </w:p>
        </w:tc>
        <w:tc>
          <w:tcPr>
            <w:tcW w:w="360" w:type="dxa"/>
            <w:vAlign w:val="bottom"/>
            <w:shd w:val="clear" w:color="auto" w:fill="CFF0FC"/>
          </w:tcPr>
          <w:p>
            <w:pPr>
              <w:spacing w:after="0"/>
              <w:rPr>
                <w:sz w:val="20"/>
                <w:szCs w:val="20"/>
                <w:color w:val="auto"/>
              </w:rPr>
            </w:pPr>
          </w:p>
        </w:tc>
        <w:tc>
          <w:tcPr>
            <w:tcW w:w="132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(421 )</w:t>
            </w:r>
          </w:p>
        </w:tc>
      </w:tr>
      <w:tr>
        <w:trPr>
          <w:trHeight w:val="223"/>
        </w:trPr>
        <w:tc>
          <w:tcPr>
            <w:tcW w:w="7680" w:type="dxa"/>
            <w:vAlign w:val="bottom"/>
          </w:tcPr>
          <w:p>
            <w:pPr>
              <w:ind w:left="20"/>
              <w:spacing w:after="0"/>
              <w:rPr>
                <w:sz w:val="20"/>
                <w:szCs w:val="20"/>
                <w:color w:val="auto"/>
              </w:rPr>
            </w:pPr>
            <w:r>
              <w:rPr>
                <w:rFonts w:ascii="Arial" w:cs="Arial" w:eastAsia="Arial" w:hAnsi="Arial"/>
                <w:sz w:val="16"/>
                <w:szCs w:val="16"/>
                <w:color w:val="auto"/>
              </w:rPr>
              <w:t>Other financing activities</w:t>
            </w:r>
          </w:p>
        </w:tc>
        <w:tc>
          <w:tcPr>
            <w:tcW w:w="980" w:type="dxa"/>
            <w:vAlign w:val="bottom"/>
          </w:tcPr>
          <w:p>
            <w:pPr>
              <w:spacing w:after="0"/>
              <w:rPr>
                <w:sz w:val="19"/>
                <w:szCs w:val="19"/>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6"/>
                <w:szCs w:val="16"/>
                <w:color w:val="auto"/>
              </w:rPr>
              <w:t>(500 )</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9"/>
                <w:szCs w:val="19"/>
                <w:color w:val="auto"/>
              </w:rPr>
            </w:pPr>
          </w:p>
        </w:tc>
      </w:tr>
      <w:tr>
        <w:trPr>
          <w:trHeight w:val="223"/>
        </w:trPr>
        <w:tc>
          <w:tcPr>
            <w:tcW w:w="76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Net cash provided by financing activities</w:t>
            </w:r>
          </w:p>
        </w:tc>
        <w:tc>
          <w:tcPr>
            <w:tcW w:w="980" w:type="dxa"/>
            <w:vAlign w:val="bottom"/>
            <w:tcBorders>
              <w:top w:val="single" w:sz="8" w:color="auto"/>
              <w:bottom w:val="single" w:sz="8" w:color="auto"/>
            </w:tcBorders>
            <w:shd w:val="clear" w:color="auto" w:fill="CFF0FC"/>
          </w:tcPr>
          <w:p>
            <w:pPr>
              <w:jc w:val="right"/>
              <w:ind w:right="799"/>
              <w:spacing w:after="0"/>
              <w:rPr>
                <w:sz w:val="20"/>
                <w:szCs w:val="20"/>
                <w:color w:val="auto"/>
              </w:rPr>
            </w:pPr>
            <w:r>
              <w:rPr>
                <w:rFonts w:ascii="Arial" w:cs="Arial" w:eastAsia="Arial" w:hAnsi="Arial"/>
                <w:sz w:val="16"/>
                <w:szCs w:val="16"/>
                <w:color w:val="auto"/>
                <w:w w:val="89"/>
              </w:rPr>
              <w:t>$</w:t>
            </w: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5,184</w:t>
            </w:r>
          </w:p>
        </w:tc>
        <w:tc>
          <w:tcPr>
            <w:tcW w:w="28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top w:val="single" w:sz="8" w:color="auto"/>
              <w:bottom w:val="single" w:sz="8" w:color="auto"/>
            </w:tcBorders>
            <w:shd w:val="clear" w:color="auto" w:fill="CFF0FC"/>
          </w:tcPr>
          <w:p>
            <w:pPr>
              <w:jc w:val="right"/>
              <w:ind w:right="204"/>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3,420</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449"/>
        </w:trPr>
        <w:tc>
          <w:tcPr>
            <w:tcW w:w="7680" w:type="dxa"/>
            <w:vAlign w:val="bottom"/>
          </w:tcPr>
          <w:p>
            <w:pPr>
              <w:ind w:left="20"/>
              <w:spacing w:after="0"/>
              <w:rPr>
                <w:sz w:val="20"/>
                <w:szCs w:val="20"/>
                <w:color w:val="auto"/>
              </w:rPr>
            </w:pPr>
            <w:r>
              <w:rPr>
                <w:rFonts w:ascii="Arial" w:cs="Arial" w:eastAsia="Arial" w:hAnsi="Arial"/>
                <w:sz w:val="16"/>
                <w:szCs w:val="16"/>
                <w:color w:val="auto"/>
              </w:rPr>
              <w:t>Net change in cash and cash equivalents and restricted cash during period</w:t>
            </w:r>
          </w:p>
        </w:tc>
        <w:tc>
          <w:tcPr>
            <w:tcW w:w="980" w:type="dxa"/>
            <w:vAlign w:val="bottom"/>
          </w:tcPr>
          <w:p>
            <w:pPr>
              <w:spacing w:after="0"/>
              <w:rPr>
                <w:sz w:val="24"/>
                <w:szCs w:val="24"/>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6"/>
                <w:szCs w:val="16"/>
                <w:color w:val="auto"/>
              </w:rPr>
              <w:t>(2,982 )</w:t>
            </w:r>
          </w:p>
        </w:tc>
        <w:tc>
          <w:tcPr>
            <w:tcW w:w="36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55,089</w:t>
            </w:r>
          </w:p>
        </w:tc>
        <w:tc>
          <w:tcPr>
            <w:tcW w:w="100" w:type="dxa"/>
            <w:vAlign w:val="bottom"/>
          </w:tcPr>
          <w:p>
            <w:pPr>
              <w:spacing w:after="0"/>
              <w:rPr>
                <w:sz w:val="24"/>
                <w:szCs w:val="24"/>
                <w:color w:val="auto"/>
              </w:rPr>
            </w:pPr>
          </w:p>
        </w:tc>
      </w:tr>
      <w:tr>
        <w:trPr>
          <w:trHeight w:val="232"/>
        </w:trPr>
        <w:tc>
          <w:tcPr>
            <w:tcW w:w="76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Cash and cash equivalents and restricted cash at beginning of period</w:t>
            </w:r>
          </w:p>
        </w:tc>
        <w:tc>
          <w:tcPr>
            <w:tcW w:w="980" w:type="dxa"/>
            <w:vAlign w:val="bottom"/>
            <w:tcBorders>
              <w:bottom w:val="single" w:sz="8" w:color="auto"/>
            </w:tcBorders>
            <w:shd w:val="clear" w:color="auto" w:fill="CFF0FC"/>
          </w:tcPr>
          <w:p>
            <w:pPr>
              <w:spacing w:after="0"/>
              <w:rPr>
                <w:sz w:val="20"/>
                <w:szCs w:val="20"/>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65,222</w:t>
            </w:r>
          </w:p>
        </w:tc>
        <w:tc>
          <w:tcPr>
            <w:tcW w:w="280" w:type="dxa"/>
            <w:vAlign w:val="bottom"/>
            <w:tcBorders>
              <w:bottom w:val="single" w:sz="8" w:color="CFF0FC"/>
            </w:tcBorders>
            <w:shd w:val="clear" w:color="auto" w:fill="CFF0FC"/>
          </w:tcPr>
          <w:p>
            <w:pPr>
              <w:spacing w:after="0"/>
              <w:rPr>
                <w:sz w:val="20"/>
                <w:szCs w:val="20"/>
                <w:color w:val="auto"/>
              </w:rPr>
            </w:pPr>
          </w:p>
        </w:tc>
        <w:tc>
          <w:tcPr>
            <w:tcW w:w="360" w:type="dxa"/>
            <w:vAlign w:val="bottom"/>
            <w:tcBorders>
              <w:bottom w:val="single" w:sz="8" w:color="auto"/>
            </w:tcBorders>
            <w:shd w:val="clear" w:color="auto" w:fill="CFF0FC"/>
          </w:tcPr>
          <w:p>
            <w:pPr>
              <w:spacing w:after="0"/>
              <w:rPr>
                <w:sz w:val="20"/>
                <w:szCs w:val="20"/>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19,858</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26"/>
        </w:trPr>
        <w:tc>
          <w:tcPr>
            <w:tcW w:w="7680" w:type="dxa"/>
            <w:vAlign w:val="bottom"/>
          </w:tcPr>
          <w:p>
            <w:pPr>
              <w:ind w:left="20"/>
              <w:spacing w:after="0"/>
              <w:rPr>
                <w:sz w:val="20"/>
                <w:szCs w:val="20"/>
                <w:color w:val="auto"/>
              </w:rPr>
            </w:pPr>
            <w:r>
              <w:rPr>
                <w:rFonts w:ascii="Arial" w:cs="Arial" w:eastAsia="Arial" w:hAnsi="Arial"/>
                <w:sz w:val="16"/>
                <w:szCs w:val="16"/>
                <w:color w:val="auto"/>
              </w:rPr>
              <w:t>Cash and cash equivalents and restricted cash at end of period</w:t>
            </w:r>
          </w:p>
        </w:tc>
        <w:tc>
          <w:tcPr>
            <w:tcW w:w="980" w:type="dxa"/>
            <w:vAlign w:val="bottom"/>
            <w:tcBorders>
              <w:bottom w:val="single" w:sz="8" w:color="auto"/>
            </w:tcBorders>
          </w:tcPr>
          <w:p>
            <w:pPr>
              <w:jc w:val="right"/>
              <w:ind w:right="799"/>
              <w:spacing w:after="0"/>
              <w:rPr>
                <w:sz w:val="20"/>
                <w:szCs w:val="20"/>
                <w:color w:val="auto"/>
              </w:rPr>
            </w:pPr>
            <w:r>
              <w:rPr>
                <w:rFonts w:ascii="Arial" w:cs="Arial" w:eastAsia="Arial" w:hAnsi="Arial"/>
                <w:sz w:val="16"/>
                <w:szCs w:val="16"/>
                <w:color w:val="auto"/>
                <w:w w:val="89"/>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62,240</w:t>
            </w:r>
          </w:p>
        </w:tc>
        <w:tc>
          <w:tcPr>
            <w:tcW w:w="280" w:type="dxa"/>
            <w:vAlign w:val="bottom"/>
          </w:tcPr>
          <w:p>
            <w:pPr>
              <w:spacing w:after="0"/>
              <w:rPr>
                <w:sz w:val="19"/>
                <w:szCs w:val="19"/>
                <w:color w:val="auto"/>
              </w:rPr>
            </w:pPr>
          </w:p>
        </w:tc>
        <w:tc>
          <w:tcPr>
            <w:tcW w:w="360" w:type="dxa"/>
            <w:vAlign w:val="bottom"/>
            <w:tcBorders>
              <w:bottom w:val="single" w:sz="8" w:color="auto"/>
            </w:tcBorders>
          </w:tcPr>
          <w:p>
            <w:pPr>
              <w:jc w:val="right"/>
              <w:ind w:right="204"/>
              <w:spacing w:after="0"/>
              <w:rPr>
                <w:sz w:val="20"/>
                <w:szCs w:val="20"/>
                <w:color w:val="auto"/>
              </w:rPr>
            </w:pPr>
            <w:r>
              <w:rPr>
                <w:rFonts w:ascii="Arial" w:cs="Arial" w:eastAsia="Arial" w:hAnsi="Arial"/>
                <w:sz w:val="15"/>
                <w:szCs w:val="15"/>
                <w:color w:val="auto"/>
                <w:w w:val="71"/>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74,947</w:t>
            </w:r>
          </w:p>
        </w:tc>
        <w:tc>
          <w:tcPr>
            <w:tcW w:w="100" w:type="dxa"/>
            <w:vAlign w:val="bottom"/>
          </w:tcPr>
          <w:p>
            <w:pPr>
              <w:spacing w:after="0"/>
              <w:rPr>
                <w:sz w:val="19"/>
                <w:szCs w:val="19"/>
                <w:color w:val="auto"/>
              </w:rPr>
            </w:pPr>
          </w:p>
        </w:tc>
      </w:tr>
      <w:tr>
        <w:trPr>
          <w:trHeight w:val="20"/>
        </w:trPr>
        <w:tc>
          <w:tcPr>
            <w:tcW w:w="76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3"/>
        </w:trPr>
        <w:tc>
          <w:tcPr>
            <w:tcW w:w="76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9"/>
        </w:trPr>
        <w:tc>
          <w:tcPr>
            <w:tcW w:w="7680" w:type="dxa"/>
            <w:vAlign w:val="bottom"/>
            <w:shd w:val="clear" w:color="auto" w:fill="CFF0FC"/>
          </w:tcPr>
          <w:p>
            <w:pPr>
              <w:ind w:left="20"/>
              <w:spacing w:after="0"/>
              <w:rPr>
                <w:sz w:val="20"/>
                <w:szCs w:val="20"/>
                <w:color w:val="auto"/>
              </w:rPr>
            </w:pPr>
            <w:r>
              <w:rPr>
                <w:rFonts w:ascii="Arial" w:cs="Arial" w:eastAsia="Arial" w:hAnsi="Arial"/>
                <w:sz w:val="16"/>
                <w:szCs w:val="16"/>
                <w:b w:val="1"/>
                <w:bCs w:val="1"/>
                <w:color w:val="auto"/>
              </w:rPr>
              <w:t>Supplemental disclosure of cash flow information:</w:t>
            </w:r>
          </w:p>
        </w:tc>
        <w:tc>
          <w:tcPr>
            <w:tcW w:w="98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0"/>
        </w:trPr>
        <w:tc>
          <w:tcPr>
            <w:tcW w:w="7680" w:type="dxa"/>
            <w:vAlign w:val="bottom"/>
          </w:tcPr>
          <w:p>
            <w:pPr>
              <w:ind w:left="20"/>
              <w:spacing w:after="0"/>
              <w:rPr>
                <w:sz w:val="20"/>
                <w:szCs w:val="20"/>
                <w:color w:val="auto"/>
              </w:rPr>
            </w:pPr>
            <w:r>
              <w:rPr>
                <w:rFonts w:ascii="Arial" w:cs="Arial" w:eastAsia="Arial" w:hAnsi="Arial"/>
                <w:sz w:val="16"/>
                <w:szCs w:val="16"/>
                <w:color w:val="auto"/>
              </w:rPr>
              <w:t>Cash paid for interest</w:t>
            </w:r>
          </w:p>
        </w:tc>
        <w:tc>
          <w:tcPr>
            <w:tcW w:w="980" w:type="dxa"/>
            <w:vAlign w:val="bottom"/>
          </w:tcPr>
          <w:p>
            <w:pPr>
              <w:jc w:val="right"/>
              <w:ind w:right="799"/>
              <w:spacing w:after="0"/>
              <w:rPr>
                <w:sz w:val="20"/>
                <w:szCs w:val="20"/>
                <w:color w:val="auto"/>
              </w:rPr>
            </w:pPr>
            <w:r>
              <w:rPr>
                <w:rFonts w:ascii="Arial" w:cs="Arial" w:eastAsia="Arial" w:hAnsi="Arial"/>
                <w:sz w:val="16"/>
                <w:szCs w:val="16"/>
                <w:color w:val="auto"/>
                <w:w w:val="89"/>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56,164</w:t>
            </w:r>
          </w:p>
        </w:tc>
        <w:tc>
          <w:tcPr>
            <w:tcW w:w="280" w:type="dxa"/>
            <w:vAlign w:val="bottom"/>
          </w:tcPr>
          <w:p>
            <w:pPr>
              <w:spacing w:after="0"/>
              <w:rPr>
                <w:sz w:val="19"/>
                <w:szCs w:val="19"/>
                <w:color w:val="auto"/>
              </w:rPr>
            </w:pPr>
          </w:p>
        </w:tc>
        <w:tc>
          <w:tcPr>
            <w:tcW w:w="360" w:type="dxa"/>
            <w:vAlign w:val="bottom"/>
          </w:tcPr>
          <w:p>
            <w:pPr>
              <w:jc w:val="right"/>
              <w:ind w:right="204"/>
              <w:spacing w:after="0"/>
              <w:rPr>
                <w:sz w:val="20"/>
                <w:szCs w:val="20"/>
                <w:color w:val="auto"/>
              </w:rPr>
            </w:pPr>
            <w:r>
              <w:rPr>
                <w:rFonts w:ascii="Arial" w:cs="Arial" w:eastAsia="Arial" w:hAnsi="Arial"/>
                <w:sz w:val="15"/>
                <w:szCs w:val="15"/>
                <w:color w:val="auto"/>
                <w:w w:val="71"/>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25,900</w:t>
            </w:r>
          </w:p>
        </w:tc>
        <w:tc>
          <w:tcPr>
            <w:tcW w:w="100" w:type="dxa"/>
            <w:vAlign w:val="bottom"/>
          </w:tcPr>
          <w:p>
            <w:pPr>
              <w:spacing w:after="0"/>
              <w:rPr>
                <w:sz w:val="19"/>
                <w:szCs w:val="19"/>
                <w:color w:val="auto"/>
              </w:rPr>
            </w:pPr>
          </w:p>
        </w:tc>
      </w:tr>
      <w:tr>
        <w:trPr>
          <w:trHeight w:val="239"/>
        </w:trPr>
        <w:tc>
          <w:tcPr>
            <w:tcW w:w="7680" w:type="dxa"/>
            <w:vAlign w:val="bottom"/>
            <w:shd w:val="clear" w:color="auto" w:fill="CFF0FC"/>
          </w:tcPr>
          <w:p>
            <w:pPr>
              <w:ind w:left="20"/>
              <w:spacing w:after="0"/>
              <w:rPr>
                <w:sz w:val="20"/>
                <w:szCs w:val="20"/>
                <w:color w:val="auto"/>
              </w:rPr>
            </w:pPr>
            <w:r>
              <w:rPr>
                <w:rFonts w:ascii="Arial" w:cs="Arial" w:eastAsia="Arial" w:hAnsi="Arial"/>
                <w:sz w:val="16"/>
                <w:szCs w:val="16"/>
                <w:color w:val="auto"/>
              </w:rPr>
              <w:t>Cash paid for income taxes</w:t>
            </w:r>
          </w:p>
        </w:tc>
        <w:tc>
          <w:tcPr>
            <w:tcW w:w="980" w:type="dxa"/>
            <w:vAlign w:val="bottom"/>
            <w:shd w:val="clear" w:color="auto" w:fill="CFF0FC"/>
          </w:tcPr>
          <w:p>
            <w:pPr>
              <w:jc w:val="right"/>
              <w:ind w:right="799"/>
              <w:spacing w:after="0"/>
              <w:rPr>
                <w:sz w:val="20"/>
                <w:szCs w:val="20"/>
                <w:color w:val="auto"/>
              </w:rPr>
            </w:pPr>
            <w:r>
              <w:rPr>
                <w:rFonts w:ascii="Arial" w:cs="Arial" w:eastAsia="Arial" w:hAnsi="Arial"/>
                <w:sz w:val="16"/>
                <w:szCs w:val="16"/>
                <w:color w:val="auto"/>
                <w:w w:val="89"/>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2,409</w:t>
            </w:r>
          </w:p>
        </w:tc>
        <w:tc>
          <w:tcPr>
            <w:tcW w:w="280" w:type="dxa"/>
            <w:vAlign w:val="bottom"/>
            <w:shd w:val="clear" w:color="auto" w:fill="CFF0FC"/>
          </w:tcPr>
          <w:p>
            <w:pPr>
              <w:spacing w:after="0"/>
              <w:rPr>
                <w:sz w:val="20"/>
                <w:szCs w:val="20"/>
                <w:color w:val="auto"/>
              </w:rPr>
            </w:pPr>
          </w:p>
        </w:tc>
        <w:tc>
          <w:tcPr>
            <w:tcW w:w="360" w:type="dxa"/>
            <w:vAlign w:val="bottom"/>
            <w:shd w:val="clear" w:color="auto" w:fill="CFF0FC"/>
          </w:tcPr>
          <w:p>
            <w:pPr>
              <w:jc w:val="right"/>
              <w:ind w:right="204"/>
              <w:spacing w:after="0"/>
              <w:rPr>
                <w:sz w:val="20"/>
                <w:szCs w:val="20"/>
                <w:color w:val="auto"/>
              </w:rPr>
            </w:pPr>
            <w:r>
              <w:rPr>
                <w:rFonts w:ascii="Arial" w:cs="Arial" w:eastAsia="Arial" w:hAnsi="Arial"/>
                <w:sz w:val="15"/>
                <w:szCs w:val="15"/>
                <w:color w:val="auto"/>
                <w:w w:val="71"/>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2,416</w:t>
            </w:r>
          </w:p>
        </w:tc>
        <w:tc>
          <w:tcPr>
            <w:tcW w:w="100" w:type="dxa"/>
            <w:vAlign w:val="bottom"/>
            <w:shd w:val="clear" w:color="auto" w:fill="CFF0FC"/>
          </w:tcPr>
          <w:p>
            <w:pPr>
              <w:spacing w:after="0"/>
              <w:rPr>
                <w:sz w:val="20"/>
                <w:szCs w:val="20"/>
                <w:color w:val="auto"/>
              </w:rPr>
            </w:pPr>
          </w:p>
        </w:tc>
      </w:tr>
      <w:tr>
        <w:trPr>
          <w:trHeight w:val="449"/>
        </w:trPr>
        <w:tc>
          <w:tcPr>
            <w:tcW w:w="7680" w:type="dxa"/>
            <w:vAlign w:val="bottom"/>
          </w:tcPr>
          <w:p>
            <w:pPr>
              <w:ind w:left="20"/>
              <w:spacing w:after="0"/>
              <w:rPr>
                <w:sz w:val="20"/>
                <w:szCs w:val="20"/>
                <w:color w:val="auto"/>
              </w:rPr>
            </w:pPr>
            <w:r>
              <w:rPr>
                <w:rFonts w:ascii="Arial" w:cs="Arial" w:eastAsia="Arial" w:hAnsi="Arial"/>
                <w:sz w:val="16"/>
                <w:szCs w:val="16"/>
                <w:b w:val="1"/>
                <w:bCs w:val="1"/>
                <w:color w:val="auto"/>
              </w:rPr>
              <w:t>Supplemental disclosure of non-cash investing and financing activities:</w:t>
            </w:r>
          </w:p>
        </w:tc>
        <w:tc>
          <w:tcPr>
            <w:tcW w:w="9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9"/>
        </w:trPr>
        <w:tc>
          <w:tcPr>
            <w:tcW w:w="7680" w:type="dxa"/>
            <w:vAlign w:val="bottom"/>
            <w:shd w:val="clear" w:color="auto" w:fill="CFF0FC"/>
          </w:tcPr>
          <w:p>
            <w:pPr>
              <w:ind w:left="20"/>
              <w:spacing w:after="0"/>
              <w:rPr>
                <w:sz w:val="20"/>
                <w:szCs w:val="20"/>
                <w:color w:val="auto"/>
              </w:rPr>
            </w:pPr>
            <w:r>
              <w:rPr>
                <w:rFonts w:ascii="Arial" w:cs="Arial" w:eastAsia="Arial" w:hAnsi="Arial"/>
                <w:sz w:val="16"/>
                <w:szCs w:val="16"/>
                <w:color w:val="auto"/>
              </w:rPr>
              <w:t>Property and equipment in accounts payable</w:t>
            </w:r>
          </w:p>
        </w:tc>
        <w:tc>
          <w:tcPr>
            <w:tcW w:w="980" w:type="dxa"/>
            <w:vAlign w:val="bottom"/>
            <w:shd w:val="clear" w:color="auto" w:fill="CFF0FC"/>
          </w:tcPr>
          <w:p>
            <w:pPr>
              <w:jc w:val="right"/>
              <w:ind w:right="799"/>
              <w:spacing w:after="0"/>
              <w:rPr>
                <w:sz w:val="20"/>
                <w:szCs w:val="20"/>
                <w:color w:val="auto"/>
              </w:rPr>
            </w:pPr>
            <w:r>
              <w:rPr>
                <w:rFonts w:ascii="Arial" w:cs="Arial" w:eastAsia="Arial" w:hAnsi="Arial"/>
                <w:sz w:val="16"/>
                <w:szCs w:val="16"/>
                <w:color w:val="auto"/>
                <w:w w:val="89"/>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15,167</w:t>
            </w:r>
          </w:p>
        </w:tc>
        <w:tc>
          <w:tcPr>
            <w:tcW w:w="280" w:type="dxa"/>
            <w:vAlign w:val="bottom"/>
            <w:shd w:val="clear" w:color="auto" w:fill="CFF0FC"/>
          </w:tcPr>
          <w:p>
            <w:pPr>
              <w:spacing w:after="0"/>
              <w:rPr>
                <w:sz w:val="20"/>
                <w:szCs w:val="20"/>
                <w:color w:val="auto"/>
              </w:rPr>
            </w:pPr>
          </w:p>
        </w:tc>
        <w:tc>
          <w:tcPr>
            <w:tcW w:w="360" w:type="dxa"/>
            <w:vAlign w:val="bottom"/>
            <w:shd w:val="clear" w:color="auto" w:fill="CFF0FC"/>
          </w:tcPr>
          <w:p>
            <w:pPr>
              <w:jc w:val="right"/>
              <w:ind w:right="204"/>
              <w:spacing w:after="0"/>
              <w:rPr>
                <w:sz w:val="20"/>
                <w:szCs w:val="20"/>
                <w:color w:val="auto"/>
              </w:rPr>
            </w:pPr>
            <w:r>
              <w:rPr>
                <w:rFonts w:ascii="Arial" w:cs="Arial" w:eastAsia="Arial" w:hAnsi="Arial"/>
                <w:sz w:val="15"/>
                <w:szCs w:val="15"/>
                <w:color w:val="auto"/>
                <w:w w:val="71"/>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10,965</w:t>
            </w:r>
          </w:p>
        </w:tc>
        <w:tc>
          <w:tcPr>
            <w:tcW w:w="100" w:type="dxa"/>
            <w:vAlign w:val="bottom"/>
            <w:shd w:val="clear" w:color="auto" w:fill="CFF0FC"/>
          </w:tcPr>
          <w:p>
            <w:pPr>
              <w:spacing w:after="0"/>
              <w:rPr>
                <w:sz w:val="20"/>
                <w:szCs w:val="20"/>
                <w:color w:val="auto"/>
              </w:rPr>
            </w:pPr>
          </w:p>
        </w:tc>
      </w:tr>
      <w:tr>
        <w:trPr>
          <w:trHeight w:val="220"/>
        </w:trPr>
        <w:tc>
          <w:tcPr>
            <w:tcW w:w="7680" w:type="dxa"/>
            <w:vAlign w:val="bottom"/>
          </w:tcPr>
          <w:p>
            <w:pPr>
              <w:ind w:left="20"/>
              <w:spacing w:after="0"/>
              <w:rPr>
                <w:sz w:val="20"/>
                <w:szCs w:val="20"/>
                <w:color w:val="auto"/>
              </w:rPr>
            </w:pPr>
            <w:r>
              <w:rPr>
                <w:rFonts w:ascii="Arial" w:cs="Arial" w:eastAsia="Arial" w:hAnsi="Arial"/>
                <w:sz w:val="16"/>
                <w:szCs w:val="16"/>
                <w:color w:val="auto"/>
              </w:rPr>
              <w:t>Property and equipment in other accrued expenses</w:t>
            </w:r>
          </w:p>
        </w:tc>
        <w:tc>
          <w:tcPr>
            <w:tcW w:w="980" w:type="dxa"/>
            <w:vAlign w:val="bottom"/>
          </w:tcPr>
          <w:p>
            <w:pPr>
              <w:jc w:val="right"/>
              <w:ind w:right="799"/>
              <w:spacing w:after="0"/>
              <w:rPr>
                <w:sz w:val="20"/>
                <w:szCs w:val="20"/>
                <w:color w:val="auto"/>
              </w:rPr>
            </w:pPr>
            <w:r>
              <w:rPr>
                <w:rFonts w:ascii="Arial" w:cs="Arial" w:eastAsia="Arial" w:hAnsi="Arial"/>
                <w:sz w:val="16"/>
                <w:szCs w:val="16"/>
                <w:color w:val="auto"/>
                <w:w w:val="89"/>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16,439</w:t>
            </w:r>
          </w:p>
        </w:tc>
        <w:tc>
          <w:tcPr>
            <w:tcW w:w="280" w:type="dxa"/>
            <w:vAlign w:val="bottom"/>
          </w:tcPr>
          <w:p>
            <w:pPr>
              <w:spacing w:after="0"/>
              <w:rPr>
                <w:sz w:val="19"/>
                <w:szCs w:val="19"/>
                <w:color w:val="auto"/>
              </w:rPr>
            </w:pPr>
          </w:p>
        </w:tc>
        <w:tc>
          <w:tcPr>
            <w:tcW w:w="360" w:type="dxa"/>
            <w:vAlign w:val="bottom"/>
          </w:tcPr>
          <w:p>
            <w:pPr>
              <w:jc w:val="right"/>
              <w:ind w:right="204"/>
              <w:spacing w:after="0"/>
              <w:rPr>
                <w:sz w:val="20"/>
                <w:szCs w:val="20"/>
                <w:color w:val="auto"/>
              </w:rPr>
            </w:pPr>
            <w:r>
              <w:rPr>
                <w:rFonts w:ascii="Arial" w:cs="Arial" w:eastAsia="Arial" w:hAnsi="Arial"/>
                <w:sz w:val="15"/>
                <w:szCs w:val="15"/>
                <w:color w:val="auto"/>
                <w:w w:val="71"/>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3,886</w:t>
            </w:r>
          </w:p>
        </w:tc>
        <w:tc>
          <w:tcPr>
            <w:tcW w:w="100" w:type="dxa"/>
            <w:vAlign w:val="bottom"/>
          </w:tcPr>
          <w:p>
            <w:pPr>
              <w:spacing w:after="0"/>
              <w:rPr>
                <w:sz w:val="19"/>
                <w:szCs w:val="19"/>
                <w:color w:val="auto"/>
              </w:rPr>
            </w:pPr>
          </w:p>
        </w:tc>
      </w:tr>
      <w:tr>
        <w:trPr>
          <w:trHeight w:val="239"/>
        </w:trPr>
        <w:tc>
          <w:tcPr>
            <w:tcW w:w="7680" w:type="dxa"/>
            <w:vAlign w:val="bottom"/>
            <w:shd w:val="clear" w:color="auto" w:fill="CFF0FC"/>
          </w:tcPr>
          <w:p>
            <w:pPr>
              <w:ind w:left="20"/>
              <w:spacing w:after="0"/>
              <w:rPr>
                <w:sz w:val="20"/>
                <w:szCs w:val="20"/>
                <w:color w:val="auto"/>
              </w:rPr>
            </w:pPr>
            <w:r>
              <w:rPr>
                <w:rFonts w:ascii="Arial" w:cs="Arial" w:eastAsia="Arial" w:hAnsi="Arial"/>
                <w:sz w:val="16"/>
                <w:szCs w:val="16"/>
                <w:color w:val="auto"/>
              </w:rPr>
              <w:t>Stock option exercise proceeds in other receivables</w:t>
            </w:r>
          </w:p>
        </w:tc>
        <w:tc>
          <w:tcPr>
            <w:tcW w:w="980" w:type="dxa"/>
            <w:vAlign w:val="bottom"/>
            <w:shd w:val="clear" w:color="auto" w:fill="CFF0FC"/>
          </w:tcPr>
          <w:p>
            <w:pPr>
              <w:jc w:val="right"/>
              <w:ind w:right="799"/>
              <w:spacing w:after="0"/>
              <w:rPr>
                <w:sz w:val="20"/>
                <w:szCs w:val="20"/>
                <w:color w:val="auto"/>
              </w:rPr>
            </w:pPr>
            <w:r>
              <w:rPr>
                <w:rFonts w:ascii="Arial" w:cs="Arial" w:eastAsia="Arial" w:hAnsi="Arial"/>
                <w:sz w:val="16"/>
                <w:szCs w:val="16"/>
                <w:color w:val="auto"/>
                <w:w w:val="89"/>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w:t>
            </w:r>
          </w:p>
        </w:tc>
        <w:tc>
          <w:tcPr>
            <w:tcW w:w="280" w:type="dxa"/>
            <w:vAlign w:val="bottom"/>
            <w:shd w:val="clear" w:color="auto" w:fill="CFF0FC"/>
          </w:tcPr>
          <w:p>
            <w:pPr>
              <w:spacing w:after="0"/>
              <w:rPr>
                <w:sz w:val="20"/>
                <w:szCs w:val="20"/>
                <w:color w:val="auto"/>
              </w:rPr>
            </w:pPr>
          </w:p>
        </w:tc>
        <w:tc>
          <w:tcPr>
            <w:tcW w:w="360" w:type="dxa"/>
            <w:vAlign w:val="bottom"/>
            <w:shd w:val="clear" w:color="auto" w:fill="CFF0FC"/>
          </w:tcPr>
          <w:p>
            <w:pPr>
              <w:jc w:val="right"/>
              <w:ind w:right="204"/>
              <w:spacing w:after="0"/>
              <w:rPr>
                <w:sz w:val="20"/>
                <w:szCs w:val="20"/>
                <w:color w:val="auto"/>
              </w:rPr>
            </w:pPr>
            <w:r>
              <w:rPr>
                <w:rFonts w:ascii="Arial" w:cs="Arial" w:eastAsia="Arial" w:hAnsi="Arial"/>
                <w:sz w:val="15"/>
                <w:szCs w:val="15"/>
                <w:color w:val="auto"/>
                <w:w w:val="71"/>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5895975</wp:posOffset>
            </wp:positionH>
            <wp:positionV relativeFrom="paragraph">
              <wp:posOffset>-4015105</wp:posOffset>
            </wp:positionV>
            <wp:extent cx="68580" cy="30797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580" cy="30797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-4015105</wp:posOffset>
            </wp:positionV>
            <wp:extent cx="68580" cy="30797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580" cy="307975"/>
                    </a:xfrm>
                    <a:prstGeom prst="rect">
                      <a:avLst/>
                    </a:prstGeom>
                    <a:noFill/>
                  </pic:spPr>
                </pic:pic>
              </a:graphicData>
            </a:graphic>
          </wp:anchor>
        </w:drawing>
        <w:drawing>
          <wp:anchor simplePos="0" relativeHeight="251657728" behindDoc="1" locked="0" layoutInCell="0" allowOverlap="1">
            <wp:simplePos x="0" y="0"/>
            <wp:positionH relativeFrom="column">
              <wp:posOffset>5895975</wp:posOffset>
            </wp:positionH>
            <wp:positionV relativeFrom="paragraph">
              <wp:posOffset>-2970530</wp:posOffset>
            </wp:positionV>
            <wp:extent cx="68580" cy="29972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580" cy="29972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-2970530</wp:posOffset>
            </wp:positionV>
            <wp:extent cx="68580" cy="29972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580" cy="299720"/>
                    </a:xfrm>
                    <a:prstGeom prst="rect">
                      <a:avLst/>
                    </a:prstGeom>
                    <a:noFill/>
                  </pic:spPr>
                </pic:pic>
              </a:graphicData>
            </a:graphic>
          </wp:anchor>
        </w:drawing>
        <w:drawing>
          <wp:anchor simplePos="0" relativeHeight="251657728" behindDoc="1" locked="0" layoutInCell="0" allowOverlap="1">
            <wp:simplePos x="0" y="0"/>
            <wp:positionH relativeFrom="column">
              <wp:posOffset>5895975</wp:posOffset>
            </wp:positionH>
            <wp:positionV relativeFrom="paragraph">
              <wp:posOffset>-1934210</wp:posOffset>
            </wp:positionV>
            <wp:extent cx="68580" cy="29972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580" cy="29972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-1934210</wp:posOffset>
            </wp:positionV>
            <wp:extent cx="68580" cy="29972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580" cy="299720"/>
                    </a:xfrm>
                    <a:prstGeom prst="rect">
                      <a:avLst/>
                    </a:prstGeom>
                    <a:noFill/>
                  </pic:spPr>
                </pic:pic>
              </a:graphicData>
            </a:graphic>
          </wp:anchor>
        </w:drawing>
        <w:drawing>
          <wp:anchor simplePos="0" relativeHeight="251657728" behindDoc="1" locked="0" layoutInCell="0" allowOverlap="1">
            <wp:simplePos x="0" y="0"/>
            <wp:positionH relativeFrom="column">
              <wp:posOffset>5895975</wp:posOffset>
            </wp:positionH>
            <wp:positionV relativeFrom="paragraph">
              <wp:posOffset>-1489075</wp:posOffset>
            </wp:positionV>
            <wp:extent cx="68580" cy="32512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580" cy="32512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-1489075</wp:posOffset>
            </wp:positionV>
            <wp:extent cx="68580" cy="32512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580" cy="325120"/>
                    </a:xfrm>
                    <a:prstGeom prst="rect">
                      <a:avLst/>
                    </a:prstGeom>
                    <a:noFill/>
                  </pic:spPr>
                </pic:pic>
              </a:graphicData>
            </a:graphic>
          </wp:anchor>
        </w:drawing>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231F20"/>
        </w:rPr>
        <w:t>See accompanying notes to unaudited condensed consolidated financial statements.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 w:name="page7"/>
    <w:bookmarkEnd w:id="6"/>
    <w:p>
      <w:pPr>
        <w:ind w:left="4780"/>
        <w:spacing w:after="0"/>
        <w:rPr>
          <w:sz w:val="20"/>
          <w:szCs w:val="20"/>
          <w:color w:val="auto"/>
        </w:rPr>
      </w:pPr>
      <w:r>
        <w:rPr>
          <w:rFonts w:ascii="Arial" w:cs="Arial" w:eastAsia="Arial" w:hAnsi="Arial"/>
          <w:sz w:val="18"/>
          <w:szCs w:val="18"/>
          <w:b w:val="1"/>
          <w:bCs w:val="1"/>
          <w:color w:val="231F20"/>
        </w:rPr>
        <w:t>Mister Car Wash, Inc.</w:t>
      </w:r>
    </w:p>
    <w:p>
      <w:pPr>
        <w:spacing w:after="0" w:line="49" w:lineRule="exact"/>
        <w:rPr>
          <w:sz w:val="20"/>
          <w:szCs w:val="20"/>
          <w:color w:val="auto"/>
        </w:rPr>
      </w:pPr>
    </w:p>
    <w:p>
      <w:pPr>
        <w:ind w:left="3300"/>
        <w:spacing w:after="0"/>
        <w:rPr>
          <w:sz w:val="20"/>
          <w:szCs w:val="20"/>
          <w:color w:val="auto"/>
        </w:rPr>
      </w:pPr>
      <w:r>
        <w:rPr>
          <w:rFonts w:ascii="Arial" w:cs="Arial" w:eastAsia="Arial" w:hAnsi="Arial"/>
          <w:sz w:val="18"/>
          <w:szCs w:val="18"/>
          <w:b w:val="1"/>
          <w:bCs w:val="1"/>
          <w:color w:val="231F20"/>
        </w:rPr>
        <w:t>Condensed Consolidated Statements of Stockholders’ Equity</w:t>
      </w:r>
    </w:p>
    <w:p>
      <w:pPr>
        <w:spacing w:after="0" w:line="3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231F20"/>
        </w:rPr>
        <w:t>(Amounts in thousands, except share and per share data)</w:t>
      </w:r>
    </w:p>
    <w:p>
      <w:pPr>
        <w:spacing w:after="0" w:line="3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231F20"/>
        </w:rPr>
        <w:t>(Unaudited)</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420" w:type="dxa"/>
            <w:vAlign w:val="bottom"/>
            <w:gridSpan w:val="2"/>
          </w:tcPr>
          <w:p>
            <w:pPr>
              <w:spacing w:after="0"/>
              <w:rPr>
                <w:sz w:val="20"/>
                <w:szCs w:val="20"/>
                <w:color w:val="auto"/>
              </w:rPr>
            </w:pPr>
            <w:r>
              <w:rPr>
                <w:rFonts w:ascii="Arial" w:cs="Arial" w:eastAsia="Arial" w:hAnsi="Arial"/>
                <w:sz w:val="16"/>
                <w:szCs w:val="16"/>
                <w:b w:val="1"/>
                <w:bCs w:val="1"/>
                <w:color w:val="auto"/>
              </w:rPr>
              <w:t>Nine Months Ended September 30, 2023</w:t>
            </w:r>
          </w:p>
        </w:tc>
        <w:tc>
          <w:tcPr>
            <w:tcW w:w="1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8"/>
        </w:trPr>
        <w:tc>
          <w:tcPr>
            <w:tcW w:w="2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center"/>
              <w:ind w:right="59"/>
              <w:spacing w:after="0"/>
              <w:rPr>
                <w:sz w:val="20"/>
                <w:szCs w:val="20"/>
                <w:color w:val="auto"/>
              </w:rPr>
            </w:pPr>
            <w:r>
              <w:rPr>
                <w:rFonts w:ascii="Arial" w:cs="Arial" w:eastAsia="Arial" w:hAnsi="Arial"/>
                <w:sz w:val="16"/>
                <w:szCs w:val="16"/>
                <w:b w:val="1"/>
                <w:bCs w:val="1"/>
                <w:color w:val="auto"/>
                <w:w w:val="89"/>
              </w:rPr>
              <w:t>Accumulated</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center"/>
              <w:ind w:right="119"/>
              <w:spacing w:after="0"/>
              <w:rPr>
                <w:sz w:val="20"/>
                <w:szCs w:val="20"/>
                <w:color w:val="auto"/>
              </w:rPr>
            </w:pPr>
            <w:r>
              <w:rPr>
                <w:rFonts w:ascii="Arial" w:cs="Arial" w:eastAsia="Arial" w:hAnsi="Arial"/>
                <w:sz w:val="16"/>
                <w:szCs w:val="16"/>
                <w:b w:val="1"/>
                <w:bCs w:val="1"/>
                <w:color w:val="auto"/>
                <w:w w:val="91"/>
              </w:rPr>
              <w:t>Retained</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2"/>
        </w:trPr>
        <w:tc>
          <w:tcPr>
            <w:tcW w:w="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0" w:type="dxa"/>
            <w:vAlign w:val="bottom"/>
            <w:gridSpan w:val="3"/>
          </w:tcPr>
          <w:p>
            <w:pPr>
              <w:jc w:val="center"/>
              <w:ind w:right="280"/>
              <w:spacing w:after="0"/>
              <w:rPr>
                <w:sz w:val="20"/>
                <w:szCs w:val="20"/>
                <w:color w:val="auto"/>
              </w:rPr>
            </w:pPr>
            <w:r>
              <w:rPr>
                <w:rFonts w:ascii="Arial" w:cs="Arial" w:eastAsia="Arial" w:hAnsi="Arial"/>
                <w:sz w:val="16"/>
                <w:szCs w:val="16"/>
                <w:b w:val="1"/>
                <w:bCs w:val="1"/>
                <w:color w:val="auto"/>
                <w:w w:val="91"/>
              </w:rPr>
              <w:t>Additional</w:t>
            </w:r>
          </w:p>
        </w:tc>
        <w:tc>
          <w:tcPr>
            <w:tcW w:w="120" w:type="dxa"/>
            <w:vAlign w:val="bottom"/>
          </w:tcPr>
          <w:p>
            <w:pPr>
              <w:spacing w:after="0"/>
              <w:rPr>
                <w:sz w:val="17"/>
                <w:szCs w:val="17"/>
                <w:color w:val="auto"/>
              </w:rPr>
            </w:pPr>
          </w:p>
        </w:tc>
        <w:tc>
          <w:tcPr>
            <w:tcW w:w="1120" w:type="dxa"/>
            <w:vAlign w:val="bottom"/>
          </w:tcPr>
          <w:p>
            <w:pPr>
              <w:jc w:val="center"/>
              <w:ind w:right="59"/>
              <w:spacing w:after="0"/>
              <w:rPr>
                <w:sz w:val="20"/>
                <w:szCs w:val="20"/>
                <w:color w:val="auto"/>
              </w:rPr>
            </w:pPr>
            <w:r>
              <w:rPr>
                <w:rFonts w:ascii="Arial" w:cs="Arial" w:eastAsia="Arial" w:hAnsi="Arial"/>
                <w:sz w:val="16"/>
                <w:szCs w:val="16"/>
                <w:b w:val="1"/>
                <w:bCs w:val="1"/>
                <w:color w:val="auto"/>
                <w:w w:val="98"/>
              </w:rPr>
              <w:t>Other</w:t>
            </w: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jc w:val="center"/>
              <w:ind w:right="99"/>
              <w:spacing w:after="0"/>
              <w:rPr>
                <w:sz w:val="20"/>
                <w:szCs w:val="20"/>
                <w:color w:val="auto"/>
              </w:rPr>
            </w:pPr>
            <w:r>
              <w:rPr>
                <w:rFonts w:ascii="Arial" w:cs="Arial" w:eastAsia="Arial" w:hAnsi="Arial"/>
                <w:sz w:val="16"/>
                <w:szCs w:val="16"/>
                <w:b w:val="1"/>
                <w:bCs w:val="1"/>
                <w:color w:val="auto"/>
                <w:w w:val="93"/>
              </w:rPr>
              <w:t>Earnings</w:t>
            </w: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2"/>
        </w:trPr>
        <w:tc>
          <w:tcPr>
            <w:tcW w:w="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gridSpan w:val="2"/>
          </w:tcPr>
          <w:p>
            <w:pPr>
              <w:jc w:val="center"/>
              <w:ind w:right="440"/>
              <w:spacing w:after="0"/>
              <w:rPr>
                <w:sz w:val="20"/>
                <w:szCs w:val="20"/>
                <w:color w:val="auto"/>
              </w:rPr>
            </w:pPr>
            <w:r>
              <w:rPr>
                <w:rFonts w:ascii="Arial" w:cs="Arial" w:eastAsia="Arial" w:hAnsi="Arial"/>
                <w:sz w:val="16"/>
                <w:szCs w:val="16"/>
                <w:b w:val="1"/>
                <w:bCs w:val="1"/>
                <w:color w:val="auto"/>
                <w:w w:val="97"/>
              </w:rPr>
              <w:t>Paid-in</w:t>
            </w:r>
          </w:p>
        </w:tc>
        <w:tc>
          <w:tcPr>
            <w:tcW w:w="1240" w:type="dxa"/>
            <w:vAlign w:val="bottom"/>
            <w:gridSpan w:val="2"/>
          </w:tcPr>
          <w:p>
            <w:pPr>
              <w:jc w:val="center"/>
              <w:spacing w:after="0"/>
              <w:rPr>
                <w:sz w:val="20"/>
                <w:szCs w:val="20"/>
                <w:color w:val="auto"/>
              </w:rPr>
            </w:pPr>
            <w:r>
              <w:rPr>
                <w:rFonts w:ascii="Arial" w:cs="Arial" w:eastAsia="Arial" w:hAnsi="Arial"/>
                <w:sz w:val="16"/>
                <w:szCs w:val="16"/>
                <w:b w:val="1"/>
                <w:bCs w:val="1"/>
                <w:color w:val="auto"/>
                <w:w w:val="88"/>
              </w:rPr>
              <w:t>Comprehensive</w:t>
            </w:r>
          </w:p>
        </w:tc>
        <w:tc>
          <w:tcPr>
            <w:tcW w:w="260" w:type="dxa"/>
            <w:vAlign w:val="bottom"/>
          </w:tcPr>
          <w:p>
            <w:pPr>
              <w:spacing w:after="0"/>
              <w:rPr>
                <w:sz w:val="17"/>
                <w:szCs w:val="17"/>
                <w:color w:val="auto"/>
              </w:rPr>
            </w:pPr>
          </w:p>
        </w:tc>
        <w:tc>
          <w:tcPr>
            <w:tcW w:w="1040" w:type="dxa"/>
            <w:vAlign w:val="bottom"/>
            <w:gridSpan w:val="2"/>
          </w:tcPr>
          <w:p>
            <w:pPr>
              <w:ind w:left="20"/>
              <w:spacing w:after="0"/>
              <w:rPr>
                <w:sz w:val="20"/>
                <w:szCs w:val="20"/>
                <w:color w:val="auto"/>
              </w:rPr>
            </w:pPr>
            <w:r>
              <w:rPr>
                <w:rFonts w:ascii="Arial" w:cs="Arial" w:eastAsia="Arial" w:hAnsi="Arial"/>
                <w:sz w:val="16"/>
                <w:szCs w:val="16"/>
                <w:b w:val="1"/>
                <w:bCs w:val="1"/>
                <w:color w:val="auto"/>
                <w:w w:val="94"/>
              </w:rPr>
              <w:t>(Accumulated</w:t>
            </w:r>
          </w:p>
        </w:tc>
        <w:tc>
          <w:tcPr>
            <w:tcW w:w="240" w:type="dxa"/>
            <w:vAlign w:val="bottom"/>
          </w:tcPr>
          <w:p>
            <w:pPr>
              <w:spacing w:after="0"/>
              <w:rPr>
                <w:sz w:val="17"/>
                <w:szCs w:val="17"/>
                <w:color w:val="auto"/>
              </w:rPr>
            </w:pPr>
          </w:p>
        </w:tc>
        <w:tc>
          <w:tcPr>
            <w:tcW w:w="1120" w:type="dxa"/>
            <w:vAlign w:val="bottom"/>
            <w:gridSpan w:val="2"/>
          </w:tcPr>
          <w:p>
            <w:pPr>
              <w:jc w:val="right"/>
              <w:ind w:right="19"/>
              <w:spacing w:after="0"/>
              <w:rPr>
                <w:sz w:val="20"/>
                <w:szCs w:val="20"/>
                <w:color w:val="auto"/>
              </w:rPr>
            </w:pPr>
            <w:r>
              <w:rPr>
                <w:rFonts w:ascii="Arial" w:cs="Arial" w:eastAsia="Arial" w:hAnsi="Arial"/>
                <w:sz w:val="16"/>
                <w:szCs w:val="16"/>
                <w:b w:val="1"/>
                <w:bCs w:val="1"/>
                <w:color w:val="auto"/>
                <w:w w:val="94"/>
              </w:rPr>
              <w:t>Stockholders’</w:t>
            </w:r>
          </w:p>
        </w:tc>
        <w:tc>
          <w:tcPr>
            <w:tcW w:w="100" w:type="dxa"/>
            <w:vAlign w:val="bottom"/>
          </w:tcPr>
          <w:p>
            <w:pPr>
              <w:spacing w:after="0"/>
              <w:rPr>
                <w:sz w:val="17"/>
                <w:szCs w:val="17"/>
                <w:color w:val="auto"/>
              </w:rPr>
            </w:pPr>
          </w:p>
        </w:tc>
      </w:tr>
      <w:tr>
        <w:trPr>
          <w:trHeight w:val="223"/>
        </w:trPr>
        <w:tc>
          <w:tcPr>
            <w:tcW w:w="20" w:type="dxa"/>
            <w:vAlign w:val="bottom"/>
          </w:tcPr>
          <w:p>
            <w:pPr>
              <w:spacing w:after="0"/>
              <w:rPr>
                <w:sz w:val="19"/>
                <w:szCs w:val="19"/>
                <w:color w:val="auto"/>
              </w:rPr>
            </w:pPr>
          </w:p>
        </w:tc>
        <w:tc>
          <w:tcPr>
            <w:tcW w:w="3400" w:type="dxa"/>
            <w:vAlign w:val="bottom"/>
          </w:tcPr>
          <w:p>
            <w:pPr>
              <w:spacing w:after="0"/>
              <w:rPr>
                <w:sz w:val="19"/>
                <w:szCs w:val="19"/>
                <w:color w:val="auto"/>
              </w:rPr>
            </w:pPr>
          </w:p>
        </w:tc>
        <w:tc>
          <w:tcPr>
            <w:tcW w:w="2340" w:type="dxa"/>
            <w:vAlign w:val="bottom"/>
            <w:gridSpan w:val="4"/>
          </w:tcPr>
          <w:p>
            <w:pPr>
              <w:jc w:val="right"/>
              <w:ind w:right="559"/>
              <w:spacing w:after="0"/>
              <w:rPr>
                <w:sz w:val="20"/>
                <w:szCs w:val="20"/>
                <w:color w:val="auto"/>
              </w:rPr>
            </w:pPr>
            <w:r>
              <w:rPr>
                <w:rFonts w:ascii="Arial" w:cs="Arial" w:eastAsia="Arial" w:hAnsi="Arial"/>
                <w:sz w:val="16"/>
                <w:szCs w:val="16"/>
                <w:b w:val="1"/>
                <w:bCs w:val="1"/>
                <w:color w:val="auto"/>
              </w:rPr>
              <w:t>Common Stock</w:t>
            </w: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w w:val="97"/>
              </w:rPr>
              <w:t>Capital</w:t>
            </w:r>
          </w:p>
        </w:tc>
        <w:tc>
          <w:tcPr>
            <w:tcW w:w="120" w:type="dxa"/>
            <w:vAlign w:val="bottom"/>
          </w:tcPr>
          <w:p>
            <w:pPr>
              <w:spacing w:after="0"/>
              <w:rPr>
                <w:sz w:val="19"/>
                <w:szCs w:val="19"/>
                <w:color w:val="auto"/>
              </w:rPr>
            </w:pPr>
          </w:p>
        </w:tc>
        <w:tc>
          <w:tcPr>
            <w:tcW w:w="1120" w:type="dxa"/>
            <w:vAlign w:val="bottom"/>
          </w:tcPr>
          <w:p>
            <w:pPr>
              <w:jc w:val="center"/>
              <w:ind w:right="19"/>
              <w:spacing w:after="0"/>
              <w:rPr>
                <w:sz w:val="20"/>
                <w:szCs w:val="20"/>
                <w:color w:val="auto"/>
              </w:rPr>
            </w:pPr>
            <w:r>
              <w:rPr>
                <w:rFonts w:ascii="Arial" w:cs="Arial" w:eastAsia="Arial" w:hAnsi="Arial"/>
                <w:sz w:val="16"/>
                <w:szCs w:val="16"/>
                <w:b w:val="1"/>
                <w:bCs w:val="1"/>
                <w:color w:val="auto"/>
                <w:w w:val="89"/>
              </w:rPr>
              <w:t>Income</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center"/>
              <w:ind w:right="59"/>
              <w:spacing w:after="0"/>
              <w:rPr>
                <w:sz w:val="20"/>
                <w:szCs w:val="20"/>
                <w:color w:val="auto"/>
              </w:rPr>
            </w:pPr>
            <w:r>
              <w:rPr>
                <w:rFonts w:ascii="Arial" w:cs="Arial" w:eastAsia="Arial" w:hAnsi="Arial"/>
                <w:sz w:val="16"/>
                <w:szCs w:val="16"/>
                <w:b w:val="1"/>
                <w:bCs w:val="1"/>
                <w:color w:val="auto"/>
                <w:w w:val="95"/>
              </w:rPr>
              <w:t>Deficit)</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ind w:right="239"/>
              <w:spacing w:after="0"/>
              <w:rPr>
                <w:sz w:val="20"/>
                <w:szCs w:val="20"/>
                <w:color w:val="auto"/>
              </w:rPr>
            </w:pPr>
            <w:r>
              <w:rPr>
                <w:rFonts w:ascii="Arial" w:cs="Arial" w:eastAsia="Arial" w:hAnsi="Arial"/>
                <w:sz w:val="16"/>
                <w:szCs w:val="16"/>
                <w:b w:val="1"/>
                <w:bCs w:val="1"/>
                <w:color w:val="auto"/>
              </w:rPr>
              <w:t>Equity</w:t>
            </w:r>
          </w:p>
        </w:tc>
        <w:tc>
          <w:tcPr>
            <w:tcW w:w="10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3400" w:type="dxa"/>
            <w:vAlign w:val="bottom"/>
          </w:tcPr>
          <w:p>
            <w:pPr>
              <w:spacing w:after="0"/>
              <w:rPr>
                <w:sz w:val="19"/>
                <w:szCs w:val="19"/>
                <w:color w:val="auto"/>
              </w:rPr>
            </w:pPr>
          </w:p>
        </w:tc>
        <w:tc>
          <w:tcPr>
            <w:tcW w:w="1020" w:type="dxa"/>
            <w:vAlign w:val="bottom"/>
            <w:tcBorders>
              <w:top w:val="single" w:sz="8" w:color="auto"/>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Shares</w:t>
            </w:r>
          </w:p>
        </w:tc>
        <w:tc>
          <w:tcPr>
            <w:tcW w:w="280" w:type="dxa"/>
            <w:vAlign w:val="bottom"/>
            <w:tcBorders>
              <w:top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w w:val="99"/>
              </w:rPr>
              <w:t>Amount</w:t>
            </w:r>
          </w:p>
        </w:tc>
        <w:tc>
          <w:tcPr>
            <w:tcW w:w="28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340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Balance as of December 31, 2022</w:t>
            </w: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306,626,530</w:t>
            </w:r>
          </w:p>
        </w:tc>
        <w:tc>
          <w:tcPr>
            <w:tcW w:w="46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3,072</w:t>
            </w:r>
          </w:p>
        </w:tc>
        <w:tc>
          <w:tcPr>
            <w:tcW w:w="44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783,579</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400" w:type="dxa"/>
            <w:vAlign w:val="bottom"/>
            <w:gridSpan w:val="2"/>
            <w:shd w:val="clear" w:color="auto" w:fill="CFF0FC"/>
          </w:tcPr>
          <w:p>
            <w:pPr>
              <w:ind w:left="280"/>
              <w:spacing w:after="0"/>
              <w:rPr>
                <w:sz w:val="20"/>
                <w:szCs w:val="20"/>
                <w:color w:val="auto"/>
              </w:rPr>
            </w:pPr>
            <w:r>
              <w:rPr>
                <w:rFonts w:ascii="Arial" w:cs="Arial" w:eastAsia="Arial" w:hAnsi="Arial"/>
                <w:sz w:val="16"/>
                <w:szCs w:val="16"/>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14,477</w:t>
            </w:r>
          </w:p>
        </w:tc>
        <w:tc>
          <w:tcPr>
            <w:tcW w:w="460" w:type="dxa"/>
            <w:vAlign w:val="bottom"/>
            <w:gridSpan w:val="2"/>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801,128</w:t>
            </w:r>
          </w:p>
        </w:tc>
        <w:tc>
          <w:tcPr>
            <w:tcW w:w="100" w:type="dxa"/>
            <w:vAlign w:val="bottom"/>
            <w:shd w:val="clear" w:color="auto" w:fill="CFF0FC"/>
          </w:tcPr>
          <w:p>
            <w:pPr>
              <w:spacing w:after="0"/>
              <w:rPr>
                <w:sz w:val="19"/>
                <w:szCs w:val="19"/>
                <w:color w:val="auto"/>
              </w:rPr>
            </w:pPr>
          </w:p>
        </w:tc>
      </w:tr>
      <w:tr>
        <w:trPr>
          <w:trHeight w:val="220"/>
        </w:trPr>
        <w:tc>
          <w:tcPr>
            <w:tcW w:w="20" w:type="dxa"/>
            <w:vAlign w:val="bottom"/>
          </w:tcPr>
          <w:p>
            <w:pPr>
              <w:spacing w:after="0"/>
              <w:rPr>
                <w:sz w:val="19"/>
                <w:szCs w:val="19"/>
                <w:color w:val="auto"/>
              </w:rPr>
            </w:pPr>
          </w:p>
        </w:tc>
        <w:tc>
          <w:tcPr>
            <w:tcW w:w="3400" w:type="dxa"/>
            <w:vAlign w:val="bottom"/>
          </w:tcPr>
          <w:p>
            <w:pPr>
              <w:ind w:left="100"/>
              <w:spacing w:after="0"/>
              <w:rPr>
                <w:sz w:val="20"/>
                <w:szCs w:val="20"/>
                <w:color w:val="auto"/>
              </w:rPr>
            </w:pPr>
            <w:r>
              <w:rPr>
                <w:rFonts w:ascii="Arial" w:cs="Arial" w:eastAsia="Arial" w:hAnsi="Arial"/>
                <w:sz w:val="16"/>
                <w:szCs w:val="16"/>
                <w:color w:val="auto"/>
              </w:rPr>
              <w:t>Stock-based compensation expense</w:t>
            </w: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5,361</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5,361</w:t>
            </w:r>
          </w:p>
        </w:tc>
        <w:tc>
          <w:tcPr>
            <w:tcW w:w="100" w:type="dxa"/>
            <w:vAlign w:val="bottom"/>
          </w:tcPr>
          <w:p>
            <w:pPr>
              <w:spacing w:after="0"/>
              <w:rPr>
                <w:sz w:val="19"/>
                <w:szCs w:val="19"/>
                <w:color w:val="auto"/>
              </w:rPr>
            </w:pPr>
          </w:p>
        </w:tc>
      </w:tr>
      <w:tr>
        <w:trPr>
          <w:trHeight w:val="239"/>
        </w:trPr>
        <w:tc>
          <w:tcPr>
            <w:tcW w:w="20" w:type="dxa"/>
            <w:vAlign w:val="bottom"/>
          </w:tcPr>
          <w:p>
            <w:pPr>
              <w:spacing w:after="0"/>
              <w:rPr>
                <w:sz w:val="20"/>
                <w:szCs w:val="20"/>
                <w:color w:val="auto"/>
              </w:rPr>
            </w:pPr>
          </w:p>
        </w:tc>
        <w:tc>
          <w:tcPr>
            <w:tcW w:w="3400" w:type="dxa"/>
            <w:vAlign w:val="bottom"/>
            <w:shd w:val="clear" w:color="auto" w:fill="CFF0FC"/>
          </w:tcPr>
          <w:p>
            <w:pPr>
              <w:ind w:left="100"/>
              <w:spacing w:after="0"/>
              <w:rPr>
                <w:sz w:val="20"/>
                <w:szCs w:val="20"/>
                <w:color w:val="auto"/>
              </w:rPr>
            </w:pPr>
            <w:r>
              <w:rPr>
                <w:rFonts w:ascii="Arial" w:cs="Arial" w:eastAsia="Arial" w:hAnsi="Arial"/>
                <w:sz w:val="16"/>
                <w:szCs w:val="16"/>
                <w:color w:val="auto"/>
              </w:rPr>
              <w:t>Vesting of restricted stock units</w:t>
            </w: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4,296</w:t>
            </w:r>
          </w:p>
        </w:tc>
        <w:tc>
          <w:tcPr>
            <w:tcW w:w="28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8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04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20"/>
                <w:szCs w:val="20"/>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20"/>
                <w:szCs w:val="20"/>
                <w:color w:val="auto"/>
              </w:rPr>
            </w:pPr>
          </w:p>
        </w:tc>
      </w:tr>
      <w:tr>
        <w:trPr>
          <w:trHeight w:val="220"/>
        </w:trPr>
        <w:tc>
          <w:tcPr>
            <w:tcW w:w="20" w:type="dxa"/>
            <w:vAlign w:val="bottom"/>
          </w:tcPr>
          <w:p>
            <w:pPr>
              <w:spacing w:after="0"/>
              <w:rPr>
                <w:sz w:val="19"/>
                <w:szCs w:val="19"/>
                <w:color w:val="auto"/>
              </w:rPr>
            </w:pPr>
          </w:p>
        </w:tc>
        <w:tc>
          <w:tcPr>
            <w:tcW w:w="3400" w:type="dxa"/>
            <w:vAlign w:val="bottom"/>
          </w:tcPr>
          <w:p>
            <w:pPr>
              <w:ind w:left="100"/>
              <w:spacing w:after="0"/>
              <w:rPr>
                <w:sz w:val="20"/>
                <w:szCs w:val="20"/>
                <w:color w:val="auto"/>
              </w:rPr>
            </w:pPr>
            <w:r>
              <w:rPr>
                <w:rFonts w:ascii="Arial" w:cs="Arial" w:eastAsia="Arial" w:hAnsi="Arial"/>
                <w:sz w:val="16"/>
                <w:szCs w:val="16"/>
                <w:color w:val="auto"/>
              </w:rPr>
              <w:t>Exercise of stock options</w:t>
            </w:r>
          </w:p>
        </w:tc>
        <w:tc>
          <w:tcPr>
            <w:tcW w:w="1020" w:type="dxa"/>
            <w:vAlign w:val="bottom"/>
          </w:tcPr>
          <w:p>
            <w:pPr>
              <w:jc w:val="right"/>
              <w:spacing w:after="0"/>
              <w:rPr>
                <w:sz w:val="20"/>
                <w:szCs w:val="20"/>
                <w:color w:val="auto"/>
              </w:rPr>
            </w:pPr>
            <w:r>
              <w:rPr>
                <w:rFonts w:ascii="Arial" w:cs="Arial" w:eastAsia="Arial" w:hAnsi="Arial"/>
                <w:sz w:val="16"/>
                <w:szCs w:val="16"/>
                <w:color w:val="auto"/>
              </w:rPr>
              <w:t>1,471,021</w:t>
            </w: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15</w:t>
            </w: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1,101</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1,116</w:t>
            </w:r>
          </w:p>
        </w:tc>
        <w:tc>
          <w:tcPr>
            <w:tcW w:w="100" w:type="dxa"/>
            <w:vAlign w:val="bottom"/>
          </w:tcPr>
          <w:p>
            <w:pPr>
              <w:spacing w:after="0"/>
              <w:rPr>
                <w:sz w:val="19"/>
                <w:szCs w:val="19"/>
                <w:color w:val="auto"/>
              </w:rPr>
            </w:pPr>
          </w:p>
        </w:tc>
      </w:tr>
      <w:tr>
        <w:trPr>
          <w:trHeight w:val="232"/>
        </w:trPr>
        <w:tc>
          <w:tcPr>
            <w:tcW w:w="20" w:type="dxa"/>
            <w:vAlign w:val="bottom"/>
          </w:tcPr>
          <w:p>
            <w:pPr>
              <w:spacing w:after="0"/>
              <w:rPr>
                <w:sz w:val="20"/>
                <w:szCs w:val="20"/>
                <w:color w:val="auto"/>
              </w:rPr>
            </w:pPr>
          </w:p>
        </w:tc>
        <w:tc>
          <w:tcPr>
            <w:tcW w:w="3400" w:type="dxa"/>
            <w:vAlign w:val="bottom"/>
            <w:tcBorders>
              <w:bottom w:val="single" w:sz="8" w:color="CFF0FC"/>
            </w:tcBorders>
            <w:shd w:val="clear" w:color="auto" w:fill="CFF0FC"/>
          </w:tcPr>
          <w:p>
            <w:pPr>
              <w:ind w:left="100"/>
              <w:spacing w:after="0"/>
              <w:rPr>
                <w:sz w:val="20"/>
                <w:szCs w:val="20"/>
                <w:color w:val="auto"/>
              </w:rPr>
            </w:pPr>
            <w:r>
              <w:rPr>
                <w:rFonts w:ascii="Arial" w:cs="Arial" w:eastAsia="Arial" w:hAnsi="Arial"/>
                <w:sz w:val="16"/>
                <w:szCs w:val="16"/>
                <w:color w:val="auto"/>
              </w:rPr>
              <w:t>Net income</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spacing w:after="0"/>
              <w:rPr>
                <w:sz w:val="20"/>
                <w:szCs w:val="20"/>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spacing w:after="0"/>
              <w:rPr>
                <w:sz w:val="20"/>
                <w:szCs w:val="20"/>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spacing w:after="0"/>
              <w:rPr>
                <w:sz w:val="20"/>
                <w:szCs w:val="20"/>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spacing w:after="0"/>
              <w:rPr>
                <w:sz w:val="20"/>
                <w:szCs w:val="20"/>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21,136</w:t>
            </w:r>
          </w:p>
        </w:tc>
        <w:tc>
          <w:tcPr>
            <w:tcW w:w="24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spacing w:after="0"/>
              <w:rPr>
                <w:sz w:val="20"/>
                <w:szCs w:val="20"/>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21,136</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26"/>
        </w:trPr>
        <w:tc>
          <w:tcPr>
            <w:tcW w:w="20" w:type="dxa"/>
            <w:vAlign w:val="bottom"/>
          </w:tcPr>
          <w:p>
            <w:pPr>
              <w:spacing w:after="0"/>
              <w:rPr>
                <w:sz w:val="19"/>
                <w:szCs w:val="19"/>
                <w:color w:val="auto"/>
              </w:rPr>
            </w:pPr>
          </w:p>
        </w:tc>
        <w:tc>
          <w:tcPr>
            <w:tcW w:w="3400" w:type="dxa"/>
            <w:vAlign w:val="bottom"/>
          </w:tcPr>
          <w:p>
            <w:pPr>
              <w:spacing w:after="0"/>
              <w:rPr>
                <w:sz w:val="20"/>
                <w:szCs w:val="20"/>
                <w:color w:val="auto"/>
              </w:rPr>
            </w:pPr>
            <w:r>
              <w:rPr>
                <w:rFonts w:ascii="Arial" w:cs="Arial" w:eastAsia="Arial" w:hAnsi="Arial"/>
                <w:sz w:val="16"/>
                <w:szCs w:val="16"/>
                <w:b w:val="1"/>
                <w:bCs w:val="1"/>
                <w:color w:val="auto"/>
              </w:rPr>
              <w:t>Balance as of March 31, 2023</w:t>
            </w:r>
          </w:p>
        </w:tc>
        <w:tc>
          <w:tcPr>
            <w:tcW w:w="1020" w:type="dxa"/>
            <w:vAlign w:val="bottom"/>
          </w:tcPr>
          <w:p>
            <w:pPr>
              <w:jc w:val="right"/>
              <w:spacing w:after="0"/>
              <w:rPr>
                <w:sz w:val="20"/>
                <w:szCs w:val="20"/>
                <w:color w:val="auto"/>
              </w:rPr>
            </w:pPr>
            <w:r>
              <w:rPr>
                <w:rFonts w:ascii="Arial" w:cs="Arial" w:eastAsia="Arial" w:hAnsi="Arial"/>
                <w:sz w:val="16"/>
                <w:szCs w:val="16"/>
                <w:color w:val="auto"/>
              </w:rPr>
              <w:t>308,101,847</w:t>
            </w:r>
          </w:p>
        </w:tc>
        <w:tc>
          <w:tcPr>
            <w:tcW w:w="46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3,087</w:t>
            </w:r>
          </w:p>
        </w:tc>
        <w:tc>
          <w:tcPr>
            <w:tcW w:w="4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790,041</w:t>
            </w:r>
          </w:p>
        </w:tc>
        <w:tc>
          <w:tcPr>
            <w:tcW w:w="24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w:t>
            </w:r>
          </w:p>
        </w:tc>
        <w:tc>
          <w:tcPr>
            <w:tcW w:w="400" w:type="dxa"/>
            <w:vAlign w:val="bottom"/>
            <w:gridSpan w:val="2"/>
          </w:tcPr>
          <w:p>
            <w:pPr>
              <w:ind w:left="280"/>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35,613</w:t>
            </w:r>
          </w:p>
        </w:tc>
        <w:tc>
          <w:tcPr>
            <w:tcW w:w="460" w:type="dxa"/>
            <w:vAlign w:val="bottom"/>
            <w:gridSpan w:val="2"/>
          </w:tcPr>
          <w:p>
            <w:pPr>
              <w:jc w:val="right"/>
              <w:ind w:right="39"/>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828,741</w:t>
            </w:r>
          </w:p>
        </w:tc>
        <w:tc>
          <w:tcPr>
            <w:tcW w:w="10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3"/>
        </w:trPr>
        <w:tc>
          <w:tcPr>
            <w:tcW w:w="20" w:type="dxa"/>
            <w:vAlign w:val="bottom"/>
          </w:tcPr>
          <w:p>
            <w:pPr>
              <w:spacing w:after="0"/>
              <w:rPr>
                <w:sz w:val="18"/>
                <w:szCs w:val="18"/>
                <w:color w:val="auto"/>
              </w:rPr>
            </w:pPr>
          </w:p>
        </w:tc>
        <w:tc>
          <w:tcPr>
            <w:tcW w:w="3400" w:type="dxa"/>
            <w:vAlign w:val="bottom"/>
            <w:shd w:val="clear" w:color="auto" w:fill="CFF0FC"/>
          </w:tcPr>
          <w:p>
            <w:pPr>
              <w:ind w:left="100"/>
              <w:spacing w:after="0"/>
              <w:rPr>
                <w:sz w:val="20"/>
                <w:szCs w:val="20"/>
                <w:color w:val="auto"/>
              </w:rPr>
            </w:pPr>
            <w:r>
              <w:rPr>
                <w:rFonts w:ascii="Arial" w:cs="Arial" w:eastAsia="Arial" w:hAnsi="Arial"/>
                <w:sz w:val="16"/>
                <w:szCs w:val="16"/>
                <w:color w:val="auto"/>
              </w:rPr>
              <w:t>Stock-based compensation expense</w:t>
            </w: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5,993</w:t>
            </w: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5,993</w:t>
            </w:r>
          </w:p>
        </w:tc>
        <w:tc>
          <w:tcPr>
            <w:tcW w:w="100" w:type="dxa"/>
            <w:vAlign w:val="bottom"/>
            <w:shd w:val="clear" w:color="auto" w:fill="CFF0FC"/>
          </w:tcPr>
          <w:p>
            <w:pPr>
              <w:spacing w:after="0"/>
              <w:rPr>
                <w:sz w:val="18"/>
                <w:szCs w:val="18"/>
                <w:color w:val="auto"/>
              </w:rPr>
            </w:pPr>
          </w:p>
        </w:tc>
      </w:tr>
      <w:tr>
        <w:trPr>
          <w:trHeight w:val="220"/>
        </w:trPr>
        <w:tc>
          <w:tcPr>
            <w:tcW w:w="20" w:type="dxa"/>
            <w:vAlign w:val="bottom"/>
          </w:tcPr>
          <w:p>
            <w:pPr>
              <w:spacing w:after="0"/>
              <w:rPr>
                <w:sz w:val="19"/>
                <w:szCs w:val="19"/>
                <w:color w:val="auto"/>
              </w:rPr>
            </w:pPr>
          </w:p>
        </w:tc>
        <w:tc>
          <w:tcPr>
            <w:tcW w:w="3400" w:type="dxa"/>
            <w:vAlign w:val="bottom"/>
          </w:tcPr>
          <w:p>
            <w:pPr>
              <w:ind w:left="100"/>
              <w:spacing w:after="0"/>
              <w:rPr>
                <w:sz w:val="20"/>
                <w:szCs w:val="20"/>
                <w:color w:val="auto"/>
              </w:rPr>
            </w:pPr>
            <w:r>
              <w:rPr>
                <w:rFonts w:ascii="Arial" w:cs="Arial" w:eastAsia="Arial" w:hAnsi="Arial"/>
                <w:sz w:val="16"/>
                <w:szCs w:val="16"/>
                <w:color w:val="auto"/>
                <w:w w:val="93"/>
              </w:rPr>
              <w:t>Issuance of common stock under employee plans</w:t>
            </w:r>
          </w:p>
        </w:tc>
        <w:tc>
          <w:tcPr>
            <w:tcW w:w="1020" w:type="dxa"/>
            <w:vAlign w:val="bottom"/>
          </w:tcPr>
          <w:p>
            <w:pPr>
              <w:jc w:val="right"/>
              <w:spacing w:after="0"/>
              <w:rPr>
                <w:sz w:val="20"/>
                <w:szCs w:val="20"/>
                <w:color w:val="auto"/>
              </w:rPr>
            </w:pPr>
            <w:r>
              <w:rPr>
                <w:rFonts w:ascii="Arial" w:cs="Arial" w:eastAsia="Arial" w:hAnsi="Arial"/>
                <w:sz w:val="16"/>
                <w:szCs w:val="16"/>
                <w:color w:val="auto"/>
              </w:rPr>
              <w:t>207,042</w:t>
            </w: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w:t>
            </w: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1,591</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1,593</w:t>
            </w:r>
          </w:p>
        </w:tc>
        <w:tc>
          <w:tcPr>
            <w:tcW w:w="100" w:type="dxa"/>
            <w:vAlign w:val="bottom"/>
          </w:tcPr>
          <w:p>
            <w:pPr>
              <w:spacing w:after="0"/>
              <w:rPr>
                <w:sz w:val="19"/>
                <w:szCs w:val="19"/>
                <w:color w:val="auto"/>
              </w:rPr>
            </w:pPr>
          </w:p>
        </w:tc>
      </w:tr>
      <w:tr>
        <w:trPr>
          <w:trHeight w:val="239"/>
        </w:trPr>
        <w:tc>
          <w:tcPr>
            <w:tcW w:w="20" w:type="dxa"/>
            <w:vAlign w:val="bottom"/>
          </w:tcPr>
          <w:p>
            <w:pPr>
              <w:spacing w:after="0"/>
              <w:rPr>
                <w:sz w:val="20"/>
                <w:szCs w:val="20"/>
                <w:color w:val="auto"/>
              </w:rPr>
            </w:pPr>
          </w:p>
        </w:tc>
        <w:tc>
          <w:tcPr>
            <w:tcW w:w="3400" w:type="dxa"/>
            <w:vAlign w:val="bottom"/>
            <w:shd w:val="clear" w:color="auto" w:fill="CFF0FC"/>
          </w:tcPr>
          <w:p>
            <w:pPr>
              <w:ind w:left="100"/>
              <w:spacing w:after="0"/>
              <w:rPr>
                <w:sz w:val="20"/>
                <w:szCs w:val="20"/>
                <w:color w:val="auto"/>
              </w:rPr>
            </w:pPr>
            <w:r>
              <w:rPr>
                <w:rFonts w:ascii="Arial" w:cs="Arial" w:eastAsia="Arial" w:hAnsi="Arial"/>
                <w:sz w:val="16"/>
                <w:szCs w:val="16"/>
                <w:color w:val="auto"/>
              </w:rPr>
              <w:t>Vesting of restricted stock units</w:t>
            </w: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634,069</w:t>
            </w:r>
          </w:p>
        </w:tc>
        <w:tc>
          <w:tcPr>
            <w:tcW w:w="28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w:t>
            </w:r>
          </w:p>
        </w:tc>
        <w:tc>
          <w:tcPr>
            <w:tcW w:w="28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04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(6 )</w:t>
            </w:r>
          </w:p>
        </w:tc>
        <w:tc>
          <w:tcPr>
            <w:tcW w:w="120" w:type="dxa"/>
            <w:vAlign w:val="bottom"/>
            <w:shd w:val="clear" w:color="auto" w:fill="CFF0FC"/>
          </w:tcPr>
          <w:p>
            <w:pPr>
              <w:spacing w:after="0"/>
              <w:rPr>
                <w:sz w:val="20"/>
                <w:szCs w:val="20"/>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20"/>
                <w:szCs w:val="20"/>
                <w:color w:val="auto"/>
              </w:rPr>
            </w:pPr>
          </w:p>
        </w:tc>
      </w:tr>
      <w:tr>
        <w:trPr>
          <w:trHeight w:val="220"/>
        </w:trPr>
        <w:tc>
          <w:tcPr>
            <w:tcW w:w="20" w:type="dxa"/>
            <w:vAlign w:val="bottom"/>
          </w:tcPr>
          <w:p>
            <w:pPr>
              <w:spacing w:after="0"/>
              <w:rPr>
                <w:sz w:val="19"/>
                <w:szCs w:val="19"/>
                <w:color w:val="auto"/>
              </w:rPr>
            </w:pPr>
          </w:p>
        </w:tc>
        <w:tc>
          <w:tcPr>
            <w:tcW w:w="3400" w:type="dxa"/>
            <w:vAlign w:val="bottom"/>
          </w:tcPr>
          <w:p>
            <w:pPr>
              <w:ind w:left="100"/>
              <w:spacing w:after="0"/>
              <w:rPr>
                <w:sz w:val="20"/>
                <w:szCs w:val="20"/>
                <w:color w:val="auto"/>
              </w:rPr>
            </w:pPr>
            <w:r>
              <w:rPr>
                <w:rFonts w:ascii="Arial" w:cs="Arial" w:eastAsia="Arial" w:hAnsi="Arial"/>
                <w:sz w:val="16"/>
                <w:szCs w:val="16"/>
                <w:color w:val="auto"/>
              </w:rPr>
              <w:t>Exercise of stock options</w:t>
            </w:r>
          </w:p>
        </w:tc>
        <w:tc>
          <w:tcPr>
            <w:tcW w:w="1020" w:type="dxa"/>
            <w:vAlign w:val="bottom"/>
          </w:tcPr>
          <w:p>
            <w:pPr>
              <w:jc w:val="right"/>
              <w:spacing w:after="0"/>
              <w:rPr>
                <w:sz w:val="20"/>
                <w:szCs w:val="20"/>
                <w:color w:val="auto"/>
              </w:rPr>
            </w:pPr>
            <w:r>
              <w:rPr>
                <w:rFonts w:ascii="Arial" w:cs="Arial" w:eastAsia="Arial" w:hAnsi="Arial"/>
                <w:sz w:val="16"/>
                <w:szCs w:val="16"/>
                <w:color w:val="auto"/>
              </w:rPr>
              <w:t>2,815,372</w:t>
            </w: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28</w:t>
            </w: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1,879</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1,907</w:t>
            </w:r>
          </w:p>
        </w:tc>
        <w:tc>
          <w:tcPr>
            <w:tcW w:w="100" w:type="dxa"/>
            <w:vAlign w:val="bottom"/>
          </w:tcPr>
          <w:p>
            <w:pPr>
              <w:spacing w:after="0"/>
              <w:rPr>
                <w:sz w:val="19"/>
                <w:szCs w:val="19"/>
                <w:color w:val="auto"/>
              </w:rPr>
            </w:pPr>
          </w:p>
        </w:tc>
      </w:tr>
      <w:tr>
        <w:trPr>
          <w:trHeight w:val="232"/>
        </w:trPr>
        <w:tc>
          <w:tcPr>
            <w:tcW w:w="20" w:type="dxa"/>
            <w:vAlign w:val="bottom"/>
          </w:tcPr>
          <w:p>
            <w:pPr>
              <w:spacing w:after="0"/>
              <w:rPr>
                <w:sz w:val="20"/>
                <w:szCs w:val="20"/>
                <w:color w:val="auto"/>
              </w:rPr>
            </w:pPr>
          </w:p>
        </w:tc>
        <w:tc>
          <w:tcPr>
            <w:tcW w:w="3400" w:type="dxa"/>
            <w:vAlign w:val="bottom"/>
            <w:tcBorders>
              <w:bottom w:val="single" w:sz="8" w:color="CFF0FC"/>
            </w:tcBorders>
            <w:shd w:val="clear" w:color="auto" w:fill="CFF0FC"/>
          </w:tcPr>
          <w:p>
            <w:pPr>
              <w:ind w:left="100"/>
              <w:spacing w:after="0"/>
              <w:rPr>
                <w:sz w:val="20"/>
                <w:szCs w:val="20"/>
                <w:color w:val="auto"/>
              </w:rPr>
            </w:pPr>
            <w:r>
              <w:rPr>
                <w:rFonts w:ascii="Arial" w:cs="Arial" w:eastAsia="Arial" w:hAnsi="Arial"/>
                <w:sz w:val="16"/>
                <w:szCs w:val="16"/>
                <w:color w:val="auto"/>
              </w:rPr>
              <w:t>Net income</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spacing w:after="0"/>
              <w:rPr>
                <w:sz w:val="20"/>
                <w:szCs w:val="20"/>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spacing w:after="0"/>
              <w:rPr>
                <w:sz w:val="20"/>
                <w:szCs w:val="20"/>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spacing w:after="0"/>
              <w:rPr>
                <w:sz w:val="20"/>
                <w:szCs w:val="20"/>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spacing w:after="0"/>
              <w:rPr>
                <w:sz w:val="20"/>
                <w:szCs w:val="20"/>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27,132</w:t>
            </w:r>
          </w:p>
        </w:tc>
        <w:tc>
          <w:tcPr>
            <w:tcW w:w="24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spacing w:after="0"/>
              <w:rPr>
                <w:sz w:val="20"/>
                <w:szCs w:val="20"/>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27,132</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20"/>
        </w:trPr>
        <w:tc>
          <w:tcPr>
            <w:tcW w:w="20" w:type="dxa"/>
            <w:vAlign w:val="bottom"/>
          </w:tcPr>
          <w:p>
            <w:pPr>
              <w:spacing w:after="0"/>
              <w:rPr>
                <w:sz w:val="19"/>
                <w:szCs w:val="19"/>
                <w:color w:val="auto"/>
              </w:rPr>
            </w:pPr>
          </w:p>
        </w:tc>
        <w:tc>
          <w:tcPr>
            <w:tcW w:w="3400" w:type="dxa"/>
            <w:vAlign w:val="bottom"/>
          </w:tcPr>
          <w:p>
            <w:pPr>
              <w:spacing w:after="0"/>
              <w:rPr>
                <w:sz w:val="20"/>
                <w:szCs w:val="20"/>
                <w:color w:val="auto"/>
              </w:rPr>
            </w:pPr>
            <w:r>
              <w:rPr>
                <w:rFonts w:ascii="Arial" w:cs="Arial" w:eastAsia="Arial" w:hAnsi="Arial"/>
                <w:sz w:val="16"/>
                <w:szCs w:val="16"/>
                <w:b w:val="1"/>
                <w:bCs w:val="1"/>
                <w:color w:val="auto"/>
              </w:rPr>
              <w:t>Balance as of June 30, 2023</w:t>
            </w:r>
          </w:p>
        </w:tc>
        <w:tc>
          <w:tcPr>
            <w:tcW w:w="1020" w:type="dxa"/>
            <w:vAlign w:val="bottom"/>
          </w:tcPr>
          <w:p>
            <w:pPr>
              <w:jc w:val="right"/>
              <w:spacing w:after="0"/>
              <w:rPr>
                <w:sz w:val="20"/>
                <w:szCs w:val="20"/>
                <w:color w:val="auto"/>
              </w:rPr>
            </w:pPr>
            <w:r>
              <w:rPr>
                <w:rFonts w:ascii="Arial" w:cs="Arial" w:eastAsia="Arial" w:hAnsi="Arial"/>
                <w:sz w:val="16"/>
                <w:szCs w:val="16"/>
                <w:color w:val="auto"/>
              </w:rPr>
              <w:t>311,758,330</w:t>
            </w:r>
          </w:p>
        </w:tc>
        <w:tc>
          <w:tcPr>
            <w:tcW w:w="46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3,123</w:t>
            </w:r>
          </w:p>
        </w:tc>
        <w:tc>
          <w:tcPr>
            <w:tcW w:w="4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799,498</w:t>
            </w:r>
          </w:p>
        </w:tc>
        <w:tc>
          <w:tcPr>
            <w:tcW w:w="24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w:t>
            </w:r>
          </w:p>
        </w:tc>
        <w:tc>
          <w:tcPr>
            <w:tcW w:w="400" w:type="dxa"/>
            <w:vAlign w:val="bottom"/>
            <w:gridSpan w:val="2"/>
          </w:tcPr>
          <w:p>
            <w:pPr>
              <w:ind w:left="280"/>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62,745</w:t>
            </w:r>
          </w:p>
        </w:tc>
        <w:tc>
          <w:tcPr>
            <w:tcW w:w="460" w:type="dxa"/>
            <w:vAlign w:val="bottom"/>
            <w:gridSpan w:val="2"/>
          </w:tcPr>
          <w:p>
            <w:pPr>
              <w:jc w:val="right"/>
              <w:ind w:right="39"/>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865,366</w:t>
            </w:r>
          </w:p>
        </w:tc>
        <w:tc>
          <w:tcPr>
            <w:tcW w:w="100" w:type="dxa"/>
            <w:vAlign w:val="bottom"/>
          </w:tcPr>
          <w:p>
            <w:pPr>
              <w:spacing w:after="0"/>
              <w:rPr>
                <w:sz w:val="19"/>
                <w:szCs w:val="19"/>
                <w:color w:val="auto"/>
              </w:rPr>
            </w:pPr>
          </w:p>
        </w:tc>
      </w:tr>
      <w:tr>
        <w:trPr>
          <w:trHeight w:val="239"/>
        </w:trPr>
        <w:tc>
          <w:tcPr>
            <w:tcW w:w="20" w:type="dxa"/>
            <w:vAlign w:val="bottom"/>
          </w:tcPr>
          <w:p>
            <w:pPr>
              <w:spacing w:after="0"/>
              <w:rPr>
                <w:sz w:val="20"/>
                <w:szCs w:val="20"/>
                <w:color w:val="auto"/>
              </w:rPr>
            </w:pPr>
          </w:p>
        </w:tc>
        <w:tc>
          <w:tcPr>
            <w:tcW w:w="3400" w:type="dxa"/>
            <w:vAlign w:val="bottom"/>
            <w:shd w:val="clear" w:color="auto" w:fill="CFF0FC"/>
          </w:tcPr>
          <w:p>
            <w:pPr>
              <w:ind w:left="100"/>
              <w:spacing w:after="0"/>
              <w:rPr>
                <w:sz w:val="20"/>
                <w:szCs w:val="20"/>
                <w:color w:val="auto"/>
              </w:rPr>
            </w:pPr>
            <w:r>
              <w:rPr>
                <w:rFonts w:ascii="Arial" w:cs="Arial" w:eastAsia="Arial" w:hAnsi="Arial"/>
                <w:sz w:val="16"/>
                <w:szCs w:val="16"/>
                <w:color w:val="auto"/>
              </w:rPr>
              <w:t>Stock-based compensation expense</w:t>
            </w: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8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8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6,289</w:t>
            </w:r>
          </w:p>
        </w:tc>
        <w:tc>
          <w:tcPr>
            <w:tcW w:w="2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6,289</w:t>
            </w:r>
          </w:p>
        </w:tc>
        <w:tc>
          <w:tcPr>
            <w:tcW w:w="100" w:type="dxa"/>
            <w:vAlign w:val="bottom"/>
            <w:shd w:val="clear" w:color="auto" w:fill="CFF0FC"/>
          </w:tcPr>
          <w:p>
            <w:pPr>
              <w:spacing w:after="0"/>
              <w:rPr>
                <w:sz w:val="20"/>
                <w:szCs w:val="20"/>
                <w:color w:val="auto"/>
              </w:rPr>
            </w:pPr>
          </w:p>
        </w:tc>
      </w:tr>
      <w:tr>
        <w:trPr>
          <w:trHeight w:val="220"/>
        </w:trPr>
        <w:tc>
          <w:tcPr>
            <w:tcW w:w="20" w:type="dxa"/>
            <w:vAlign w:val="bottom"/>
          </w:tcPr>
          <w:p>
            <w:pPr>
              <w:spacing w:after="0"/>
              <w:rPr>
                <w:sz w:val="19"/>
                <w:szCs w:val="19"/>
                <w:color w:val="auto"/>
              </w:rPr>
            </w:pPr>
          </w:p>
        </w:tc>
        <w:tc>
          <w:tcPr>
            <w:tcW w:w="3400" w:type="dxa"/>
            <w:vAlign w:val="bottom"/>
          </w:tcPr>
          <w:p>
            <w:pPr>
              <w:ind w:left="100"/>
              <w:spacing w:after="0"/>
              <w:rPr>
                <w:sz w:val="20"/>
                <w:szCs w:val="20"/>
                <w:color w:val="auto"/>
              </w:rPr>
            </w:pPr>
            <w:r>
              <w:rPr>
                <w:rFonts w:ascii="Arial" w:cs="Arial" w:eastAsia="Arial" w:hAnsi="Arial"/>
                <w:sz w:val="16"/>
                <w:szCs w:val="16"/>
                <w:color w:val="auto"/>
              </w:rPr>
              <w:t>Exercise of stock options</w:t>
            </w:r>
          </w:p>
        </w:tc>
        <w:tc>
          <w:tcPr>
            <w:tcW w:w="1020" w:type="dxa"/>
            <w:vAlign w:val="bottom"/>
          </w:tcPr>
          <w:p>
            <w:pPr>
              <w:jc w:val="right"/>
              <w:spacing w:after="0"/>
              <w:rPr>
                <w:sz w:val="20"/>
                <w:szCs w:val="20"/>
                <w:color w:val="auto"/>
              </w:rPr>
            </w:pPr>
            <w:r>
              <w:rPr>
                <w:rFonts w:ascii="Arial" w:cs="Arial" w:eastAsia="Arial" w:hAnsi="Arial"/>
                <w:sz w:val="16"/>
                <w:szCs w:val="16"/>
                <w:color w:val="auto"/>
              </w:rPr>
              <w:t>2,212,411</w:t>
            </w: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22</w:t>
            </w: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1,555</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1,577</w:t>
            </w:r>
          </w:p>
        </w:tc>
        <w:tc>
          <w:tcPr>
            <w:tcW w:w="100" w:type="dxa"/>
            <w:vAlign w:val="bottom"/>
          </w:tcPr>
          <w:p>
            <w:pPr>
              <w:spacing w:after="0"/>
              <w:rPr>
                <w:sz w:val="19"/>
                <w:szCs w:val="19"/>
                <w:color w:val="auto"/>
              </w:rPr>
            </w:pPr>
          </w:p>
        </w:tc>
      </w:tr>
      <w:tr>
        <w:trPr>
          <w:trHeight w:val="232"/>
        </w:trPr>
        <w:tc>
          <w:tcPr>
            <w:tcW w:w="20" w:type="dxa"/>
            <w:vAlign w:val="bottom"/>
          </w:tcPr>
          <w:p>
            <w:pPr>
              <w:spacing w:after="0"/>
              <w:rPr>
                <w:sz w:val="20"/>
                <w:szCs w:val="20"/>
                <w:color w:val="auto"/>
              </w:rPr>
            </w:pPr>
          </w:p>
        </w:tc>
        <w:tc>
          <w:tcPr>
            <w:tcW w:w="3400" w:type="dxa"/>
            <w:vAlign w:val="bottom"/>
            <w:tcBorders>
              <w:bottom w:val="single" w:sz="8" w:color="CFF0FC"/>
            </w:tcBorders>
            <w:shd w:val="clear" w:color="auto" w:fill="CFF0FC"/>
          </w:tcPr>
          <w:p>
            <w:pPr>
              <w:ind w:left="100"/>
              <w:spacing w:after="0"/>
              <w:rPr>
                <w:sz w:val="20"/>
                <w:szCs w:val="20"/>
                <w:color w:val="auto"/>
              </w:rPr>
            </w:pPr>
            <w:r>
              <w:rPr>
                <w:rFonts w:ascii="Arial" w:cs="Arial" w:eastAsia="Arial" w:hAnsi="Arial"/>
                <w:sz w:val="16"/>
                <w:szCs w:val="16"/>
                <w:color w:val="auto"/>
              </w:rPr>
              <w:t>Net income</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spacing w:after="0"/>
              <w:rPr>
                <w:sz w:val="20"/>
                <w:szCs w:val="20"/>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spacing w:after="0"/>
              <w:rPr>
                <w:sz w:val="20"/>
                <w:szCs w:val="20"/>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spacing w:after="0"/>
              <w:rPr>
                <w:sz w:val="20"/>
                <w:szCs w:val="20"/>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spacing w:after="0"/>
              <w:rPr>
                <w:sz w:val="20"/>
                <w:szCs w:val="20"/>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19,485</w:t>
            </w:r>
          </w:p>
        </w:tc>
        <w:tc>
          <w:tcPr>
            <w:tcW w:w="24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spacing w:after="0"/>
              <w:rPr>
                <w:sz w:val="20"/>
                <w:szCs w:val="20"/>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19,485</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26"/>
        </w:trPr>
        <w:tc>
          <w:tcPr>
            <w:tcW w:w="20" w:type="dxa"/>
            <w:vAlign w:val="bottom"/>
          </w:tcPr>
          <w:p>
            <w:pPr>
              <w:spacing w:after="0"/>
              <w:rPr>
                <w:sz w:val="19"/>
                <w:szCs w:val="19"/>
                <w:color w:val="auto"/>
              </w:rPr>
            </w:pPr>
          </w:p>
        </w:tc>
        <w:tc>
          <w:tcPr>
            <w:tcW w:w="3400" w:type="dxa"/>
            <w:vAlign w:val="bottom"/>
          </w:tcPr>
          <w:p>
            <w:pPr>
              <w:spacing w:after="0"/>
              <w:rPr>
                <w:sz w:val="20"/>
                <w:szCs w:val="20"/>
                <w:color w:val="auto"/>
              </w:rPr>
            </w:pPr>
            <w:r>
              <w:rPr>
                <w:rFonts w:ascii="Arial" w:cs="Arial" w:eastAsia="Arial" w:hAnsi="Arial"/>
                <w:sz w:val="16"/>
                <w:szCs w:val="16"/>
                <w:b w:val="1"/>
                <w:bCs w:val="1"/>
                <w:color w:val="auto"/>
              </w:rPr>
              <w:t>Balance as of September 30, 2023</w:t>
            </w:r>
          </w:p>
        </w:tc>
        <w:tc>
          <w:tcPr>
            <w:tcW w:w="1020" w:type="dxa"/>
            <w:vAlign w:val="bottom"/>
          </w:tcPr>
          <w:p>
            <w:pPr>
              <w:jc w:val="right"/>
              <w:spacing w:after="0"/>
              <w:rPr>
                <w:sz w:val="20"/>
                <w:szCs w:val="20"/>
                <w:color w:val="auto"/>
              </w:rPr>
            </w:pPr>
            <w:r>
              <w:rPr>
                <w:rFonts w:ascii="Arial" w:cs="Arial" w:eastAsia="Arial" w:hAnsi="Arial"/>
                <w:sz w:val="16"/>
                <w:szCs w:val="16"/>
                <w:color w:val="auto"/>
              </w:rPr>
              <w:t>313,970,741</w:t>
            </w:r>
          </w:p>
        </w:tc>
        <w:tc>
          <w:tcPr>
            <w:tcW w:w="46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3,145</w:t>
            </w:r>
          </w:p>
        </w:tc>
        <w:tc>
          <w:tcPr>
            <w:tcW w:w="4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807,342</w:t>
            </w:r>
          </w:p>
        </w:tc>
        <w:tc>
          <w:tcPr>
            <w:tcW w:w="24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w:t>
            </w:r>
          </w:p>
        </w:tc>
        <w:tc>
          <w:tcPr>
            <w:tcW w:w="400" w:type="dxa"/>
            <w:vAlign w:val="bottom"/>
            <w:gridSpan w:val="2"/>
          </w:tcPr>
          <w:p>
            <w:pPr>
              <w:ind w:left="280"/>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82,230</w:t>
            </w:r>
          </w:p>
        </w:tc>
        <w:tc>
          <w:tcPr>
            <w:tcW w:w="460" w:type="dxa"/>
            <w:vAlign w:val="bottom"/>
            <w:gridSpan w:val="2"/>
          </w:tcPr>
          <w:p>
            <w:pPr>
              <w:jc w:val="right"/>
              <w:ind w:right="39"/>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892,717</w:t>
            </w:r>
          </w:p>
        </w:tc>
        <w:tc>
          <w:tcPr>
            <w:tcW w:w="10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2821940</wp:posOffset>
            </wp:positionH>
            <wp:positionV relativeFrom="paragraph">
              <wp:posOffset>-1677670</wp:posOffset>
            </wp:positionV>
            <wp:extent cx="76835" cy="17970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6835" cy="179705"/>
                    </a:xfrm>
                    <a:prstGeom prst="rect">
                      <a:avLst/>
                    </a:prstGeom>
                    <a:noFill/>
                  </pic:spPr>
                </pic:pic>
              </a:graphicData>
            </a:graphic>
          </wp:anchor>
        </w:drawing>
        <w:drawing>
          <wp:anchor simplePos="0" relativeHeight="251657728" behindDoc="1" locked="0" layoutInCell="0" allowOverlap="1">
            <wp:simplePos x="0" y="0"/>
            <wp:positionH relativeFrom="column">
              <wp:posOffset>3661410</wp:posOffset>
            </wp:positionH>
            <wp:positionV relativeFrom="paragraph">
              <wp:posOffset>-1677670</wp:posOffset>
            </wp:positionV>
            <wp:extent cx="76835" cy="17970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6835" cy="179705"/>
                    </a:xfrm>
                    <a:prstGeom prst="rect">
                      <a:avLst/>
                    </a:prstGeom>
                    <a:noFill/>
                  </pic:spPr>
                </pic:pic>
              </a:graphicData>
            </a:graphic>
          </wp:anchor>
        </w:drawing>
        <w:drawing>
          <wp:anchor simplePos="0" relativeHeight="251657728" behindDoc="1" locked="0" layoutInCell="0" allowOverlap="1">
            <wp:simplePos x="0" y="0"/>
            <wp:positionH relativeFrom="column">
              <wp:posOffset>4440555</wp:posOffset>
            </wp:positionH>
            <wp:positionV relativeFrom="paragraph">
              <wp:posOffset>-1677670</wp:posOffset>
            </wp:positionV>
            <wp:extent cx="68580" cy="17970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580" cy="179705"/>
                    </a:xfrm>
                    <a:prstGeom prst="rect">
                      <a:avLst/>
                    </a:prstGeom>
                    <a:noFill/>
                  </pic:spPr>
                </pic:pic>
              </a:graphicData>
            </a:graphic>
          </wp:anchor>
        </w:drawing>
        <w:drawing>
          <wp:anchor simplePos="0" relativeHeight="251657728" behindDoc="1" locked="0" layoutInCell="0" allowOverlap="1">
            <wp:simplePos x="0" y="0"/>
            <wp:positionH relativeFrom="column">
              <wp:posOffset>5390515</wp:posOffset>
            </wp:positionH>
            <wp:positionV relativeFrom="paragraph">
              <wp:posOffset>-1677670</wp:posOffset>
            </wp:positionV>
            <wp:extent cx="68580" cy="17970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580" cy="179705"/>
                    </a:xfrm>
                    <a:prstGeom prst="rect">
                      <a:avLst/>
                    </a:prstGeom>
                    <a:noFill/>
                  </pic:spPr>
                </pic:pic>
              </a:graphicData>
            </a:graphic>
          </wp:anchor>
        </w:drawing>
        <w:drawing>
          <wp:anchor simplePos="0" relativeHeight="251657728" behindDoc="1" locked="0" layoutInCell="0" allowOverlap="1">
            <wp:simplePos x="0" y="0"/>
            <wp:positionH relativeFrom="column">
              <wp:posOffset>6203950</wp:posOffset>
            </wp:positionH>
            <wp:positionV relativeFrom="paragraph">
              <wp:posOffset>-1677670</wp:posOffset>
            </wp:positionV>
            <wp:extent cx="68580" cy="17970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580" cy="1797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-1677670</wp:posOffset>
            </wp:positionV>
            <wp:extent cx="68580" cy="17970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580" cy="179705"/>
                    </a:xfrm>
                    <a:prstGeom prst="rect">
                      <a:avLst/>
                    </a:prstGeom>
                    <a:noFill/>
                  </pic:spPr>
                </pic:pic>
              </a:graphicData>
            </a:graphic>
          </wp:anchor>
        </w:drawing>
        <w:drawing>
          <wp:anchor simplePos="0" relativeHeight="251657728" behindDoc="1" locked="0" layoutInCell="0" allowOverlap="1">
            <wp:simplePos x="0" y="0"/>
            <wp:positionH relativeFrom="column">
              <wp:posOffset>2821940</wp:posOffset>
            </wp:positionH>
            <wp:positionV relativeFrom="paragraph">
              <wp:posOffset>-770255</wp:posOffset>
            </wp:positionV>
            <wp:extent cx="76835" cy="15430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6835" cy="154305"/>
                    </a:xfrm>
                    <a:prstGeom prst="rect">
                      <a:avLst/>
                    </a:prstGeom>
                    <a:noFill/>
                  </pic:spPr>
                </pic:pic>
              </a:graphicData>
            </a:graphic>
          </wp:anchor>
        </w:drawing>
        <w:drawing>
          <wp:anchor simplePos="0" relativeHeight="251657728" behindDoc="1" locked="0" layoutInCell="0" allowOverlap="1">
            <wp:simplePos x="0" y="0"/>
            <wp:positionH relativeFrom="column">
              <wp:posOffset>3661410</wp:posOffset>
            </wp:positionH>
            <wp:positionV relativeFrom="paragraph">
              <wp:posOffset>-770255</wp:posOffset>
            </wp:positionV>
            <wp:extent cx="76835" cy="15430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6835" cy="154305"/>
                    </a:xfrm>
                    <a:prstGeom prst="rect">
                      <a:avLst/>
                    </a:prstGeom>
                    <a:noFill/>
                  </pic:spPr>
                </pic:pic>
              </a:graphicData>
            </a:graphic>
          </wp:anchor>
        </w:drawing>
        <w:drawing>
          <wp:anchor simplePos="0" relativeHeight="251657728" behindDoc="1" locked="0" layoutInCell="0" allowOverlap="1">
            <wp:simplePos x="0" y="0"/>
            <wp:positionH relativeFrom="column">
              <wp:posOffset>4440555</wp:posOffset>
            </wp:positionH>
            <wp:positionV relativeFrom="paragraph">
              <wp:posOffset>-770255</wp:posOffset>
            </wp:positionV>
            <wp:extent cx="68580" cy="15430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5390515</wp:posOffset>
            </wp:positionH>
            <wp:positionV relativeFrom="paragraph">
              <wp:posOffset>-770255</wp:posOffset>
            </wp:positionV>
            <wp:extent cx="68580" cy="15430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6203950</wp:posOffset>
            </wp:positionH>
            <wp:positionV relativeFrom="paragraph">
              <wp:posOffset>-770255</wp:posOffset>
            </wp:positionV>
            <wp:extent cx="68580" cy="15430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-770255</wp:posOffset>
            </wp:positionV>
            <wp:extent cx="68580" cy="15430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2821940</wp:posOffset>
            </wp:positionH>
            <wp:positionV relativeFrom="paragraph">
              <wp:posOffset>-179070</wp:posOffset>
            </wp:positionV>
            <wp:extent cx="76835" cy="17970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6835" cy="179705"/>
                    </a:xfrm>
                    <a:prstGeom prst="rect">
                      <a:avLst/>
                    </a:prstGeom>
                    <a:noFill/>
                  </pic:spPr>
                </pic:pic>
              </a:graphicData>
            </a:graphic>
          </wp:anchor>
        </w:drawing>
        <w:drawing>
          <wp:anchor simplePos="0" relativeHeight="251657728" behindDoc="1" locked="0" layoutInCell="0" allowOverlap="1">
            <wp:simplePos x="0" y="0"/>
            <wp:positionH relativeFrom="column">
              <wp:posOffset>3661410</wp:posOffset>
            </wp:positionH>
            <wp:positionV relativeFrom="paragraph">
              <wp:posOffset>-179070</wp:posOffset>
            </wp:positionV>
            <wp:extent cx="76835" cy="17970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6835" cy="179705"/>
                    </a:xfrm>
                    <a:prstGeom prst="rect">
                      <a:avLst/>
                    </a:prstGeom>
                    <a:noFill/>
                  </pic:spPr>
                </pic:pic>
              </a:graphicData>
            </a:graphic>
          </wp:anchor>
        </w:drawing>
        <w:drawing>
          <wp:anchor simplePos="0" relativeHeight="251657728" behindDoc="1" locked="0" layoutInCell="0" allowOverlap="1">
            <wp:simplePos x="0" y="0"/>
            <wp:positionH relativeFrom="column">
              <wp:posOffset>4440555</wp:posOffset>
            </wp:positionH>
            <wp:positionV relativeFrom="paragraph">
              <wp:posOffset>-179070</wp:posOffset>
            </wp:positionV>
            <wp:extent cx="68580" cy="17970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580" cy="179705"/>
                    </a:xfrm>
                    <a:prstGeom prst="rect">
                      <a:avLst/>
                    </a:prstGeom>
                    <a:noFill/>
                  </pic:spPr>
                </pic:pic>
              </a:graphicData>
            </a:graphic>
          </wp:anchor>
        </w:drawing>
        <w:drawing>
          <wp:anchor simplePos="0" relativeHeight="251657728" behindDoc="1" locked="0" layoutInCell="0" allowOverlap="1">
            <wp:simplePos x="0" y="0"/>
            <wp:positionH relativeFrom="column">
              <wp:posOffset>5390515</wp:posOffset>
            </wp:positionH>
            <wp:positionV relativeFrom="paragraph">
              <wp:posOffset>-179070</wp:posOffset>
            </wp:positionV>
            <wp:extent cx="68580" cy="17970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580" cy="179705"/>
                    </a:xfrm>
                    <a:prstGeom prst="rect">
                      <a:avLst/>
                    </a:prstGeom>
                    <a:noFill/>
                  </pic:spPr>
                </pic:pic>
              </a:graphicData>
            </a:graphic>
          </wp:anchor>
        </w:drawing>
        <w:drawing>
          <wp:anchor simplePos="0" relativeHeight="251657728" behindDoc="1" locked="0" layoutInCell="0" allowOverlap="1">
            <wp:simplePos x="0" y="0"/>
            <wp:positionH relativeFrom="column">
              <wp:posOffset>6203950</wp:posOffset>
            </wp:positionH>
            <wp:positionV relativeFrom="paragraph">
              <wp:posOffset>-179070</wp:posOffset>
            </wp:positionV>
            <wp:extent cx="68580" cy="17970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580" cy="1797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-179070</wp:posOffset>
            </wp:positionV>
            <wp:extent cx="68580" cy="17970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580" cy="1797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10"/>
        </w:trPr>
        <w:tc>
          <w:tcPr>
            <w:tcW w:w="3400" w:type="dxa"/>
            <w:vAlign w:val="bottom"/>
            <w:gridSpan w:val="2"/>
          </w:tcPr>
          <w:p>
            <w:pPr>
              <w:spacing w:after="0"/>
              <w:rPr>
                <w:sz w:val="20"/>
                <w:szCs w:val="20"/>
                <w:color w:val="auto"/>
              </w:rPr>
            </w:pPr>
            <w:r>
              <w:rPr>
                <w:rFonts w:ascii="Arial" w:cs="Arial" w:eastAsia="Arial" w:hAnsi="Arial"/>
                <w:sz w:val="16"/>
                <w:szCs w:val="16"/>
                <w:b w:val="1"/>
                <w:bCs w:val="1"/>
                <w:color w:val="auto"/>
              </w:rPr>
              <w:t>Nine Months Ended September 30, 2022</w:t>
            </w: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8"/>
        </w:trPr>
        <w:tc>
          <w:tcPr>
            <w:tcW w:w="4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center"/>
              <w:ind w:right="420"/>
              <w:spacing w:after="0"/>
              <w:rPr>
                <w:sz w:val="20"/>
                <w:szCs w:val="20"/>
                <w:color w:val="auto"/>
              </w:rPr>
            </w:pPr>
            <w:r>
              <w:rPr>
                <w:rFonts w:ascii="Arial" w:cs="Arial" w:eastAsia="Arial" w:hAnsi="Arial"/>
                <w:sz w:val="16"/>
                <w:szCs w:val="16"/>
                <w:b w:val="1"/>
                <w:bCs w:val="1"/>
                <w:color w:val="auto"/>
                <w:w w:val="91"/>
              </w:rPr>
              <w:t>Accumulated</w:t>
            </w:r>
          </w:p>
        </w:tc>
        <w:tc>
          <w:tcPr>
            <w:tcW w:w="120" w:type="dxa"/>
            <w:vAlign w:val="bottom"/>
          </w:tcPr>
          <w:p>
            <w:pPr>
              <w:spacing w:after="0"/>
              <w:rPr>
                <w:sz w:val="18"/>
                <w:szCs w:val="18"/>
                <w:color w:val="auto"/>
              </w:rPr>
            </w:pPr>
          </w:p>
        </w:tc>
        <w:tc>
          <w:tcPr>
            <w:tcW w:w="1140" w:type="dxa"/>
            <w:vAlign w:val="bottom"/>
            <w:gridSpan w:val="2"/>
          </w:tcPr>
          <w:p>
            <w:pPr>
              <w:jc w:val="center"/>
              <w:ind w:right="440"/>
              <w:spacing w:after="0"/>
              <w:rPr>
                <w:sz w:val="20"/>
                <w:szCs w:val="20"/>
                <w:color w:val="auto"/>
              </w:rPr>
            </w:pPr>
            <w:r>
              <w:rPr>
                <w:rFonts w:ascii="Arial" w:cs="Arial" w:eastAsia="Arial" w:hAnsi="Arial"/>
                <w:sz w:val="16"/>
                <w:szCs w:val="16"/>
                <w:b w:val="1"/>
                <w:bCs w:val="1"/>
                <w:color w:val="auto"/>
                <w:w w:val="91"/>
              </w:rPr>
              <w:t>Retained</w:t>
            </w: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2"/>
        </w:trPr>
        <w:tc>
          <w:tcPr>
            <w:tcW w:w="40" w:type="dxa"/>
            <w:vAlign w:val="bottom"/>
          </w:tcPr>
          <w:p>
            <w:pPr>
              <w:spacing w:after="0"/>
              <w:rPr>
                <w:sz w:val="17"/>
                <w:szCs w:val="17"/>
                <w:color w:val="auto"/>
              </w:rPr>
            </w:pPr>
          </w:p>
        </w:tc>
        <w:tc>
          <w:tcPr>
            <w:tcW w:w="33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0" w:type="dxa"/>
            <w:vAlign w:val="bottom"/>
            <w:gridSpan w:val="3"/>
          </w:tcPr>
          <w:p>
            <w:pPr>
              <w:jc w:val="center"/>
              <w:ind w:right="320"/>
              <w:spacing w:after="0"/>
              <w:rPr>
                <w:sz w:val="20"/>
                <w:szCs w:val="20"/>
                <w:color w:val="auto"/>
              </w:rPr>
            </w:pPr>
            <w:r>
              <w:rPr>
                <w:rFonts w:ascii="Arial" w:cs="Arial" w:eastAsia="Arial" w:hAnsi="Arial"/>
                <w:sz w:val="16"/>
                <w:szCs w:val="16"/>
                <w:b w:val="1"/>
                <w:bCs w:val="1"/>
                <w:color w:val="auto"/>
                <w:w w:val="91"/>
              </w:rPr>
              <w:t>Additional</w:t>
            </w:r>
          </w:p>
        </w:tc>
        <w:tc>
          <w:tcPr>
            <w:tcW w:w="100" w:type="dxa"/>
            <w:vAlign w:val="bottom"/>
          </w:tcPr>
          <w:p>
            <w:pPr>
              <w:spacing w:after="0"/>
              <w:rPr>
                <w:sz w:val="17"/>
                <w:szCs w:val="17"/>
                <w:color w:val="auto"/>
              </w:rPr>
            </w:pPr>
          </w:p>
        </w:tc>
        <w:tc>
          <w:tcPr>
            <w:tcW w:w="1380" w:type="dxa"/>
            <w:vAlign w:val="bottom"/>
            <w:gridSpan w:val="2"/>
          </w:tcPr>
          <w:p>
            <w:pPr>
              <w:jc w:val="center"/>
              <w:ind w:right="420"/>
              <w:spacing w:after="0"/>
              <w:rPr>
                <w:sz w:val="20"/>
                <w:szCs w:val="20"/>
                <w:color w:val="auto"/>
              </w:rPr>
            </w:pPr>
            <w:r>
              <w:rPr>
                <w:rFonts w:ascii="Arial" w:cs="Arial" w:eastAsia="Arial" w:hAnsi="Arial"/>
                <w:sz w:val="16"/>
                <w:szCs w:val="16"/>
                <w:b w:val="1"/>
                <w:bCs w:val="1"/>
                <w:color w:val="auto"/>
                <w:w w:val="93"/>
              </w:rPr>
              <w:t>Other</w:t>
            </w:r>
          </w:p>
        </w:tc>
        <w:tc>
          <w:tcPr>
            <w:tcW w:w="120" w:type="dxa"/>
            <w:vAlign w:val="bottom"/>
          </w:tcPr>
          <w:p>
            <w:pPr>
              <w:spacing w:after="0"/>
              <w:rPr>
                <w:sz w:val="17"/>
                <w:szCs w:val="17"/>
                <w:color w:val="auto"/>
              </w:rPr>
            </w:pPr>
          </w:p>
        </w:tc>
        <w:tc>
          <w:tcPr>
            <w:tcW w:w="1140" w:type="dxa"/>
            <w:vAlign w:val="bottom"/>
            <w:gridSpan w:val="2"/>
          </w:tcPr>
          <w:p>
            <w:pPr>
              <w:jc w:val="center"/>
              <w:ind w:right="420"/>
              <w:spacing w:after="0"/>
              <w:rPr>
                <w:sz w:val="20"/>
                <w:szCs w:val="20"/>
                <w:color w:val="auto"/>
              </w:rPr>
            </w:pPr>
            <w:r>
              <w:rPr>
                <w:rFonts w:ascii="Arial" w:cs="Arial" w:eastAsia="Arial" w:hAnsi="Arial"/>
                <w:sz w:val="16"/>
                <w:szCs w:val="16"/>
                <w:b w:val="1"/>
                <w:bCs w:val="1"/>
                <w:color w:val="auto"/>
                <w:w w:val="93"/>
              </w:rPr>
              <w:t>Earnings</w:t>
            </w: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2"/>
        </w:trPr>
        <w:tc>
          <w:tcPr>
            <w:tcW w:w="40" w:type="dxa"/>
            <w:vAlign w:val="bottom"/>
          </w:tcPr>
          <w:p>
            <w:pPr>
              <w:spacing w:after="0"/>
              <w:rPr>
                <w:sz w:val="17"/>
                <w:szCs w:val="17"/>
                <w:color w:val="auto"/>
              </w:rPr>
            </w:pPr>
          </w:p>
        </w:tc>
        <w:tc>
          <w:tcPr>
            <w:tcW w:w="33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gridSpan w:val="2"/>
          </w:tcPr>
          <w:p>
            <w:pPr>
              <w:jc w:val="center"/>
              <w:ind w:right="460"/>
              <w:spacing w:after="0"/>
              <w:rPr>
                <w:sz w:val="20"/>
                <w:szCs w:val="20"/>
                <w:color w:val="auto"/>
              </w:rPr>
            </w:pPr>
            <w:r>
              <w:rPr>
                <w:rFonts w:ascii="Arial" w:cs="Arial" w:eastAsia="Arial" w:hAnsi="Arial"/>
                <w:sz w:val="16"/>
                <w:szCs w:val="16"/>
                <w:b w:val="1"/>
                <w:bCs w:val="1"/>
                <w:color w:val="auto"/>
                <w:w w:val="97"/>
              </w:rPr>
              <w:t>Paid-in</w:t>
            </w:r>
          </w:p>
        </w:tc>
        <w:tc>
          <w:tcPr>
            <w:tcW w:w="1480" w:type="dxa"/>
            <w:vAlign w:val="bottom"/>
            <w:gridSpan w:val="3"/>
          </w:tcPr>
          <w:p>
            <w:pPr>
              <w:jc w:val="center"/>
              <w:ind w:right="320"/>
              <w:spacing w:after="0"/>
              <w:rPr>
                <w:sz w:val="20"/>
                <w:szCs w:val="20"/>
                <w:color w:val="auto"/>
              </w:rPr>
            </w:pPr>
            <w:r>
              <w:rPr>
                <w:rFonts w:ascii="Arial" w:cs="Arial" w:eastAsia="Arial" w:hAnsi="Arial"/>
                <w:sz w:val="16"/>
                <w:szCs w:val="16"/>
                <w:b w:val="1"/>
                <w:bCs w:val="1"/>
                <w:color w:val="auto"/>
                <w:w w:val="89"/>
              </w:rPr>
              <w:t>Comprehensive</w:t>
            </w:r>
          </w:p>
        </w:tc>
        <w:tc>
          <w:tcPr>
            <w:tcW w:w="1260" w:type="dxa"/>
            <w:vAlign w:val="bottom"/>
            <w:gridSpan w:val="3"/>
          </w:tcPr>
          <w:p>
            <w:pPr>
              <w:spacing w:after="0"/>
              <w:rPr>
                <w:sz w:val="20"/>
                <w:szCs w:val="20"/>
                <w:color w:val="auto"/>
              </w:rPr>
            </w:pPr>
            <w:r>
              <w:rPr>
                <w:rFonts w:ascii="Arial" w:cs="Arial" w:eastAsia="Arial" w:hAnsi="Arial"/>
                <w:sz w:val="16"/>
                <w:szCs w:val="16"/>
                <w:b w:val="1"/>
                <w:bCs w:val="1"/>
                <w:color w:val="auto"/>
              </w:rPr>
              <w:t>(Accumulated</w:t>
            </w:r>
          </w:p>
        </w:tc>
        <w:tc>
          <w:tcPr>
            <w:tcW w:w="1200" w:type="dxa"/>
            <w:vAlign w:val="bottom"/>
            <w:gridSpan w:val="3"/>
          </w:tcPr>
          <w:p>
            <w:pPr>
              <w:jc w:val="right"/>
              <w:ind w:right="200"/>
              <w:spacing w:after="0"/>
              <w:rPr>
                <w:sz w:val="20"/>
                <w:szCs w:val="20"/>
                <w:color w:val="auto"/>
              </w:rPr>
            </w:pPr>
            <w:r>
              <w:rPr>
                <w:rFonts w:ascii="Arial" w:cs="Arial" w:eastAsia="Arial" w:hAnsi="Arial"/>
                <w:sz w:val="16"/>
                <w:szCs w:val="16"/>
                <w:b w:val="1"/>
                <w:bCs w:val="1"/>
                <w:color w:val="auto"/>
                <w:w w:val="92"/>
              </w:rPr>
              <w:t>Stockholders’</w:t>
            </w:r>
          </w:p>
        </w:tc>
      </w:tr>
      <w:tr>
        <w:trPr>
          <w:trHeight w:val="223"/>
        </w:trPr>
        <w:tc>
          <w:tcPr>
            <w:tcW w:w="40" w:type="dxa"/>
            <w:vAlign w:val="bottom"/>
          </w:tcPr>
          <w:p>
            <w:pPr>
              <w:spacing w:after="0"/>
              <w:rPr>
                <w:sz w:val="19"/>
                <w:szCs w:val="19"/>
                <w:color w:val="auto"/>
              </w:rPr>
            </w:pPr>
          </w:p>
        </w:tc>
        <w:tc>
          <w:tcPr>
            <w:tcW w:w="3360" w:type="dxa"/>
            <w:vAlign w:val="bottom"/>
          </w:tcPr>
          <w:p>
            <w:pPr>
              <w:spacing w:after="0"/>
              <w:rPr>
                <w:sz w:val="19"/>
                <w:szCs w:val="19"/>
                <w:color w:val="auto"/>
              </w:rPr>
            </w:pPr>
          </w:p>
        </w:tc>
        <w:tc>
          <w:tcPr>
            <w:tcW w:w="2340" w:type="dxa"/>
            <w:vAlign w:val="bottom"/>
            <w:gridSpan w:val="4"/>
          </w:tcPr>
          <w:p>
            <w:pPr>
              <w:jc w:val="right"/>
              <w:ind w:right="559"/>
              <w:spacing w:after="0"/>
              <w:rPr>
                <w:sz w:val="20"/>
                <w:szCs w:val="20"/>
                <w:color w:val="auto"/>
              </w:rPr>
            </w:pPr>
            <w:r>
              <w:rPr>
                <w:rFonts w:ascii="Arial" w:cs="Arial" w:eastAsia="Arial" w:hAnsi="Arial"/>
                <w:sz w:val="16"/>
                <w:szCs w:val="16"/>
                <w:b w:val="1"/>
                <w:bCs w:val="1"/>
                <w:color w:val="auto"/>
              </w:rPr>
              <w:t>Common Stock</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gridSpan w:val="2"/>
          </w:tcPr>
          <w:p>
            <w:pPr>
              <w:jc w:val="center"/>
              <w:ind w:right="420"/>
              <w:spacing w:after="0"/>
              <w:rPr>
                <w:sz w:val="20"/>
                <w:szCs w:val="20"/>
                <w:color w:val="auto"/>
              </w:rPr>
            </w:pPr>
            <w:r>
              <w:rPr>
                <w:rFonts w:ascii="Arial" w:cs="Arial" w:eastAsia="Arial" w:hAnsi="Arial"/>
                <w:sz w:val="16"/>
                <w:szCs w:val="16"/>
                <w:b w:val="1"/>
                <w:bCs w:val="1"/>
                <w:color w:val="auto"/>
                <w:w w:val="97"/>
              </w:rPr>
              <w:t>Capital</w:t>
            </w:r>
          </w:p>
        </w:tc>
        <w:tc>
          <w:tcPr>
            <w:tcW w:w="100" w:type="dxa"/>
            <w:vAlign w:val="bottom"/>
          </w:tcPr>
          <w:p>
            <w:pPr>
              <w:spacing w:after="0"/>
              <w:rPr>
                <w:sz w:val="19"/>
                <w:szCs w:val="19"/>
                <w:color w:val="auto"/>
              </w:rPr>
            </w:pPr>
          </w:p>
        </w:tc>
        <w:tc>
          <w:tcPr>
            <w:tcW w:w="138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92"/>
              </w:rPr>
              <w:t>Income</w:t>
            </w:r>
          </w:p>
        </w:tc>
        <w:tc>
          <w:tcPr>
            <w:tcW w:w="120" w:type="dxa"/>
            <w:vAlign w:val="bottom"/>
          </w:tcPr>
          <w:p>
            <w:pPr>
              <w:spacing w:after="0"/>
              <w:rPr>
                <w:sz w:val="19"/>
                <w:szCs w:val="19"/>
                <w:color w:val="auto"/>
              </w:rPr>
            </w:pPr>
          </w:p>
        </w:tc>
        <w:tc>
          <w:tcPr>
            <w:tcW w:w="114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95"/>
              </w:rPr>
              <w:t>Deficit)</w:t>
            </w:r>
          </w:p>
        </w:tc>
        <w:tc>
          <w:tcPr>
            <w:tcW w:w="200" w:type="dxa"/>
            <w:vAlign w:val="bottom"/>
          </w:tcPr>
          <w:p>
            <w:pPr>
              <w:spacing w:after="0"/>
              <w:rPr>
                <w:sz w:val="19"/>
                <w:szCs w:val="19"/>
                <w:color w:val="auto"/>
              </w:rPr>
            </w:pPr>
          </w:p>
        </w:tc>
        <w:tc>
          <w:tcPr>
            <w:tcW w:w="1000" w:type="dxa"/>
            <w:vAlign w:val="bottom"/>
            <w:gridSpan w:val="2"/>
          </w:tcPr>
          <w:p>
            <w:pPr>
              <w:jc w:val="right"/>
              <w:ind w:right="420"/>
              <w:spacing w:after="0"/>
              <w:rPr>
                <w:sz w:val="20"/>
                <w:szCs w:val="20"/>
                <w:color w:val="auto"/>
              </w:rPr>
            </w:pPr>
            <w:r>
              <w:rPr>
                <w:rFonts w:ascii="Arial" w:cs="Arial" w:eastAsia="Arial" w:hAnsi="Arial"/>
                <w:sz w:val="16"/>
                <w:szCs w:val="16"/>
                <w:b w:val="1"/>
                <w:bCs w:val="1"/>
                <w:color w:val="auto"/>
              </w:rPr>
              <w:t>Equity</w:t>
            </w:r>
          </w:p>
        </w:tc>
      </w:tr>
      <w:tr>
        <w:trPr>
          <w:trHeight w:val="223"/>
        </w:trPr>
        <w:tc>
          <w:tcPr>
            <w:tcW w:w="40" w:type="dxa"/>
            <w:vAlign w:val="bottom"/>
          </w:tcPr>
          <w:p>
            <w:pPr>
              <w:spacing w:after="0"/>
              <w:rPr>
                <w:sz w:val="19"/>
                <w:szCs w:val="19"/>
                <w:color w:val="auto"/>
              </w:rPr>
            </w:pPr>
          </w:p>
        </w:tc>
        <w:tc>
          <w:tcPr>
            <w:tcW w:w="3360" w:type="dxa"/>
            <w:vAlign w:val="bottom"/>
          </w:tcPr>
          <w:p>
            <w:pPr>
              <w:spacing w:after="0"/>
              <w:rPr>
                <w:sz w:val="19"/>
                <w:szCs w:val="19"/>
                <w:color w:val="auto"/>
              </w:rPr>
            </w:pPr>
          </w:p>
        </w:tc>
        <w:tc>
          <w:tcPr>
            <w:tcW w:w="1040" w:type="dxa"/>
            <w:vAlign w:val="bottom"/>
            <w:tcBorders>
              <w:top w:val="single" w:sz="8" w:color="auto"/>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Shares</w:t>
            </w:r>
          </w:p>
        </w:tc>
        <w:tc>
          <w:tcPr>
            <w:tcW w:w="280" w:type="dxa"/>
            <w:vAlign w:val="bottom"/>
            <w:tcBorders>
              <w:top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rPr>
              <w:t>Amount</w:t>
            </w:r>
          </w:p>
        </w:tc>
        <w:tc>
          <w:tcPr>
            <w:tcW w:w="2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20"/>
        </w:trPr>
        <w:tc>
          <w:tcPr>
            <w:tcW w:w="40" w:type="dxa"/>
            <w:vAlign w:val="bottom"/>
          </w:tcPr>
          <w:p>
            <w:pPr>
              <w:spacing w:after="0"/>
              <w:rPr>
                <w:sz w:val="19"/>
                <w:szCs w:val="19"/>
                <w:color w:val="auto"/>
              </w:rPr>
            </w:pPr>
          </w:p>
        </w:tc>
        <w:tc>
          <w:tcPr>
            <w:tcW w:w="3360" w:type="dxa"/>
            <w:vAlign w:val="bottom"/>
          </w:tcPr>
          <w:p>
            <w:pPr>
              <w:spacing w:after="0"/>
              <w:rPr>
                <w:sz w:val="20"/>
                <w:szCs w:val="20"/>
                <w:color w:val="auto"/>
              </w:rPr>
            </w:pPr>
            <w:r>
              <w:rPr>
                <w:rFonts w:ascii="Arial" w:cs="Arial" w:eastAsia="Arial" w:hAnsi="Arial"/>
                <w:sz w:val="16"/>
                <w:szCs w:val="16"/>
                <w:b w:val="1"/>
                <w:bCs w:val="1"/>
                <w:color w:val="auto"/>
              </w:rPr>
              <w:t>Balance as of December 31, 2021</w:t>
            </w:r>
          </w:p>
        </w:tc>
        <w:tc>
          <w:tcPr>
            <w:tcW w:w="1040" w:type="dxa"/>
            <w:vAlign w:val="bottom"/>
          </w:tcPr>
          <w:p>
            <w:pPr>
              <w:jc w:val="right"/>
              <w:spacing w:after="0"/>
              <w:rPr>
                <w:sz w:val="20"/>
                <w:szCs w:val="20"/>
                <w:color w:val="auto"/>
              </w:rPr>
            </w:pPr>
            <w:r>
              <w:rPr>
                <w:rFonts w:ascii="Arial" w:cs="Arial" w:eastAsia="Arial" w:hAnsi="Arial"/>
                <w:sz w:val="16"/>
                <w:szCs w:val="16"/>
                <w:color w:val="auto"/>
              </w:rPr>
              <w:t>300,120,451</w:t>
            </w:r>
          </w:p>
        </w:tc>
        <w:tc>
          <w:tcPr>
            <w:tcW w:w="4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3,007</w:t>
            </w:r>
          </w:p>
        </w:tc>
        <w:tc>
          <w:tcPr>
            <w:tcW w:w="4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752,343</w:t>
            </w:r>
          </w:p>
        </w:tc>
        <w:tc>
          <w:tcPr>
            <w:tcW w:w="26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225</w:t>
            </w:r>
          </w:p>
        </w:tc>
        <w:tc>
          <w:tcPr>
            <w:tcW w:w="260" w:type="dxa"/>
            <w:vAlign w:val="bottom"/>
          </w:tcPr>
          <w:p>
            <w:pPr>
              <w:spacing w:after="0"/>
              <w:rPr>
                <w:sz w:val="19"/>
                <w:szCs w:val="19"/>
                <w:color w:val="auto"/>
              </w:rPr>
            </w:pPr>
          </w:p>
        </w:tc>
        <w:tc>
          <w:tcPr>
            <w:tcW w:w="120" w:type="dxa"/>
            <w:vAlign w:val="bottom"/>
          </w:tcPr>
          <w:p>
            <w:pPr>
              <w:spacing w:after="0"/>
              <w:rPr>
                <w:sz w:val="20"/>
                <w:szCs w:val="20"/>
                <w:color w:val="auto"/>
              </w:rPr>
            </w:pPr>
            <w:r>
              <w:rPr>
                <w:rFonts w:ascii="Arial" w:cs="Arial" w:eastAsia="Arial" w:hAnsi="Arial"/>
                <w:sz w:val="16"/>
                <w:szCs w:val="16"/>
                <w:color w:val="auto"/>
              </w:rPr>
              <w:t>$</w:t>
            </w:r>
          </w:p>
        </w:tc>
        <w:tc>
          <w:tcPr>
            <w:tcW w:w="1140" w:type="dxa"/>
            <w:vAlign w:val="bottom"/>
            <w:gridSpan w:val="2"/>
          </w:tcPr>
          <w:p>
            <w:pPr>
              <w:jc w:val="right"/>
              <w:ind w:right="180"/>
              <w:spacing w:after="0"/>
              <w:rPr>
                <w:sz w:val="20"/>
                <w:szCs w:val="20"/>
                <w:color w:val="auto"/>
              </w:rPr>
            </w:pPr>
            <w:r>
              <w:rPr>
                <w:rFonts w:ascii="Arial" w:cs="Arial" w:eastAsia="Arial" w:hAnsi="Arial"/>
                <w:sz w:val="16"/>
                <w:szCs w:val="16"/>
                <w:color w:val="auto"/>
              </w:rPr>
              <w:t>(98,423 )</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657,152</w:t>
            </w:r>
          </w:p>
        </w:tc>
        <w:tc>
          <w:tcPr>
            <w:tcW w:w="100" w:type="dxa"/>
            <w:vAlign w:val="bottom"/>
          </w:tcPr>
          <w:p>
            <w:pPr>
              <w:spacing w:after="0"/>
              <w:rPr>
                <w:sz w:val="19"/>
                <w:szCs w:val="19"/>
                <w:color w:val="auto"/>
              </w:rPr>
            </w:pPr>
          </w:p>
        </w:tc>
      </w:tr>
      <w:tr>
        <w:trPr>
          <w:trHeight w:val="239"/>
        </w:trPr>
        <w:tc>
          <w:tcPr>
            <w:tcW w:w="40" w:type="dxa"/>
            <w:vAlign w:val="bottom"/>
          </w:tcPr>
          <w:p>
            <w:pPr>
              <w:spacing w:after="0"/>
              <w:rPr>
                <w:sz w:val="20"/>
                <w:szCs w:val="20"/>
                <w:color w:val="auto"/>
              </w:rPr>
            </w:pPr>
          </w:p>
        </w:tc>
        <w:tc>
          <w:tcPr>
            <w:tcW w:w="3360" w:type="dxa"/>
            <w:vAlign w:val="bottom"/>
            <w:shd w:val="clear" w:color="auto" w:fill="CFF0FC"/>
          </w:tcPr>
          <w:p>
            <w:pPr>
              <w:ind w:left="100"/>
              <w:spacing w:after="0"/>
              <w:rPr>
                <w:sz w:val="20"/>
                <w:szCs w:val="20"/>
                <w:color w:val="auto"/>
              </w:rPr>
            </w:pPr>
            <w:r>
              <w:rPr>
                <w:rFonts w:ascii="Arial" w:cs="Arial" w:eastAsia="Arial" w:hAnsi="Arial"/>
                <w:sz w:val="16"/>
                <w:szCs w:val="16"/>
                <w:color w:val="auto"/>
              </w:rPr>
              <w:t>Stock-based compensation expense</w:t>
            </w: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5,519</w:t>
            </w:r>
          </w:p>
        </w:tc>
        <w:tc>
          <w:tcPr>
            <w:tcW w:w="2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380" w:type="dxa"/>
            <w:vAlign w:val="bottom"/>
            <w:gridSpan w:val="2"/>
            <w:shd w:val="clear" w:color="auto" w:fill="CFF0FC"/>
          </w:tcPr>
          <w:p>
            <w:pPr>
              <w:jc w:val="right"/>
              <w:ind w:right="2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20"/>
                <w:szCs w:val="20"/>
                <w:color w:val="auto"/>
              </w:rPr>
            </w:pPr>
          </w:p>
        </w:tc>
        <w:tc>
          <w:tcPr>
            <w:tcW w:w="1140" w:type="dxa"/>
            <w:vAlign w:val="bottom"/>
            <w:gridSpan w:val="2"/>
            <w:shd w:val="clear" w:color="auto" w:fill="CFF0FC"/>
          </w:tcPr>
          <w:p>
            <w:pPr>
              <w:jc w:val="right"/>
              <w:ind w:right="2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20"/>
                <w:szCs w:val="20"/>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5,519</w:t>
            </w:r>
          </w:p>
        </w:tc>
        <w:tc>
          <w:tcPr>
            <w:tcW w:w="100" w:type="dxa"/>
            <w:vAlign w:val="bottom"/>
            <w:shd w:val="clear" w:color="auto" w:fill="CFF0FC"/>
          </w:tcPr>
          <w:p>
            <w:pPr>
              <w:spacing w:after="0"/>
              <w:rPr>
                <w:sz w:val="20"/>
                <w:szCs w:val="20"/>
                <w:color w:val="auto"/>
              </w:rPr>
            </w:pPr>
          </w:p>
        </w:tc>
      </w:tr>
      <w:tr>
        <w:trPr>
          <w:trHeight w:val="220"/>
        </w:trPr>
        <w:tc>
          <w:tcPr>
            <w:tcW w:w="40" w:type="dxa"/>
            <w:vAlign w:val="bottom"/>
          </w:tcPr>
          <w:p>
            <w:pPr>
              <w:spacing w:after="0"/>
              <w:rPr>
                <w:sz w:val="19"/>
                <w:szCs w:val="19"/>
                <w:color w:val="auto"/>
              </w:rPr>
            </w:pPr>
          </w:p>
        </w:tc>
        <w:tc>
          <w:tcPr>
            <w:tcW w:w="3360" w:type="dxa"/>
            <w:vAlign w:val="bottom"/>
          </w:tcPr>
          <w:p>
            <w:pPr>
              <w:ind w:left="100"/>
              <w:spacing w:after="0"/>
              <w:rPr>
                <w:sz w:val="20"/>
                <w:szCs w:val="20"/>
                <w:color w:val="auto"/>
              </w:rPr>
            </w:pPr>
            <w:r>
              <w:rPr>
                <w:rFonts w:ascii="Arial" w:cs="Arial" w:eastAsia="Arial" w:hAnsi="Arial"/>
                <w:sz w:val="16"/>
                <w:szCs w:val="16"/>
                <w:color w:val="auto"/>
              </w:rPr>
              <w:t>Exercise of stock options</w:t>
            </w:r>
          </w:p>
        </w:tc>
        <w:tc>
          <w:tcPr>
            <w:tcW w:w="1040" w:type="dxa"/>
            <w:vAlign w:val="bottom"/>
          </w:tcPr>
          <w:p>
            <w:pPr>
              <w:jc w:val="right"/>
              <w:spacing w:after="0"/>
              <w:rPr>
                <w:sz w:val="20"/>
                <w:szCs w:val="20"/>
                <w:color w:val="auto"/>
              </w:rPr>
            </w:pPr>
            <w:r>
              <w:rPr>
                <w:rFonts w:ascii="Arial" w:cs="Arial" w:eastAsia="Arial" w:hAnsi="Arial"/>
                <w:sz w:val="16"/>
                <w:szCs w:val="16"/>
                <w:color w:val="auto"/>
              </w:rPr>
              <w:t>1,486,727</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15</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1,311</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114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1,326</w:t>
            </w:r>
          </w:p>
        </w:tc>
        <w:tc>
          <w:tcPr>
            <w:tcW w:w="100" w:type="dxa"/>
            <w:vAlign w:val="bottom"/>
          </w:tcPr>
          <w:p>
            <w:pPr>
              <w:spacing w:after="0"/>
              <w:rPr>
                <w:sz w:val="19"/>
                <w:szCs w:val="19"/>
                <w:color w:val="auto"/>
              </w:rPr>
            </w:pPr>
          </w:p>
        </w:tc>
      </w:tr>
      <w:tr>
        <w:trPr>
          <w:trHeight w:val="239"/>
        </w:trPr>
        <w:tc>
          <w:tcPr>
            <w:tcW w:w="40" w:type="dxa"/>
            <w:vAlign w:val="bottom"/>
          </w:tcPr>
          <w:p>
            <w:pPr>
              <w:spacing w:after="0"/>
              <w:rPr>
                <w:sz w:val="20"/>
                <w:szCs w:val="20"/>
                <w:color w:val="auto"/>
              </w:rPr>
            </w:pPr>
          </w:p>
        </w:tc>
        <w:tc>
          <w:tcPr>
            <w:tcW w:w="3360" w:type="dxa"/>
            <w:vAlign w:val="bottom"/>
            <w:shd w:val="clear" w:color="auto" w:fill="CFF0FC"/>
          </w:tcPr>
          <w:p>
            <w:pPr>
              <w:ind w:left="100"/>
              <w:spacing w:after="0"/>
              <w:rPr>
                <w:sz w:val="20"/>
                <w:szCs w:val="20"/>
                <w:color w:val="auto"/>
              </w:rPr>
            </w:pPr>
            <w:r>
              <w:rPr>
                <w:rFonts w:ascii="Arial" w:cs="Arial" w:eastAsia="Arial" w:hAnsi="Arial"/>
                <w:sz w:val="16"/>
                <w:szCs w:val="16"/>
                <w:color w:val="auto"/>
              </w:rPr>
              <w:t>Gain on interest rate swap</w:t>
            </w: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060" w:type="dxa"/>
            <w:vAlign w:val="bottom"/>
            <w:gridSpan w:val="2"/>
            <w:shd w:val="clear" w:color="auto" w:fill="CFF0FC"/>
          </w:tcPr>
          <w:p>
            <w:pPr>
              <w:jc w:val="right"/>
              <w:ind w:right="2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20"/>
                <w:szCs w:val="20"/>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1,869</w:t>
            </w:r>
          </w:p>
        </w:tc>
        <w:tc>
          <w:tcPr>
            <w:tcW w:w="2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140" w:type="dxa"/>
            <w:vAlign w:val="bottom"/>
            <w:gridSpan w:val="2"/>
            <w:shd w:val="clear" w:color="auto" w:fill="CFF0FC"/>
          </w:tcPr>
          <w:p>
            <w:pPr>
              <w:jc w:val="right"/>
              <w:ind w:right="2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20"/>
                <w:szCs w:val="20"/>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1,869</w:t>
            </w:r>
          </w:p>
        </w:tc>
        <w:tc>
          <w:tcPr>
            <w:tcW w:w="100" w:type="dxa"/>
            <w:vAlign w:val="bottom"/>
            <w:shd w:val="clear" w:color="auto" w:fill="CFF0FC"/>
          </w:tcPr>
          <w:p>
            <w:pPr>
              <w:spacing w:after="0"/>
              <w:rPr>
                <w:sz w:val="20"/>
                <w:szCs w:val="20"/>
                <w:color w:val="auto"/>
              </w:rPr>
            </w:pPr>
          </w:p>
        </w:tc>
      </w:tr>
      <w:tr>
        <w:trPr>
          <w:trHeight w:val="223"/>
        </w:trPr>
        <w:tc>
          <w:tcPr>
            <w:tcW w:w="40" w:type="dxa"/>
            <w:vAlign w:val="bottom"/>
          </w:tcPr>
          <w:p>
            <w:pPr>
              <w:spacing w:after="0"/>
              <w:rPr>
                <w:sz w:val="19"/>
                <w:szCs w:val="19"/>
                <w:color w:val="auto"/>
              </w:rPr>
            </w:pPr>
          </w:p>
        </w:tc>
        <w:tc>
          <w:tcPr>
            <w:tcW w:w="3360" w:type="dxa"/>
            <w:vAlign w:val="bottom"/>
          </w:tcPr>
          <w:p>
            <w:pPr>
              <w:ind w:left="100"/>
              <w:spacing w:after="0"/>
              <w:rPr>
                <w:sz w:val="20"/>
                <w:szCs w:val="20"/>
                <w:color w:val="auto"/>
              </w:rPr>
            </w:pPr>
            <w:r>
              <w:rPr>
                <w:rFonts w:ascii="Arial" w:cs="Arial" w:eastAsia="Arial" w:hAnsi="Arial"/>
                <w:sz w:val="16"/>
                <w:szCs w:val="16"/>
                <w:color w:val="auto"/>
              </w:rPr>
              <w:t>Net income</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35,488</w:t>
            </w:r>
          </w:p>
        </w:tc>
        <w:tc>
          <w:tcPr>
            <w:tcW w:w="2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35,488</w:t>
            </w:r>
          </w:p>
        </w:tc>
        <w:tc>
          <w:tcPr>
            <w:tcW w:w="100" w:type="dxa"/>
            <w:vAlign w:val="bottom"/>
          </w:tcPr>
          <w:p>
            <w:pPr>
              <w:spacing w:after="0"/>
              <w:rPr>
                <w:sz w:val="19"/>
                <w:szCs w:val="19"/>
                <w:color w:val="auto"/>
              </w:rPr>
            </w:pPr>
          </w:p>
        </w:tc>
      </w:tr>
      <w:tr>
        <w:trPr>
          <w:trHeight w:val="266"/>
        </w:trPr>
        <w:tc>
          <w:tcPr>
            <w:tcW w:w="40" w:type="dxa"/>
            <w:vAlign w:val="bottom"/>
          </w:tcPr>
          <w:p>
            <w:pPr>
              <w:spacing w:after="0"/>
              <w:rPr>
                <w:sz w:val="23"/>
                <w:szCs w:val="23"/>
                <w:color w:val="auto"/>
              </w:rPr>
            </w:pPr>
          </w:p>
        </w:tc>
        <w:tc>
          <w:tcPr>
            <w:tcW w:w="336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Balance as of March 31, 2022</w:t>
            </w: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301,607,178</w:t>
            </w:r>
          </w:p>
        </w:tc>
        <w:tc>
          <w:tcPr>
            <w:tcW w:w="280" w:type="dxa"/>
            <w:vAlign w:val="bottom"/>
            <w:shd w:val="clear" w:color="auto" w:fill="CFF0FC"/>
          </w:tcPr>
          <w:p>
            <w:pPr>
              <w:spacing w:after="0"/>
              <w:rPr>
                <w:sz w:val="23"/>
                <w:szCs w:val="23"/>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3,022</w:t>
            </w:r>
          </w:p>
        </w:tc>
        <w:tc>
          <w:tcPr>
            <w:tcW w:w="260" w:type="dxa"/>
            <w:vAlign w:val="bottom"/>
            <w:shd w:val="clear" w:color="auto" w:fill="CFF0FC"/>
          </w:tcPr>
          <w:p>
            <w:pPr>
              <w:spacing w:after="0"/>
              <w:rPr>
                <w:sz w:val="23"/>
                <w:szCs w:val="23"/>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759,173</w:t>
            </w:r>
          </w:p>
        </w:tc>
        <w:tc>
          <w:tcPr>
            <w:tcW w:w="260" w:type="dxa"/>
            <w:vAlign w:val="bottom"/>
            <w:shd w:val="clear" w:color="auto" w:fill="CFF0FC"/>
          </w:tcPr>
          <w:p>
            <w:pPr>
              <w:spacing w:after="0"/>
              <w:rPr>
                <w:sz w:val="23"/>
                <w:szCs w:val="23"/>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2,094</w:t>
            </w:r>
          </w:p>
        </w:tc>
        <w:tc>
          <w:tcPr>
            <w:tcW w:w="260" w:type="dxa"/>
            <w:vAlign w:val="bottom"/>
            <w:shd w:val="clear" w:color="auto" w:fill="CFF0FC"/>
          </w:tcPr>
          <w:p>
            <w:pPr>
              <w:spacing w:after="0"/>
              <w:rPr>
                <w:sz w:val="23"/>
                <w:szCs w:val="23"/>
                <w:color w:val="auto"/>
              </w:rPr>
            </w:pPr>
          </w:p>
        </w:tc>
        <w:tc>
          <w:tcPr>
            <w:tcW w:w="120" w:type="dxa"/>
            <w:vAlign w:val="bottom"/>
            <w:shd w:val="clear" w:color="auto" w:fill="CFF0FC"/>
          </w:tcPr>
          <w:p>
            <w:pPr>
              <w:spacing w:after="0"/>
              <w:rPr>
                <w:sz w:val="20"/>
                <w:szCs w:val="20"/>
                <w:color w:val="auto"/>
              </w:rPr>
            </w:pPr>
            <w:r>
              <w:rPr>
                <w:rFonts w:ascii="Arial" w:cs="Arial" w:eastAsia="Arial" w:hAnsi="Arial"/>
                <w:sz w:val="16"/>
                <w:szCs w:val="16"/>
                <w:color w:val="auto"/>
              </w:rPr>
              <w:t>$</w:t>
            </w:r>
          </w:p>
        </w:tc>
        <w:tc>
          <w:tcPr>
            <w:tcW w:w="114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(62,935 )</w:t>
            </w:r>
          </w:p>
        </w:tc>
        <w:tc>
          <w:tcPr>
            <w:tcW w:w="20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701,354</w:t>
            </w:r>
          </w:p>
        </w:tc>
        <w:tc>
          <w:tcPr>
            <w:tcW w:w="100" w:type="dxa"/>
            <w:vAlign w:val="bottom"/>
            <w:shd w:val="clear" w:color="auto" w:fill="CFF0FC"/>
          </w:tcPr>
          <w:p>
            <w:pPr>
              <w:spacing w:after="0"/>
              <w:rPr>
                <w:sz w:val="23"/>
                <w:szCs w:val="23"/>
                <w:color w:val="auto"/>
              </w:rPr>
            </w:pPr>
          </w:p>
        </w:tc>
      </w:tr>
      <w:tr>
        <w:trPr>
          <w:trHeight w:val="203"/>
        </w:trPr>
        <w:tc>
          <w:tcPr>
            <w:tcW w:w="40" w:type="dxa"/>
            <w:vAlign w:val="bottom"/>
          </w:tcPr>
          <w:p>
            <w:pPr>
              <w:spacing w:after="0"/>
              <w:rPr>
                <w:sz w:val="17"/>
                <w:szCs w:val="17"/>
                <w:color w:val="auto"/>
              </w:rPr>
            </w:pPr>
          </w:p>
        </w:tc>
        <w:tc>
          <w:tcPr>
            <w:tcW w:w="3360" w:type="dxa"/>
            <w:vAlign w:val="bottom"/>
            <w:tcBorders>
              <w:top w:val="single" w:sz="8" w:color="CFF0FC"/>
            </w:tcBorders>
          </w:tcPr>
          <w:p>
            <w:pPr>
              <w:ind w:left="100"/>
              <w:spacing w:after="0"/>
              <w:rPr>
                <w:sz w:val="20"/>
                <w:szCs w:val="20"/>
                <w:color w:val="auto"/>
              </w:rPr>
            </w:pPr>
            <w:r>
              <w:rPr>
                <w:rFonts w:ascii="Arial" w:cs="Arial" w:eastAsia="Arial" w:hAnsi="Arial"/>
                <w:sz w:val="16"/>
                <w:szCs w:val="16"/>
                <w:color w:val="auto"/>
              </w:rPr>
              <w:t>Stock-based compensation expense</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80" w:type="dxa"/>
            <w:vAlign w:val="bottom"/>
            <w:tcBorders>
              <w:top w:val="single" w:sz="8" w:color="CFF0FC"/>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60" w:type="dxa"/>
            <w:vAlign w:val="bottom"/>
            <w:tcBorders>
              <w:top w:val="single" w:sz="8" w:color="CFF0FC"/>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5,979</w:t>
            </w:r>
          </w:p>
        </w:tc>
        <w:tc>
          <w:tcPr>
            <w:tcW w:w="260" w:type="dxa"/>
            <w:vAlign w:val="bottom"/>
            <w:tcBorders>
              <w:top w:val="single" w:sz="8" w:color="CFF0FC"/>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60" w:type="dxa"/>
            <w:vAlign w:val="bottom"/>
            <w:tcBorders>
              <w:top w:val="single" w:sz="8" w:color="CFF0FC"/>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60" w:type="dxa"/>
            <w:vAlign w:val="bottom"/>
            <w:tcBorders>
              <w:top w:val="single" w:sz="8" w:color="CFF0FC"/>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5,979</w:t>
            </w:r>
          </w:p>
        </w:tc>
        <w:tc>
          <w:tcPr>
            <w:tcW w:w="100" w:type="dxa"/>
            <w:vAlign w:val="bottom"/>
            <w:tcBorders>
              <w:top w:val="single" w:sz="8" w:color="CFF0FC"/>
            </w:tcBorders>
          </w:tcPr>
          <w:p>
            <w:pPr>
              <w:spacing w:after="0"/>
              <w:rPr>
                <w:sz w:val="17"/>
                <w:szCs w:val="17"/>
                <w:color w:val="auto"/>
              </w:rPr>
            </w:pPr>
          </w:p>
        </w:tc>
      </w:tr>
      <w:tr>
        <w:trPr>
          <w:trHeight w:val="239"/>
        </w:trPr>
        <w:tc>
          <w:tcPr>
            <w:tcW w:w="40" w:type="dxa"/>
            <w:vAlign w:val="bottom"/>
          </w:tcPr>
          <w:p>
            <w:pPr>
              <w:spacing w:after="0"/>
              <w:rPr>
                <w:sz w:val="20"/>
                <w:szCs w:val="20"/>
                <w:color w:val="auto"/>
              </w:rPr>
            </w:pPr>
          </w:p>
        </w:tc>
        <w:tc>
          <w:tcPr>
            <w:tcW w:w="3360" w:type="dxa"/>
            <w:vAlign w:val="bottom"/>
            <w:shd w:val="clear" w:color="auto" w:fill="CFF0FC"/>
          </w:tcPr>
          <w:p>
            <w:pPr>
              <w:ind w:left="100"/>
              <w:spacing w:after="0"/>
              <w:rPr>
                <w:sz w:val="20"/>
                <w:szCs w:val="20"/>
                <w:color w:val="auto"/>
              </w:rPr>
            </w:pPr>
            <w:r>
              <w:rPr>
                <w:rFonts w:ascii="Arial" w:cs="Arial" w:eastAsia="Arial" w:hAnsi="Arial"/>
                <w:sz w:val="16"/>
                <w:szCs w:val="16"/>
                <w:color w:val="auto"/>
                <w:w w:val="92"/>
              </w:rPr>
              <w:t>Issuance of common stock under employee plans</w:t>
            </w: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251,003</w:t>
            </w:r>
          </w:p>
        </w:tc>
        <w:tc>
          <w:tcPr>
            <w:tcW w:w="2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w:t>
            </w:r>
          </w:p>
        </w:tc>
        <w:tc>
          <w:tcPr>
            <w:tcW w:w="26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2,415</w:t>
            </w:r>
          </w:p>
        </w:tc>
        <w:tc>
          <w:tcPr>
            <w:tcW w:w="2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380" w:type="dxa"/>
            <w:vAlign w:val="bottom"/>
            <w:gridSpan w:val="2"/>
            <w:shd w:val="clear" w:color="auto" w:fill="CFF0FC"/>
          </w:tcPr>
          <w:p>
            <w:pPr>
              <w:jc w:val="right"/>
              <w:ind w:right="2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20"/>
                <w:szCs w:val="20"/>
                <w:color w:val="auto"/>
              </w:rPr>
            </w:pPr>
          </w:p>
        </w:tc>
        <w:tc>
          <w:tcPr>
            <w:tcW w:w="1140" w:type="dxa"/>
            <w:vAlign w:val="bottom"/>
            <w:gridSpan w:val="2"/>
            <w:shd w:val="clear" w:color="auto" w:fill="CFF0FC"/>
          </w:tcPr>
          <w:p>
            <w:pPr>
              <w:jc w:val="right"/>
              <w:ind w:right="2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20"/>
                <w:szCs w:val="20"/>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2,417</w:t>
            </w:r>
          </w:p>
        </w:tc>
        <w:tc>
          <w:tcPr>
            <w:tcW w:w="100" w:type="dxa"/>
            <w:vAlign w:val="bottom"/>
            <w:shd w:val="clear" w:color="auto" w:fill="CFF0FC"/>
          </w:tcPr>
          <w:p>
            <w:pPr>
              <w:spacing w:after="0"/>
              <w:rPr>
                <w:sz w:val="20"/>
                <w:szCs w:val="20"/>
                <w:color w:val="auto"/>
              </w:rPr>
            </w:pPr>
          </w:p>
        </w:tc>
      </w:tr>
      <w:tr>
        <w:trPr>
          <w:trHeight w:val="220"/>
        </w:trPr>
        <w:tc>
          <w:tcPr>
            <w:tcW w:w="40" w:type="dxa"/>
            <w:vAlign w:val="bottom"/>
          </w:tcPr>
          <w:p>
            <w:pPr>
              <w:spacing w:after="0"/>
              <w:rPr>
                <w:sz w:val="19"/>
                <w:szCs w:val="19"/>
                <w:color w:val="auto"/>
              </w:rPr>
            </w:pPr>
          </w:p>
        </w:tc>
        <w:tc>
          <w:tcPr>
            <w:tcW w:w="3360" w:type="dxa"/>
            <w:vAlign w:val="bottom"/>
          </w:tcPr>
          <w:p>
            <w:pPr>
              <w:ind w:left="100"/>
              <w:spacing w:after="0"/>
              <w:rPr>
                <w:sz w:val="20"/>
                <w:szCs w:val="20"/>
                <w:color w:val="auto"/>
              </w:rPr>
            </w:pPr>
            <w:r>
              <w:rPr>
                <w:rFonts w:ascii="Arial" w:cs="Arial" w:eastAsia="Arial" w:hAnsi="Arial"/>
                <w:sz w:val="16"/>
                <w:szCs w:val="16"/>
                <w:color w:val="auto"/>
              </w:rPr>
              <w:t>Vesting of restricted stock units</w:t>
            </w:r>
          </w:p>
        </w:tc>
        <w:tc>
          <w:tcPr>
            <w:tcW w:w="1040" w:type="dxa"/>
            <w:vAlign w:val="bottom"/>
          </w:tcPr>
          <w:p>
            <w:pPr>
              <w:jc w:val="right"/>
              <w:spacing w:after="0"/>
              <w:rPr>
                <w:sz w:val="20"/>
                <w:szCs w:val="20"/>
                <w:color w:val="auto"/>
              </w:rPr>
            </w:pPr>
            <w:r>
              <w:rPr>
                <w:rFonts w:ascii="Arial" w:cs="Arial" w:eastAsia="Arial" w:hAnsi="Arial"/>
                <w:sz w:val="16"/>
                <w:szCs w:val="16"/>
                <w:color w:val="auto"/>
              </w:rPr>
              <w:t>457,372</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5</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6"/>
                <w:szCs w:val="16"/>
                <w:color w:val="auto"/>
              </w:rPr>
              <w:t>(5 )</w:t>
            </w:r>
          </w:p>
        </w:tc>
        <w:tc>
          <w:tcPr>
            <w:tcW w:w="100" w:type="dxa"/>
            <w:vAlign w:val="bottom"/>
          </w:tcPr>
          <w:p>
            <w:pPr>
              <w:spacing w:after="0"/>
              <w:rPr>
                <w:sz w:val="19"/>
                <w:szCs w:val="19"/>
                <w:color w:val="auto"/>
              </w:rPr>
            </w:pPr>
          </w:p>
        </w:tc>
        <w:tc>
          <w:tcPr>
            <w:tcW w:w="138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114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9"/>
                <w:szCs w:val="19"/>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r>
      <w:tr>
        <w:trPr>
          <w:trHeight w:val="239"/>
        </w:trPr>
        <w:tc>
          <w:tcPr>
            <w:tcW w:w="40" w:type="dxa"/>
            <w:vAlign w:val="bottom"/>
          </w:tcPr>
          <w:p>
            <w:pPr>
              <w:spacing w:after="0"/>
              <w:rPr>
                <w:sz w:val="20"/>
                <w:szCs w:val="20"/>
                <w:color w:val="auto"/>
              </w:rPr>
            </w:pPr>
          </w:p>
        </w:tc>
        <w:tc>
          <w:tcPr>
            <w:tcW w:w="3360" w:type="dxa"/>
            <w:vAlign w:val="bottom"/>
            <w:shd w:val="clear" w:color="auto" w:fill="CFF0FC"/>
          </w:tcPr>
          <w:p>
            <w:pPr>
              <w:ind w:left="100"/>
              <w:spacing w:after="0"/>
              <w:rPr>
                <w:sz w:val="20"/>
                <w:szCs w:val="20"/>
                <w:color w:val="auto"/>
              </w:rPr>
            </w:pPr>
            <w:r>
              <w:rPr>
                <w:rFonts w:ascii="Arial" w:cs="Arial" w:eastAsia="Arial" w:hAnsi="Arial"/>
                <w:sz w:val="16"/>
                <w:szCs w:val="16"/>
                <w:color w:val="auto"/>
              </w:rPr>
              <w:t>Exercise of stock options</w:t>
            </w: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1,601,615</w:t>
            </w:r>
          </w:p>
        </w:tc>
        <w:tc>
          <w:tcPr>
            <w:tcW w:w="2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w:t>
            </w:r>
          </w:p>
        </w:tc>
        <w:tc>
          <w:tcPr>
            <w:tcW w:w="26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1,680</w:t>
            </w:r>
          </w:p>
        </w:tc>
        <w:tc>
          <w:tcPr>
            <w:tcW w:w="2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380" w:type="dxa"/>
            <w:vAlign w:val="bottom"/>
            <w:gridSpan w:val="2"/>
            <w:shd w:val="clear" w:color="auto" w:fill="CFF0FC"/>
          </w:tcPr>
          <w:p>
            <w:pPr>
              <w:jc w:val="right"/>
              <w:ind w:right="2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20"/>
                <w:szCs w:val="20"/>
                <w:color w:val="auto"/>
              </w:rPr>
            </w:pPr>
          </w:p>
        </w:tc>
        <w:tc>
          <w:tcPr>
            <w:tcW w:w="1140" w:type="dxa"/>
            <w:vAlign w:val="bottom"/>
            <w:gridSpan w:val="2"/>
            <w:shd w:val="clear" w:color="auto" w:fill="CFF0FC"/>
          </w:tcPr>
          <w:p>
            <w:pPr>
              <w:jc w:val="right"/>
              <w:ind w:right="2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20"/>
                <w:szCs w:val="20"/>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1,696</w:t>
            </w:r>
          </w:p>
        </w:tc>
        <w:tc>
          <w:tcPr>
            <w:tcW w:w="100" w:type="dxa"/>
            <w:vAlign w:val="bottom"/>
            <w:shd w:val="clear" w:color="auto" w:fill="CFF0FC"/>
          </w:tcPr>
          <w:p>
            <w:pPr>
              <w:spacing w:after="0"/>
              <w:rPr>
                <w:sz w:val="20"/>
                <w:szCs w:val="20"/>
                <w:color w:val="auto"/>
              </w:rPr>
            </w:pPr>
          </w:p>
        </w:tc>
      </w:tr>
      <w:tr>
        <w:trPr>
          <w:trHeight w:val="220"/>
        </w:trPr>
        <w:tc>
          <w:tcPr>
            <w:tcW w:w="40" w:type="dxa"/>
            <w:vAlign w:val="bottom"/>
          </w:tcPr>
          <w:p>
            <w:pPr>
              <w:spacing w:after="0"/>
              <w:rPr>
                <w:sz w:val="19"/>
                <w:szCs w:val="19"/>
                <w:color w:val="auto"/>
              </w:rPr>
            </w:pPr>
          </w:p>
        </w:tc>
        <w:tc>
          <w:tcPr>
            <w:tcW w:w="3360" w:type="dxa"/>
            <w:vAlign w:val="bottom"/>
          </w:tcPr>
          <w:p>
            <w:pPr>
              <w:ind w:left="100"/>
              <w:spacing w:after="0"/>
              <w:rPr>
                <w:sz w:val="20"/>
                <w:szCs w:val="20"/>
                <w:color w:val="auto"/>
              </w:rPr>
            </w:pPr>
            <w:r>
              <w:rPr>
                <w:rFonts w:ascii="Arial" w:cs="Arial" w:eastAsia="Arial" w:hAnsi="Arial"/>
                <w:sz w:val="16"/>
                <w:szCs w:val="16"/>
                <w:color w:val="auto"/>
              </w:rPr>
              <w:t>Gain on interest rate swap</w:t>
            </w: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301</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301</w:t>
            </w:r>
          </w:p>
        </w:tc>
        <w:tc>
          <w:tcPr>
            <w:tcW w:w="100" w:type="dxa"/>
            <w:vAlign w:val="bottom"/>
          </w:tcPr>
          <w:p>
            <w:pPr>
              <w:spacing w:after="0"/>
              <w:rPr>
                <w:sz w:val="19"/>
                <w:szCs w:val="19"/>
                <w:color w:val="auto"/>
              </w:rPr>
            </w:pPr>
          </w:p>
        </w:tc>
      </w:tr>
      <w:tr>
        <w:trPr>
          <w:trHeight w:val="232"/>
        </w:trPr>
        <w:tc>
          <w:tcPr>
            <w:tcW w:w="40" w:type="dxa"/>
            <w:vAlign w:val="bottom"/>
          </w:tcPr>
          <w:p>
            <w:pPr>
              <w:spacing w:after="0"/>
              <w:rPr>
                <w:sz w:val="20"/>
                <w:szCs w:val="20"/>
                <w:color w:val="auto"/>
              </w:rPr>
            </w:pPr>
          </w:p>
        </w:tc>
        <w:tc>
          <w:tcPr>
            <w:tcW w:w="3360" w:type="dxa"/>
            <w:vAlign w:val="bottom"/>
            <w:tcBorders>
              <w:bottom w:val="single" w:sz="8" w:color="CFF0FC"/>
            </w:tcBorders>
            <w:shd w:val="clear" w:color="auto" w:fill="CFF0FC"/>
          </w:tcPr>
          <w:p>
            <w:pPr>
              <w:ind w:left="100"/>
              <w:spacing w:after="0"/>
              <w:rPr>
                <w:sz w:val="20"/>
                <w:szCs w:val="20"/>
                <w:color w:val="auto"/>
              </w:rPr>
            </w:pPr>
            <w:r>
              <w:rPr>
                <w:rFonts w:ascii="Arial" w:cs="Arial" w:eastAsia="Arial" w:hAnsi="Arial"/>
                <w:sz w:val="16"/>
                <w:szCs w:val="16"/>
                <w:color w:val="auto"/>
              </w:rPr>
              <w:t>Net income</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spacing w:after="0"/>
              <w:rPr>
                <w:sz w:val="20"/>
                <w:szCs w:val="20"/>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spacing w:after="0"/>
              <w:rPr>
                <w:sz w:val="20"/>
                <w:szCs w:val="20"/>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auto"/>
            </w:tcBorders>
            <w:shd w:val="clear" w:color="auto" w:fill="CFF0FC"/>
          </w:tcPr>
          <w:p>
            <w:pPr>
              <w:spacing w:after="0"/>
              <w:rPr>
                <w:sz w:val="20"/>
                <w:szCs w:val="20"/>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spacing w:after="0"/>
              <w:rPr>
                <w:sz w:val="20"/>
                <w:szCs w:val="20"/>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35,659</w:t>
            </w:r>
          </w:p>
        </w:tc>
        <w:tc>
          <w:tcPr>
            <w:tcW w:w="26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spacing w:after="0"/>
              <w:rPr>
                <w:sz w:val="20"/>
                <w:szCs w:val="20"/>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35,659</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20"/>
        </w:trPr>
        <w:tc>
          <w:tcPr>
            <w:tcW w:w="40" w:type="dxa"/>
            <w:vAlign w:val="bottom"/>
          </w:tcPr>
          <w:p>
            <w:pPr>
              <w:spacing w:after="0"/>
              <w:rPr>
                <w:sz w:val="19"/>
                <w:szCs w:val="19"/>
                <w:color w:val="auto"/>
              </w:rPr>
            </w:pPr>
          </w:p>
        </w:tc>
        <w:tc>
          <w:tcPr>
            <w:tcW w:w="3360" w:type="dxa"/>
            <w:vAlign w:val="bottom"/>
          </w:tcPr>
          <w:p>
            <w:pPr>
              <w:spacing w:after="0"/>
              <w:rPr>
                <w:sz w:val="20"/>
                <w:szCs w:val="20"/>
                <w:color w:val="auto"/>
              </w:rPr>
            </w:pPr>
            <w:r>
              <w:rPr>
                <w:rFonts w:ascii="Arial" w:cs="Arial" w:eastAsia="Arial" w:hAnsi="Arial"/>
                <w:sz w:val="16"/>
                <w:szCs w:val="16"/>
                <w:b w:val="1"/>
                <w:bCs w:val="1"/>
                <w:color w:val="auto"/>
              </w:rPr>
              <w:t>Balance as of June 30, 2022</w:t>
            </w:r>
          </w:p>
        </w:tc>
        <w:tc>
          <w:tcPr>
            <w:tcW w:w="1040" w:type="dxa"/>
            <w:vAlign w:val="bottom"/>
          </w:tcPr>
          <w:p>
            <w:pPr>
              <w:jc w:val="right"/>
              <w:spacing w:after="0"/>
              <w:rPr>
                <w:sz w:val="20"/>
                <w:szCs w:val="20"/>
                <w:color w:val="auto"/>
              </w:rPr>
            </w:pPr>
            <w:r>
              <w:rPr>
                <w:rFonts w:ascii="Arial" w:cs="Arial" w:eastAsia="Arial" w:hAnsi="Arial"/>
                <w:sz w:val="16"/>
                <w:szCs w:val="16"/>
                <w:color w:val="auto"/>
              </w:rPr>
              <w:t>303,917,168</w:t>
            </w:r>
          </w:p>
        </w:tc>
        <w:tc>
          <w:tcPr>
            <w:tcW w:w="4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3,045</w:t>
            </w:r>
          </w:p>
        </w:tc>
        <w:tc>
          <w:tcPr>
            <w:tcW w:w="4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769,242</w:t>
            </w:r>
          </w:p>
        </w:tc>
        <w:tc>
          <w:tcPr>
            <w:tcW w:w="26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2,395</w:t>
            </w:r>
          </w:p>
        </w:tc>
        <w:tc>
          <w:tcPr>
            <w:tcW w:w="260" w:type="dxa"/>
            <w:vAlign w:val="bottom"/>
          </w:tcPr>
          <w:p>
            <w:pPr>
              <w:spacing w:after="0"/>
              <w:rPr>
                <w:sz w:val="19"/>
                <w:szCs w:val="19"/>
                <w:color w:val="auto"/>
              </w:rPr>
            </w:pPr>
          </w:p>
        </w:tc>
        <w:tc>
          <w:tcPr>
            <w:tcW w:w="120" w:type="dxa"/>
            <w:vAlign w:val="bottom"/>
          </w:tcPr>
          <w:p>
            <w:pPr>
              <w:spacing w:after="0"/>
              <w:rPr>
                <w:sz w:val="20"/>
                <w:szCs w:val="20"/>
                <w:color w:val="auto"/>
              </w:rPr>
            </w:pPr>
            <w:r>
              <w:rPr>
                <w:rFonts w:ascii="Arial" w:cs="Arial" w:eastAsia="Arial" w:hAnsi="Arial"/>
                <w:sz w:val="16"/>
                <w:szCs w:val="16"/>
                <w:color w:val="auto"/>
              </w:rPr>
              <w:t>$</w:t>
            </w:r>
          </w:p>
        </w:tc>
        <w:tc>
          <w:tcPr>
            <w:tcW w:w="1140" w:type="dxa"/>
            <w:vAlign w:val="bottom"/>
            <w:gridSpan w:val="2"/>
          </w:tcPr>
          <w:p>
            <w:pPr>
              <w:jc w:val="right"/>
              <w:ind w:right="180"/>
              <w:spacing w:after="0"/>
              <w:rPr>
                <w:sz w:val="20"/>
                <w:szCs w:val="20"/>
                <w:color w:val="auto"/>
              </w:rPr>
            </w:pPr>
            <w:r>
              <w:rPr>
                <w:rFonts w:ascii="Arial" w:cs="Arial" w:eastAsia="Arial" w:hAnsi="Arial"/>
                <w:sz w:val="16"/>
                <w:szCs w:val="16"/>
                <w:color w:val="auto"/>
              </w:rPr>
              <w:t xml:space="preserve">(27,276 </w:t>
            </w:r>
            <w:r>
              <w:rPr>
                <w:rFonts w:ascii="Arial" w:cs="Arial" w:eastAsia="Arial" w:hAnsi="Arial"/>
                <w:sz w:val="16"/>
                <w:szCs w:val="16"/>
                <w:color w:val="auto"/>
                <w:highlight w:val="white"/>
              </w:rPr>
              <w:t>)</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747,406</w:t>
            </w:r>
          </w:p>
        </w:tc>
        <w:tc>
          <w:tcPr>
            <w:tcW w:w="100" w:type="dxa"/>
            <w:vAlign w:val="bottom"/>
          </w:tcPr>
          <w:p>
            <w:pPr>
              <w:spacing w:after="0"/>
              <w:rPr>
                <w:sz w:val="19"/>
                <w:szCs w:val="19"/>
                <w:color w:val="auto"/>
              </w:rPr>
            </w:pPr>
          </w:p>
        </w:tc>
      </w:tr>
      <w:tr>
        <w:trPr>
          <w:trHeight w:val="239"/>
        </w:trPr>
        <w:tc>
          <w:tcPr>
            <w:tcW w:w="40" w:type="dxa"/>
            <w:vAlign w:val="bottom"/>
          </w:tcPr>
          <w:p>
            <w:pPr>
              <w:spacing w:after="0"/>
              <w:rPr>
                <w:sz w:val="20"/>
                <w:szCs w:val="20"/>
                <w:color w:val="auto"/>
              </w:rPr>
            </w:pPr>
          </w:p>
        </w:tc>
        <w:tc>
          <w:tcPr>
            <w:tcW w:w="3360" w:type="dxa"/>
            <w:vAlign w:val="bottom"/>
            <w:shd w:val="clear" w:color="auto" w:fill="CFF0FC"/>
          </w:tcPr>
          <w:p>
            <w:pPr>
              <w:ind w:left="100"/>
              <w:spacing w:after="0"/>
              <w:rPr>
                <w:sz w:val="20"/>
                <w:szCs w:val="20"/>
                <w:color w:val="auto"/>
              </w:rPr>
            </w:pPr>
            <w:r>
              <w:rPr>
                <w:rFonts w:ascii="Arial" w:cs="Arial" w:eastAsia="Arial" w:hAnsi="Arial"/>
                <w:sz w:val="16"/>
                <w:szCs w:val="16"/>
                <w:color w:val="auto"/>
              </w:rPr>
              <w:t>Stock-based compensation expense</w:t>
            </w: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5,461</w:t>
            </w:r>
          </w:p>
        </w:tc>
        <w:tc>
          <w:tcPr>
            <w:tcW w:w="2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380" w:type="dxa"/>
            <w:vAlign w:val="bottom"/>
            <w:gridSpan w:val="2"/>
            <w:shd w:val="clear" w:color="auto" w:fill="CFF0FC"/>
          </w:tcPr>
          <w:p>
            <w:pPr>
              <w:jc w:val="right"/>
              <w:ind w:right="2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20"/>
                <w:szCs w:val="20"/>
                <w:color w:val="auto"/>
              </w:rPr>
            </w:pPr>
          </w:p>
        </w:tc>
        <w:tc>
          <w:tcPr>
            <w:tcW w:w="1140" w:type="dxa"/>
            <w:vAlign w:val="bottom"/>
            <w:gridSpan w:val="2"/>
            <w:shd w:val="clear" w:color="auto" w:fill="CFF0FC"/>
          </w:tcPr>
          <w:p>
            <w:pPr>
              <w:jc w:val="right"/>
              <w:ind w:right="2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20"/>
                <w:szCs w:val="20"/>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5,461</w:t>
            </w:r>
          </w:p>
        </w:tc>
        <w:tc>
          <w:tcPr>
            <w:tcW w:w="100" w:type="dxa"/>
            <w:vAlign w:val="bottom"/>
            <w:shd w:val="clear" w:color="auto" w:fill="CFF0FC"/>
          </w:tcPr>
          <w:p>
            <w:pPr>
              <w:spacing w:after="0"/>
              <w:rPr>
                <w:sz w:val="20"/>
                <w:szCs w:val="20"/>
                <w:color w:val="auto"/>
              </w:rPr>
            </w:pPr>
          </w:p>
        </w:tc>
      </w:tr>
      <w:tr>
        <w:trPr>
          <w:trHeight w:val="220"/>
        </w:trPr>
        <w:tc>
          <w:tcPr>
            <w:tcW w:w="40" w:type="dxa"/>
            <w:vAlign w:val="bottom"/>
          </w:tcPr>
          <w:p>
            <w:pPr>
              <w:spacing w:after="0"/>
              <w:rPr>
                <w:sz w:val="19"/>
                <w:szCs w:val="19"/>
                <w:color w:val="auto"/>
              </w:rPr>
            </w:pPr>
          </w:p>
        </w:tc>
        <w:tc>
          <w:tcPr>
            <w:tcW w:w="3360" w:type="dxa"/>
            <w:vAlign w:val="bottom"/>
          </w:tcPr>
          <w:p>
            <w:pPr>
              <w:ind w:left="100"/>
              <w:spacing w:after="0"/>
              <w:rPr>
                <w:sz w:val="20"/>
                <w:szCs w:val="20"/>
                <w:color w:val="auto"/>
              </w:rPr>
            </w:pPr>
            <w:r>
              <w:rPr>
                <w:rFonts w:ascii="Arial" w:cs="Arial" w:eastAsia="Arial" w:hAnsi="Arial"/>
                <w:sz w:val="16"/>
                <w:szCs w:val="16"/>
                <w:color w:val="auto"/>
              </w:rPr>
              <w:t>Exercise of stock options</w:t>
            </w:r>
          </w:p>
        </w:tc>
        <w:tc>
          <w:tcPr>
            <w:tcW w:w="1040" w:type="dxa"/>
            <w:vAlign w:val="bottom"/>
          </w:tcPr>
          <w:p>
            <w:pPr>
              <w:jc w:val="right"/>
              <w:spacing w:after="0"/>
              <w:rPr>
                <w:sz w:val="20"/>
                <w:szCs w:val="20"/>
                <w:color w:val="auto"/>
              </w:rPr>
            </w:pPr>
            <w:r>
              <w:rPr>
                <w:rFonts w:ascii="Arial" w:cs="Arial" w:eastAsia="Arial" w:hAnsi="Arial"/>
                <w:sz w:val="16"/>
                <w:szCs w:val="16"/>
                <w:color w:val="auto"/>
              </w:rPr>
              <w:t>707,166</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7</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496</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114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503</w:t>
            </w:r>
          </w:p>
        </w:tc>
        <w:tc>
          <w:tcPr>
            <w:tcW w:w="100" w:type="dxa"/>
            <w:vAlign w:val="bottom"/>
          </w:tcPr>
          <w:p>
            <w:pPr>
              <w:spacing w:after="0"/>
              <w:rPr>
                <w:sz w:val="19"/>
                <w:szCs w:val="19"/>
                <w:color w:val="auto"/>
              </w:rPr>
            </w:pPr>
          </w:p>
        </w:tc>
      </w:tr>
      <w:tr>
        <w:trPr>
          <w:trHeight w:val="239"/>
        </w:trPr>
        <w:tc>
          <w:tcPr>
            <w:tcW w:w="40" w:type="dxa"/>
            <w:vAlign w:val="bottom"/>
          </w:tcPr>
          <w:p>
            <w:pPr>
              <w:spacing w:after="0"/>
              <w:rPr>
                <w:sz w:val="20"/>
                <w:szCs w:val="20"/>
                <w:color w:val="auto"/>
              </w:rPr>
            </w:pPr>
          </w:p>
        </w:tc>
        <w:tc>
          <w:tcPr>
            <w:tcW w:w="3360" w:type="dxa"/>
            <w:vAlign w:val="bottom"/>
            <w:shd w:val="clear" w:color="auto" w:fill="CFF0FC"/>
          </w:tcPr>
          <w:p>
            <w:pPr>
              <w:ind w:left="100"/>
              <w:spacing w:after="0"/>
              <w:rPr>
                <w:sz w:val="20"/>
                <w:szCs w:val="20"/>
                <w:color w:val="auto"/>
              </w:rPr>
            </w:pPr>
            <w:r>
              <w:rPr>
                <w:rFonts w:ascii="Arial" w:cs="Arial" w:eastAsia="Arial" w:hAnsi="Arial"/>
                <w:sz w:val="16"/>
                <w:szCs w:val="16"/>
                <w:color w:val="auto"/>
              </w:rPr>
              <w:t>Shares repurchased</w:t>
            </w: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060" w:type="dxa"/>
            <w:vAlign w:val="bottom"/>
            <w:gridSpan w:val="2"/>
            <w:shd w:val="clear" w:color="auto" w:fill="CFF0FC"/>
          </w:tcPr>
          <w:p>
            <w:pPr>
              <w:jc w:val="right"/>
              <w:ind w:right="2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20"/>
                <w:szCs w:val="20"/>
                <w:color w:val="auto"/>
              </w:rPr>
            </w:pPr>
          </w:p>
        </w:tc>
        <w:tc>
          <w:tcPr>
            <w:tcW w:w="1380" w:type="dxa"/>
            <w:vAlign w:val="bottom"/>
            <w:gridSpan w:val="2"/>
            <w:shd w:val="clear" w:color="auto" w:fill="CFF0FC"/>
          </w:tcPr>
          <w:p>
            <w:pPr>
              <w:jc w:val="right"/>
              <w:ind w:right="2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20"/>
                <w:szCs w:val="20"/>
                <w:color w:val="auto"/>
              </w:rPr>
            </w:pPr>
          </w:p>
        </w:tc>
        <w:tc>
          <w:tcPr>
            <w:tcW w:w="1140" w:type="dxa"/>
            <w:vAlign w:val="bottom"/>
            <w:gridSpan w:val="2"/>
            <w:shd w:val="clear" w:color="auto" w:fill="CFF0FC"/>
          </w:tcPr>
          <w:p>
            <w:pPr>
              <w:jc w:val="right"/>
              <w:ind w:right="2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20"/>
                <w:szCs w:val="20"/>
                <w:color w:val="auto"/>
              </w:rPr>
            </w:pPr>
          </w:p>
        </w:tc>
        <w:tc>
          <w:tcPr>
            <w:tcW w:w="100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r>
      <w:tr>
        <w:trPr>
          <w:trHeight w:val="220"/>
        </w:trPr>
        <w:tc>
          <w:tcPr>
            <w:tcW w:w="40" w:type="dxa"/>
            <w:vAlign w:val="bottom"/>
          </w:tcPr>
          <w:p>
            <w:pPr>
              <w:spacing w:after="0"/>
              <w:rPr>
                <w:sz w:val="19"/>
                <w:szCs w:val="19"/>
                <w:color w:val="auto"/>
              </w:rPr>
            </w:pPr>
          </w:p>
        </w:tc>
        <w:tc>
          <w:tcPr>
            <w:tcW w:w="3360" w:type="dxa"/>
            <w:vAlign w:val="bottom"/>
          </w:tcPr>
          <w:p>
            <w:pPr>
              <w:ind w:left="100"/>
              <w:spacing w:after="0"/>
              <w:rPr>
                <w:sz w:val="20"/>
                <w:szCs w:val="20"/>
                <w:color w:val="auto"/>
              </w:rPr>
            </w:pPr>
            <w:r>
              <w:rPr>
                <w:rFonts w:ascii="Arial" w:cs="Arial" w:eastAsia="Arial" w:hAnsi="Arial"/>
                <w:sz w:val="16"/>
                <w:szCs w:val="16"/>
                <w:color w:val="auto"/>
              </w:rPr>
              <w:t>Loss on interest rate swap</w:t>
            </w: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9"/>
                <w:szCs w:val="19"/>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6"/>
                <w:szCs w:val="16"/>
                <w:color w:val="auto"/>
              </w:rPr>
              <w:t>(1,795 )</w:t>
            </w:r>
          </w:p>
        </w:tc>
        <w:tc>
          <w:tcPr>
            <w:tcW w:w="120" w:type="dxa"/>
            <w:vAlign w:val="bottom"/>
          </w:tcPr>
          <w:p>
            <w:pPr>
              <w:spacing w:after="0"/>
              <w:rPr>
                <w:sz w:val="19"/>
                <w:szCs w:val="19"/>
                <w:color w:val="auto"/>
              </w:rPr>
            </w:pPr>
          </w:p>
        </w:tc>
        <w:tc>
          <w:tcPr>
            <w:tcW w:w="114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6"/>
                <w:szCs w:val="16"/>
                <w:color w:val="auto"/>
              </w:rPr>
              <w:t>(1,795 )</w:t>
            </w:r>
          </w:p>
        </w:tc>
      </w:tr>
      <w:tr>
        <w:trPr>
          <w:trHeight w:val="232"/>
        </w:trPr>
        <w:tc>
          <w:tcPr>
            <w:tcW w:w="40" w:type="dxa"/>
            <w:vAlign w:val="bottom"/>
          </w:tcPr>
          <w:p>
            <w:pPr>
              <w:spacing w:after="0"/>
              <w:rPr>
                <w:sz w:val="20"/>
                <w:szCs w:val="20"/>
                <w:color w:val="auto"/>
              </w:rPr>
            </w:pPr>
          </w:p>
        </w:tc>
        <w:tc>
          <w:tcPr>
            <w:tcW w:w="3360" w:type="dxa"/>
            <w:vAlign w:val="bottom"/>
            <w:tcBorders>
              <w:bottom w:val="single" w:sz="8" w:color="CFF0FC"/>
            </w:tcBorders>
            <w:shd w:val="clear" w:color="auto" w:fill="CFF0FC"/>
          </w:tcPr>
          <w:p>
            <w:pPr>
              <w:ind w:left="100"/>
              <w:spacing w:after="0"/>
              <w:rPr>
                <w:sz w:val="20"/>
                <w:szCs w:val="20"/>
                <w:color w:val="auto"/>
              </w:rPr>
            </w:pPr>
            <w:r>
              <w:rPr>
                <w:rFonts w:ascii="Arial" w:cs="Arial" w:eastAsia="Arial" w:hAnsi="Arial"/>
                <w:sz w:val="16"/>
                <w:szCs w:val="16"/>
                <w:color w:val="auto"/>
              </w:rPr>
              <w:t>Net income</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spacing w:after="0"/>
              <w:rPr>
                <w:sz w:val="20"/>
                <w:szCs w:val="20"/>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spacing w:after="0"/>
              <w:rPr>
                <w:sz w:val="20"/>
                <w:szCs w:val="20"/>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auto"/>
            </w:tcBorders>
            <w:shd w:val="clear" w:color="auto" w:fill="CFF0FC"/>
          </w:tcPr>
          <w:p>
            <w:pPr>
              <w:spacing w:after="0"/>
              <w:rPr>
                <w:sz w:val="20"/>
                <w:szCs w:val="20"/>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spacing w:after="0"/>
              <w:rPr>
                <w:sz w:val="20"/>
                <w:szCs w:val="20"/>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23,997</w:t>
            </w:r>
          </w:p>
        </w:tc>
        <w:tc>
          <w:tcPr>
            <w:tcW w:w="26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spacing w:after="0"/>
              <w:rPr>
                <w:sz w:val="20"/>
                <w:szCs w:val="20"/>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23,997</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26"/>
        </w:trPr>
        <w:tc>
          <w:tcPr>
            <w:tcW w:w="40" w:type="dxa"/>
            <w:vAlign w:val="bottom"/>
          </w:tcPr>
          <w:p>
            <w:pPr>
              <w:spacing w:after="0"/>
              <w:rPr>
                <w:sz w:val="19"/>
                <w:szCs w:val="19"/>
                <w:color w:val="auto"/>
              </w:rPr>
            </w:pPr>
          </w:p>
        </w:tc>
        <w:tc>
          <w:tcPr>
            <w:tcW w:w="3360" w:type="dxa"/>
            <w:vAlign w:val="bottom"/>
          </w:tcPr>
          <w:p>
            <w:pPr>
              <w:spacing w:after="0"/>
              <w:rPr>
                <w:sz w:val="20"/>
                <w:szCs w:val="20"/>
                <w:color w:val="auto"/>
              </w:rPr>
            </w:pPr>
            <w:r>
              <w:rPr>
                <w:rFonts w:ascii="Arial" w:cs="Arial" w:eastAsia="Arial" w:hAnsi="Arial"/>
                <w:sz w:val="16"/>
                <w:szCs w:val="16"/>
                <w:b w:val="1"/>
                <w:bCs w:val="1"/>
                <w:color w:val="auto"/>
              </w:rPr>
              <w:t>Balance as of September 30, 2022</w:t>
            </w:r>
          </w:p>
        </w:tc>
        <w:tc>
          <w:tcPr>
            <w:tcW w:w="1040" w:type="dxa"/>
            <w:vAlign w:val="bottom"/>
          </w:tcPr>
          <w:p>
            <w:pPr>
              <w:jc w:val="right"/>
              <w:spacing w:after="0"/>
              <w:rPr>
                <w:sz w:val="20"/>
                <w:szCs w:val="20"/>
                <w:color w:val="auto"/>
              </w:rPr>
            </w:pPr>
            <w:r>
              <w:rPr>
                <w:rFonts w:ascii="Arial" w:cs="Arial" w:eastAsia="Arial" w:hAnsi="Arial"/>
                <w:sz w:val="16"/>
                <w:szCs w:val="16"/>
                <w:color w:val="auto"/>
              </w:rPr>
              <w:t>304,624,334</w:t>
            </w:r>
          </w:p>
        </w:tc>
        <w:tc>
          <w:tcPr>
            <w:tcW w:w="4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3,052</w:t>
            </w:r>
          </w:p>
        </w:tc>
        <w:tc>
          <w:tcPr>
            <w:tcW w:w="4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775,199</w:t>
            </w:r>
          </w:p>
        </w:tc>
        <w:tc>
          <w:tcPr>
            <w:tcW w:w="26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600</w:t>
            </w:r>
          </w:p>
        </w:tc>
        <w:tc>
          <w:tcPr>
            <w:tcW w:w="260" w:type="dxa"/>
            <w:vAlign w:val="bottom"/>
          </w:tcPr>
          <w:p>
            <w:pPr>
              <w:spacing w:after="0"/>
              <w:rPr>
                <w:sz w:val="19"/>
                <w:szCs w:val="19"/>
                <w:color w:val="auto"/>
              </w:rPr>
            </w:pPr>
          </w:p>
        </w:tc>
        <w:tc>
          <w:tcPr>
            <w:tcW w:w="120" w:type="dxa"/>
            <w:vAlign w:val="bottom"/>
          </w:tcPr>
          <w:p>
            <w:pPr>
              <w:spacing w:after="0"/>
              <w:rPr>
                <w:sz w:val="20"/>
                <w:szCs w:val="20"/>
                <w:color w:val="auto"/>
              </w:rPr>
            </w:pPr>
            <w:r>
              <w:rPr>
                <w:rFonts w:ascii="Arial" w:cs="Arial" w:eastAsia="Arial" w:hAnsi="Arial"/>
                <w:sz w:val="16"/>
                <w:szCs w:val="16"/>
                <w:color w:val="auto"/>
              </w:rPr>
              <w:t>$</w:t>
            </w:r>
          </w:p>
        </w:tc>
        <w:tc>
          <w:tcPr>
            <w:tcW w:w="1140" w:type="dxa"/>
            <w:vAlign w:val="bottom"/>
            <w:gridSpan w:val="2"/>
          </w:tcPr>
          <w:p>
            <w:pPr>
              <w:jc w:val="right"/>
              <w:ind w:right="180"/>
              <w:spacing w:after="0"/>
              <w:rPr>
                <w:sz w:val="20"/>
                <w:szCs w:val="20"/>
                <w:color w:val="auto"/>
              </w:rPr>
            </w:pPr>
            <w:r>
              <w:rPr>
                <w:rFonts w:ascii="Arial" w:cs="Arial" w:eastAsia="Arial" w:hAnsi="Arial"/>
                <w:sz w:val="16"/>
                <w:szCs w:val="16"/>
                <w:color w:val="auto"/>
              </w:rPr>
              <w:t xml:space="preserve">(3,279 </w:t>
            </w:r>
            <w:r>
              <w:rPr>
                <w:rFonts w:ascii="Arial" w:cs="Arial" w:eastAsia="Arial" w:hAnsi="Arial"/>
                <w:sz w:val="16"/>
                <w:szCs w:val="16"/>
                <w:color w:val="auto"/>
                <w:highlight w:val="white"/>
              </w:rPr>
              <w:t>)</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775,572</w:t>
            </w:r>
          </w:p>
        </w:tc>
        <w:tc>
          <w:tcPr>
            <w:tcW w:w="100" w:type="dxa"/>
            <w:vAlign w:val="bottom"/>
          </w:tcPr>
          <w:p>
            <w:pPr>
              <w:spacing w:after="0"/>
              <w:rPr>
                <w:sz w:val="19"/>
                <w:szCs w:val="19"/>
                <w:color w:val="auto"/>
              </w:rPr>
            </w:pPr>
          </w:p>
        </w:tc>
      </w:tr>
      <w:tr>
        <w:trPr>
          <w:trHeight w:val="20"/>
        </w:trPr>
        <w:tc>
          <w:tcPr>
            <w:tcW w:w="4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2813685</wp:posOffset>
            </wp:positionH>
            <wp:positionV relativeFrom="paragraph">
              <wp:posOffset>-1960245</wp:posOffset>
            </wp:positionV>
            <wp:extent cx="4264025" cy="17145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4264025" cy="171450"/>
                    </a:xfrm>
                    <a:prstGeom prst="rect">
                      <a:avLst/>
                    </a:prstGeom>
                    <a:noFill/>
                  </pic:spPr>
                </pic:pic>
              </a:graphicData>
            </a:graphic>
          </wp:anchor>
        </w:drawing>
        <w:drawing>
          <wp:anchor simplePos="0" relativeHeight="251657728" behindDoc="1" locked="0" layoutInCell="0" allowOverlap="1">
            <wp:simplePos x="0" y="0"/>
            <wp:positionH relativeFrom="column">
              <wp:posOffset>2813685</wp:posOffset>
            </wp:positionH>
            <wp:positionV relativeFrom="paragraph">
              <wp:posOffset>-1061085</wp:posOffset>
            </wp:positionV>
            <wp:extent cx="76835" cy="15430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6835" cy="154305"/>
                    </a:xfrm>
                    <a:prstGeom prst="rect">
                      <a:avLst/>
                    </a:prstGeom>
                    <a:noFill/>
                  </pic:spPr>
                </pic:pic>
              </a:graphicData>
            </a:graphic>
          </wp:anchor>
        </w:drawing>
        <w:drawing>
          <wp:anchor simplePos="0" relativeHeight="251657728" behindDoc="1" locked="0" layoutInCell="0" allowOverlap="1">
            <wp:simplePos x="0" y="0"/>
            <wp:positionH relativeFrom="column">
              <wp:posOffset>3644265</wp:posOffset>
            </wp:positionH>
            <wp:positionV relativeFrom="paragraph">
              <wp:posOffset>-1061085</wp:posOffset>
            </wp:positionV>
            <wp:extent cx="68580" cy="15430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4406265</wp:posOffset>
            </wp:positionH>
            <wp:positionV relativeFrom="paragraph">
              <wp:posOffset>-1061085</wp:posOffset>
            </wp:positionV>
            <wp:extent cx="68580" cy="15430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5347970</wp:posOffset>
            </wp:positionH>
            <wp:positionV relativeFrom="paragraph">
              <wp:posOffset>-1061085</wp:posOffset>
            </wp:positionV>
            <wp:extent cx="68580" cy="15430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7009130</wp:posOffset>
            </wp:positionH>
            <wp:positionV relativeFrom="paragraph">
              <wp:posOffset>-1061085</wp:posOffset>
            </wp:positionV>
            <wp:extent cx="68580" cy="15430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2813685</wp:posOffset>
            </wp:positionH>
            <wp:positionV relativeFrom="paragraph">
              <wp:posOffset>-179070</wp:posOffset>
            </wp:positionV>
            <wp:extent cx="76835" cy="17970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6835" cy="179705"/>
                    </a:xfrm>
                    <a:prstGeom prst="rect">
                      <a:avLst/>
                    </a:prstGeom>
                    <a:noFill/>
                  </pic:spPr>
                </pic:pic>
              </a:graphicData>
            </a:graphic>
          </wp:anchor>
        </w:drawing>
        <w:drawing>
          <wp:anchor simplePos="0" relativeHeight="251657728" behindDoc="1" locked="0" layoutInCell="0" allowOverlap="1">
            <wp:simplePos x="0" y="0"/>
            <wp:positionH relativeFrom="column">
              <wp:posOffset>3644265</wp:posOffset>
            </wp:positionH>
            <wp:positionV relativeFrom="paragraph">
              <wp:posOffset>-179070</wp:posOffset>
            </wp:positionV>
            <wp:extent cx="68580" cy="17970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580" cy="179705"/>
                    </a:xfrm>
                    <a:prstGeom prst="rect">
                      <a:avLst/>
                    </a:prstGeom>
                    <a:noFill/>
                  </pic:spPr>
                </pic:pic>
              </a:graphicData>
            </a:graphic>
          </wp:anchor>
        </w:drawing>
        <w:drawing>
          <wp:anchor simplePos="0" relativeHeight="251657728" behindDoc="1" locked="0" layoutInCell="0" allowOverlap="1">
            <wp:simplePos x="0" y="0"/>
            <wp:positionH relativeFrom="column">
              <wp:posOffset>4406265</wp:posOffset>
            </wp:positionH>
            <wp:positionV relativeFrom="paragraph">
              <wp:posOffset>-179070</wp:posOffset>
            </wp:positionV>
            <wp:extent cx="68580" cy="17970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8580" cy="179705"/>
                    </a:xfrm>
                    <a:prstGeom prst="rect">
                      <a:avLst/>
                    </a:prstGeom>
                    <a:noFill/>
                  </pic:spPr>
                </pic:pic>
              </a:graphicData>
            </a:graphic>
          </wp:anchor>
        </w:drawing>
        <w:drawing>
          <wp:anchor simplePos="0" relativeHeight="251657728" behindDoc="1" locked="0" layoutInCell="0" allowOverlap="1">
            <wp:simplePos x="0" y="0"/>
            <wp:positionH relativeFrom="column">
              <wp:posOffset>5347970</wp:posOffset>
            </wp:positionH>
            <wp:positionV relativeFrom="paragraph">
              <wp:posOffset>-179070</wp:posOffset>
            </wp:positionV>
            <wp:extent cx="68580" cy="17970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8580" cy="179705"/>
                    </a:xfrm>
                    <a:prstGeom prst="rect">
                      <a:avLst/>
                    </a:prstGeom>
                    <a:noFill/>
                  </pic:spPr>
                </pic:pic>
              </a:graphicData>
            </a:graphic>
          </wp:anchor>
        </w:drawing>
        <w:drawing>
          <wp:anchor simplePos="0" relativeHeight="251657728" behindDoc="1" locked="0" layoutInCell="0" allowOverlap="1">
            <wp:simplePos x="0" y="0"/>
            <wp:positionH relativeFrom="column">
              <wp:posOffset>7009130</wp:posOffset>
            </wp:positionH>
            <wp:positionV relativeFrom="paragraph">
              <wp:posOffset>-179070</wp:posOffset>
            </wp:positionV>
            <wp:extent cx="68580" cy="17970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8580" cy="179705"/>
                    </a:xfrm>
                    <a:prstGeom prst="rect">
                      <a:avLst/>
                    </a:prstGeom>
                    <a:noFill/>
                  </pic:spPr>
                </pic:pic>
              </a:graphicData>
            </a:graphic>
          </wp:anchor>
        </w:drawing>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231F20"/>
        </w:rPr>
        <w:t>See accompanying notes to unaudited condensed consolidated financial statements.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70485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60" w:top="341" w:right="39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Mister Car Wash,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 amounts in thousands, except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1.  Nature of Business</w:t>
      </w:r>
    </w:p>
    <w:p>
      <w:pPr>
        <w:spacing w:after="0" w:line="121"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231F20"/>
        </w:rPr>
        <w:t xml:space="preserve">Mister Car Wash, Inc., a Delaware corporation, together with its subsidiaries (collectively, “we,” “us,” “our” or the </w:t>
      </w:r>
      <w:r>
        <w:rPr>
          <w:rFonts w:ascii="Arial" w:cs="Arial" w:eastAsia="Arial" w:hAnsi="Arial"/>
          <w:sz w:val="18"/>
          <w:szCs w:val="18"/>
          <w:color w:val="000000"/>
        </w:rPr>
        <w:t>“</w:t>
      </w:r>
      <w:r>
        <w:rPr>
          <w:rFonts w:ascii="Arial" w:cs="Arial" w:eastAsia="Arial" w:hAnsi="Arial"/>
          <w:sz w:val="18"/>
          <w:szCs w:val="18"/>
          <w:color w:val="231F20"/>
        </w:rPr>
        <w:t>Company</w:t>
      </w:r>
      <w:r>
        <w:rPr>
          <w:rFonts w:ascii="Arial" w:cs="Arial" w:eastAsia="Arial" w:hAnsi="Arial"/>
          <w:sz w:val="18"/>
          <w:szCs w:val="18"/>
          <w:color w:val="000000"/>
        </w:rPr>
        <w:t>”</w:t>
      </w:r>
      <w:r>
        <w:rPr>
          <w:rFonts w:ascii="Arial" w:cs="Arial" w:eastAsia="Arial" w:hAnsi="Arial"/>
          <w:sz w:val="18"/>
          <w:szCs w:val="18"/>
          <w:color w:val="231F20"/>
        </w:rPr>
        <w:t>), is based in Tucson, Arizona and is a provider of conveyorized car wash services. We primarily operate Express Exterior Locations, which offer express exterior cleaning services along with free vacuum services, and interior cleaning services at select locations. As of September 30, 2023, we operated 462 car washes in 21 states.</w:t>
      </w:r>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2.  Summary of Significant Accounting Policies</w:t>
      </w:r>
    </w:p>
    <w:p>
      <w:pPr>
        <w:spacing w:after="0" w:line="121" w:lineRule="exact"/>
        <w:rPr>
          <w:sz w:val="20"/>
          <w:szCs w:val="20"/>
          <w:color w:val="auto"/>
        </w:rPr>
      </w:pPr>
    </w:p>
    <w:p>
      <w:pPr>
        <w:jc w:val="both"/>
        <w:ind w:right="200"/>
        <w:spacing w:after="0" w:line="293" w:lineRule="auto"/>
        <w:rPr>
          <w:sz w:val="20"/>
          <w:szCs w:val="20"/>
          <w:color w:val="auto"/>
        </w:rPr>
      </w:pPr>
      <w:r>
        <w:rPr>
          <w:rFonts w:ascii="Arial" w:cs="Arial" w:eastAsia="Arial" w:hAnsi="Arial"/>
          <w:sz w:val="16"/>
          <w:szCs w:val="16"/>
          <w:color w:val="231F20"/>
        </w:rPr>
        <w:t>The accompanying unaudited condensed consolidated financial statements as of September 30, 2023 and for the three and nine months ended September 30, 2023 and 2022 have been prepared in accordance with accounting principles generally accepted in the United States of America (“U.S. GAAP”) and pursuant to the rules and regulations of the Securities and Exchange Commission (“SEC”) for interim financial statements. Certain information and note disclosures normally included in audited financial statements prepared in accordance with U.S. GAAP have been condensed or omitted pursuant to such rules and regulations. These unaudited condensed consolidated financial statements should be read in conjunction with our audited consolidated financial statements and the notes thereto for the year ended December 31, 2022 included in the 2022 Form 10-K.</w:t>
      </w:r>
    </w:p>
    <w:p>
      <w:pPr>
        <w:spacing w:after="0" w:line="55"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231F20"/>
        </w:rPr>
        <w:t>The unaudited condensed consolidated financial statements have been prepared on the same basis as the audited consolidated financial statements. In the opinion of management, the included disclosures are adequate, and the accompanying unaudited condensed consolidated financial statements contain all adjustments which are necessary for a fair presentation of our consolidated financial position as of September 30, 2023, consolidated results of operations and comprehensive income for the three and nine months ended September 30, 2023 and 2022, and consolidated cash flows for the nine months ended September 30, 2023 and 2022. Such adjustments are of a normal and recurring nature. The consolidated results of operations for the three and nine months ended September 30, 2023 are not necessarily indicative of the consolidated results of operations that may be expected for any other future interim or annual period.</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Principles of Consolidation</w:t>
      </w:r>
    </w:p>
    <w:p>
      <w:pPr>
        <w:spacing w:after="0" w:line="121"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231F20"/>
        </w:rPr>
        <w:t>The accompanying unaudited condensed consolidated financial statements include the accounts of the Company. All material intercompany balances and transactions have been eliminated in consolidation.</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Use of Estimates</w:t>
      </w:r>
    </w:p>
    <w:p>
      <w:pPr>
        <w:spacing w:after="0" w:line="121"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231F20"/>
        </w:rPr>
        <w:t>The preparation of the unaudited condensed consolidated financial statements in conformity with U.S. GAAP requires management to make estimates and assumptions that affect the reported amounts of assets and liabilities and the disclosure of contingent assets and liabilities at the date of the financial statements. Estimates also affect the reported amounts of revenue and expenses during the periods reported. Some of the significant estimates that we have made pertain to the determination of deferred tax assets and liabilities; estimates utilized to determine the fair value of assets acquired and liabilities assumed in business combinations and the related goodwill and intangibles; and certain assumptions used related to the evaluation of goodwill, intangibles, and property and equipment asset impairment. Actual results could differ from those estimates.</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Accounts Receivable, Net</w:t>
      </w:r>
    </w:p>
    <w:p>
      <w:pPr>
        <w:spacing w:after="0" w:line="121" w:lineRule="exact"/>
        <w:rPr>
          <w:sz w:val="20"/>
          <w:szCs w:val="20"/>
          <w:color w:val="auto"/>
        </w:rPr>
      </w:pPr>
    </w:p>
    <w:p>
      <w:pPr>
        <w:ind w:right="600"/>
        <w:spacing w:after="0" w:line="341" w:lineRule="auto"/>
        <w:rPr>
          <w:sz w:val="20"/>
          <w:szCs w:val="20"/>
          <w:color w:val="auto"/>
        </w:rPr>
      </w:pPr>
      <w:r>
        <w:rPr>
          <w:rFonts w:ascii="Arial" w:cs="Arial" w:eastAsia="Arial" w:hAnsi="Arial"/>
          <w:sz w:val="16"/>
          <w:szCs w:val="16"/>
          <w:color w:val="231F20"/>
        </w:rPr>
        <w:t>Accounts receivable are presented net of an allowance for doubtful accounts of $78 and $76 as of September 30, 2023 and December 31, 2022, respectively. The activity in the allowance for doubtful accounts was immaterial for the three and nine months ended September 30, 2023 and 2022.</w:t>
      </w:r>
    </w:p>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320" w:type="dxa"/>
            <w:vAlign w:val="bottom"/>
          </w:tcPr>
          <w:p>
            <w:pPr>
              <w:spacing w:after="0"/>
              <w:rPr>
                <w:sz w:val="20"/>
                <w:szCs w:val="20"/>
                <w:color w:val="auto"/>
              </w:rPr>
            </w:pPr>
            <w:r>
              <w:rPr>
                <w:rFonts w:ascii="Arial" w:cs="Arial" w:eastAsia="Arial" w:hAnsi="Arial"/>
                <w:sz w:val="18"/>
                <w:szCs w:val="18"/>
                <w:b w:val="1"/>
                <w:bCs w:val="1"/>
                <w:color w:val="231F20"/>
              </w:rPr>
              <w:t>Other Receivables</w:t>
            </w:r>
          </w:p>
        </w:tc>
        <w:tc>
          <w:tcPr>
            <w:tcW w:w="20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5320" w:type="dxa"/>
            <w:vAlign w:val="bottom"/>
          </w:tcPr>
          <w:p>
            <w:pPr>
              <w:spacing w:after="0"/>
              <w:rPr>
                <w:sz w:val="20"/>
                <w:szCs w:val="20"/>
                <w:color w:val="auto"/>
              </w:rPr>
            </w:pPr>
            <w:r>
              <w:rPr>
                <w:rFonts w:ascii="Arial" w:cs="Arial" w:eastAsia="Arial" w:hAnsi="Arial"/>
                <w:sz w:val="18"/>
                <w:szCs w:val="18"/>
                <w:color w:val="231F20"/>
                <w:w w:val="95"/>
              </w:rPr>
              <w:t>Other receivables consisted of the following for the periods presented:</w:t>
            </w:r>
          </w:p>
        </w:tc>
        <w:tc>
          <w:tcPr>
            <w:tcW w:w="2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4"/>
        </w:trPr>
        <w:tc>
          <w:tcPr>
            <w:tcW w:w="532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As of</w:t>
            </w:r>
          </w:p>
        </w:tc>
        <w:tc>
          <w:tcPr>
            <w:tcW w:w="17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532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w w:val="89"/>
              </w:rPr>
              <w:t>September 30, 2023</w:t>
            </w: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0"/>
              </w:rPr>
              <w:t>December 31, 2022</w:t>
            </w:r>
          </w:p>
        </w:tc>
        <w:tc>
          <w:tcPr>
            <w:tcW w:w="0" w:type="dxa"/>
            <w:vAlign w:val="bottom"/>
          </w:tcPr>
          <w:p>
            <w:pPr>
              <w:spacing w:after="0"/>
              <w:rPr>
                <w:sz w:val="1"/>
                <w:szCs w:val="1"/>
                <w:color w:val="auto"/>
              </w:rPr>
            </w:pPr>
          </w:p>
        </w:tc>
      </w:tr>
      <w:tr>
        <w:trPr>
          <w:trHeight w:val="240"/>
        </w:trPr>
        <w:tc>
          <w:tcPr>
            <w:tcW w:w="5320" w:type="dxa"/>
            <w:vAlign w:val="bottom"/>
            <w:shd w:val="clear" w:color="auto" w:fill="CFF0FC"/>
          </w:tcPr>
          <w:p>
            <w:pPr>
              <w:ind w:left="20"/>
              <w:spacing w:after="0"/>
              <w:rPr>
                <w:sz w:val="20"/>
                <w:szCs w:val="20"/>
                <w:color w:val="auto"/>
              </w:rPr>
            </w:pPr>
            <w:r>
              <w:rPr>
                <w:rFonts w:ascii="Arial" w:cs="Arial" w:eastAsia="Arial" w:hAnsi="Arial"/>
                <w:sz w:val="18"/>
                <w:szCs w:val="18"/>
                <w:color w:val="auto"/>
              </w:rPr>
              <w:t>Payroll tax withholding and exercise proceeds receivable</w:t>
            </w:r>
          </w:p>
        </w:tc>
        <w:tc>
          <w:tcPr>
            <w:tcW w:w="2020" w:type="dxa"/>
            <w:vAlign w:val="bottom"/>
            <w:shd w:val="clear" w:color="auto" w:fill="CFF0FC"/>
          </w:tcPr>
          <w:p>
            <w:pPr>
              <w:spacing w:after="0"/>
              <w:rPr>
                <w:sz w:val="20"/>
                <w:szCs w:val="20"/>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8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31</w:t>
            </w:r>
          </w:p>
        </w:tc>
        <w:tc>
          <w:tcPr>
            <w:tcW w:w="100" w:type="dxa"/>
            <w:vAlign w:val="bottom"/>
            <w:shd w:val="clear" w:color="auto" w:fill="CFF0FC"/>
          </w:tcPr>
          <w:p>
            <w:pPr>
              <w:spacing w:after="0"/>
              <w:rPr>
                <w:sz w:val="20"/>
                <w:szCs w:val="20"/>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7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273</w:t>
            </w:r>
          </w:p>
        </w:tc>
        <w:tc>
          <w:tcPr>
            <w:tcW w:w="0" w:type="dxa"/>
            <w:vAlign w:val="bottom"/>
          </w:tcPr>
          <w:p>
            <w:pPr>
              <w:spacing w:after="0"/>
              <w:rPr>
                <w:sz w:val="1"/>
                <w:szCs w:val="1"/>
                <w:color w:val="auto"/>
              </w:rPr>
            </w:pPr>
          </w:p>
        </w:tc>
      </w:tr>
      <w:tr>
        <w:trPr>
          <w:trHeight w:val="236"/>
        </w:trPr>
        <w:tc>
          <w:tcPr>
            <w:tcW w:w="5320" w:type="dxa"/>
            <w:vAlign w:val="bottom"/>
          </w:tcPr>
          <w:p>
            <w:pPr>
              <w:ind w:left="20"/>
              <w:spacing w:after="0"/>
              <w:rPr>
                <w:sz w:val="20"/>
                <w:szCs w:val="20"/>
                <w:color w:val="auto"/>
              </w:rPr>
            </w:pPr>
            <w:r>
              <w:rPr>
                <w:rFonts w:ascii="Arial" w:cs="Arial" w:eastAsia="Arial" w:hAnsi="Arial"/>
                <w:sz w:val="18"/>
                <w:szCs w:val="18"/>
                <w:color w:val="auto"/>
              </w:rPr>
              <w:t>Construction receivable</w:t>
            </w:r>
          </w:p>
        </w:tc>
        <w:tc>
          <w:tcPr>
            <w:tcW w:w="20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0" w:type="dxa"/>
            <w:vAlign w:val="bottom"/>
          </w:tcPr>
          <w:p>
            <w:pPr>
              <w:jc w:val="right"/>
              <w:ind w:right="30"/>
              <w:spacing w:after="0"/>
              <w:rPr>
                <w:sz w:val="20"/>
                <w:szCs w:val="20"/>
                <w:color w:val="auto"/>
              </w:rPr>
            </w:pPr>
            <w:r>
              <w:rPr>
                <w:rFonts w:ascii="Arial" w:cs="Arial" w:eastAsia="Arial" w:hAnsi="Arial"/>
                <w:sz w:val="18"/>
                <w:szCs w:val="18"/>
                <w:color w:val="auto"/>
              </w:rPr>
              <w:t>7,600</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40" w:type="dxa"/>
            <w:vAlign w:val="bottom"/>
          </w:tcPr>
          <w:p>
            <w:pPr>
              <w:jc w:val="right"/>
              <w:ind w:right="30"/>
              <w:spacing w:after="0"/>
              <w:rPr>
                <w:sz w:val="20"/>
                <w:szCs w:val="20"/>
                <w:color w:val="auto"/>
              </w:rPr>
            </w:pPr>
            <w:r>
              <w:rPr>
                <w:rFonts w:ascii="Arial" w:cs="Arial" w:eastAsia="Arial" w:hAnsi="Arial"/>
                <w:sz w:val="18"/>
                <w:szCs w:val="18"/>
                <w:color w:val="auto"/>
              </w:rPr>
              <w:t>6,199</w:t>
            </w:r>
          </w:p>
        </w:tc>
        <w:tc>
          <w:tcPr>
            <w:tcW w:w="0" w:type="dxa"/>
            <w:vAlign w:val="bottom"/>
          </w:tcPr>
          <w:p>
            <w:pPr>
              <w:spacing w:after="0"/>
              <w:rPr>
                <w:sz w:val="1"/>
                <w:szCs w:val="1"/>
                <w:color w:val="auto"/>
              </w:rPr>
            </w:pPr>
          </w:p>
        </w:tc>
      </w:tr>
      <w:tr>
        <w:trPr>
          <w:trHeight w:val="249"/>
        </w:trPr>
        <w:tc>
          <w:tcPr>
            <w:tcW w:w="532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Income tax receivable</w:t>
            </w:r>
          </w:p>
        </w:tc>
        <w:tc>
          <w:tcPr>
            <w:tcW w:w="20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8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2,208</w:t>
            </w:r>
          </w:p>
        </w:tc>
        <w:tc>
          <w:tcPr>
            <w:tcW w:w="1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7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4,387</w:t>
            </w:r>
          </w:p>
        </w:tc>
        <w:tc>
          <w:tcPr>
            <w:tcW w:w="0" w:type="dxa"/>
            <w:vAlign w:val="bottom"/>
          </w:tcPr>
          <w:p>
            <w:pPr>
              <w:spacing w:after="0"/>
              <w:rPr>
                <w:sz w:val="1"/>
                <w:szCs w:val="1"/>
                <w:color w:val="auto"/>
              </w:rPr>
            </w:pPr>
          </w:p>
        </w:tc>
      </w:tr>
      <w:tr>
        <w:trPr>
          <w:trHeight w:val="236"/>
        </w:trPr>
        <w:tc>
          <w:tcPr>
            <w:tcW w:w="5320" w:type="dxa"/>
            <w:vAlign w:val="bottom"/>
          </w:tcPr>
          <w:p>
            <w:pPr>
              <w:ind w:left="20"/>
              <w:spacing w:after="0"/>
              <w:rPr>
                <w:sz w:val="20"/>
                <w:szCs w:val="20"/>
                <w:color w:val="auto"/>
              </w:rPr>
            </w:pPr>
            <w:r>
              <w:rPr>
                <w:rFonts w:ascii="Arial" w:cs="Arial" w:eastAsia="Arial" w:hAnsi="Arial"/>
                <w:sz w:val="18"/>
                <w:szCs w:val="18"/>
                <w:color w:val="auto"/>
              </w:rPr>
              <w:t>Insurance receivable</w:t>
            </w:r>
          </w:p>
        </w:tc>
        <w:tc>
          <w:tcPr>
            <w:tcW w:w="20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0" w:type="dxa"/>
            <w:vAlign w:val="bottom"/>
          </w:tcPr>
          <w:p>
            <w:pPr>
              <w:jc w:val="right"/>
              <w:ind w:right="30"/>
              <w:spacing w:after="0"/>
              <w:rPr>
                <w:sz w:val="20"/>
                <w:szCs w:val="20"/>
                <w:color w:val="auto"/>
              </w:rPr>
            </w:pPr>
            <w:r>
              <w:rPr>
                <w:rFonts w:ascii="Arial" w:cs="Arial" w:eastAsia="Arial" w:hAnsi="Arial"/>
                <w:sz w:val="18"/>
                <w:szCs w:val="18"/>
                <w:color w:val="auto"/>
              </w:rPr>
              <w:t>3,771</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40" w:type="dxa"/>
            <w:vAlign w:val="bottom"/>
          </w:tcPr>
          <w:p>
            <w:pPr>
              <w:jc w:val="right"/>
              <w:ind w:right="30"/>
              <w:spacing w:after="0"/>
              <w:rPr>
                <w:sz w:val="20"/>
                <w:szCs w:val="20"/>
                <w:color w:val="auto"/>
              </w:rPr>
            </w:pPr>
            <w:r>
              <w:rPr>
                <w:rFonts w:ascii="Arial" w:cs="Arial" w:eastAsia="Arial" w:hAnsi="Arial"/>
                <w:sz w:val="18"/>
                <w:szCs w:val="18"/>
                <w:color w:val="auto"/>
              </w:rPr>
              <w:t>2,627</w:t>
            </w:r>
          </w:p>
        </w:tc>
        <w:tc>
          <w:tcPr>
            <w:tcW w:w="0" w:type="dxa"/>
            <w:vAlign w:val="bottom"/>
          </w:tcPr>
          <w:p>
            <w:pPr>
              <w:spacing w:after="0"/>
              <w:rPr>
                <w:sz w:val="1"/>
                <w:szCs w:val="1"/>
                <w:color w:val="auto"/>
              </w:rPr>
            </w:pPr>
          </w:p>
        </w:tc>
      </w:tr>
      <w:tr>
        <w:trPr>
          <w:trHeight w:val="249"/>
        </w:trPr>
        <w:tc>
          <w:tcPr>
            <w:tcW w:w="53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Other</w:t>
            </w:r>
          </w:p>
        </w:tc>
        <w:tc>
          <w:tcPr>
            <w:tcW w:w="202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180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1,377</w:t>
            </w:r>
          </w:p>
        </w:tc>
        <w:tc>
          <w:tcPr>
            <w:tcW w:w="10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17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1,696</w:t>
            </w:r>
          </w:p>
        </w:tc>
        <w:tc>
          <w:tcPr>
            <w:tcW w:w="0" w:type="dxa"/>
            <w:vAlign w:val="bottom"/>
          </w:tcPr>
          <w:p>
            <w:pPr>
              <w:spacing w:after="0"/>
              <w:rPr>
                <w:sz w:val="1"/>
                <w:szCs w:val="1"/>
                <w:color w:val="auto"/>
              </w:rPr>
            </w:pPr>
          </w:p>
        </w:tc>
      </w:tr>
      <w:tr>
        <w:trPr>
          <w:trHeight w:val="236"/>
        </w:trPr>
        <w:tc>
          <w:tcPr>
            <w:tcW w:w="5320" w:type="dxa"/>
            <w:vAlign w:val="bottom"/>
          </w:tcPr>
          <w:p>
            <w:pPr>
              <w:ind w:left="200"/>
              <w:spacing w:after="0"/>
              <w:rPr>
                <w:sz w:val="20"/>
                <w:szCs w:val="20"/>
                <w:color w:val="auto"/>
              </w:rPr>
            </w:pPr>
            <w:r>
              <w:rPr>
                <w:rFonts w:ascii="Arial" w:cs="Arial" w:eastAsia="Arial" w:hAnsi="Arial"/>
                <w:sz w:val="18"/>
                <w:szCs w:val="18"/>
                <w:color w:val="auto"/>
              </w:rPr>
              <w:t>Total other receivables</w:t>
            </w:r>
          </w:p>
        </w:tc>
        <w:tc>
          <w:tcPr>
            <w:tcW w:w="2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800" w:type="dxa"/>
            <w:vAlign w:val="bottom"/>
          </w:tcPr>
          <w:p>
            <w:pPr>
              <w:jc w:val="right"/>
              <w:ind w:right="30"/>
              <w:spacing w:after="0"/>
              <w:rPr>
                <w:sz w:val="20"/>
                <w:szCs w:val="20"/>
                <w:color w:val="auto"/>
              </w:rPr>
            </w:pPr>
            <w:r>
              <w:rPr>
                <w:rFonts w:ascii="Arial" w:cs="Arial" w:eastAsia="Arial" w:hAnsi="Arial"/>
                <w:sz w:val="18"/>
                <w:szCs w:val="18"/>
                <w:color w:val="auto"/>
              </w:rPr>
              <w:t>14,987</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740" w:type="dxa"/>
            <w:vAlign w:val="bottom"/>
          </w:tcPr>
          <w:p>
            <w:pPr>
              <w:jc w:val="right"/>
              <w:ind w:right="30"/>
              <w:spacing w:after="0"/>
              <w:rPr>
                <w:sz w:val="20"/>
                <w:szCs w:val="20"/>
                <w:color w:val="auto"/>
              </w:rPr>
            </w:pPr>
            <w:r>
              <w:rPr>
                <w:rFonts w:ascii="Arial" w:cs="Arial" w:eastAsia="Arial" w:hAnsi="Arial"/>
                <w:sz w:val="18"/>
                <w:szCs w:val="18"/>
                <w:color w:val="auto"/>
              </w:rPr>
              <w:t>15,182</w:t>
            </w:r>
          </w:p>
        </w:tc>
        <w:tc>
          <w:tcPr>
            <w:tcW w:w="0" w:type="dxa"/>
            <w:vAlign w:val="bottom"/>
          </w:tcPr>
          <w:p>
            <w:pPr>
              <w:spacing w:after="0"/>
              <w:rPr>
                <w:sz w:val="1"/>
                <w:szCs w:val="1"/>
                <w:color w:val="auto"/>
              </w:rPr>
            </w:pPr>
          </w:p>
        </w:tc>
      </w:tr>
      <w:tr>
        <w:trPr>
          <w:trHeight w:val="20"/>
        </w:trPr>
        <w:tc>
          <w:tcPr>
            <w:tcW w:w="5320" w:type="dxa"/>
            <w:vAlign w:val="bottom"/>
          </w:tcPr>
          <w:p>
            <w:pPr>
              <w:spacing w:after="0" w:line="20" w:lineRule="exact"/>
              <w:rPr>
                <w:sz w:val="1"/>
                <w:szCs w:val="1"/>
                <w:color w:val="auto"/>
              </w:rPr>
            </w:pPr>
          </w:p>
        </w:tc>
        <w:tc>
          <w:tcPr>
            <w:tcW w:w="2020" w:type="dxa"/>
            <w:vAlign w:val="bottom"/>
            <w:vMerge w:val="restart"/>
          </w:tcPr>
          <w:p>
            <w:pPr>
              <w:jc w:val="right"/>
              <w:ind w:right="1590"/>
              <w:spacing w:after="0"/>
              <w:rPr>
                <w:sz w:val="20"/>
                <w:szCs w:val="20"/>
                <w:color w:val="auto"/>
              </w:rPr>
            </w:pPr>
            <w:r>
              <w:rPr>
                <w:rFonts w:ascii="Arial" w:cs="Arial" w:eastAsia="Arial" w:hAnsi="Arial"/>
                <w:sz w:val="18"/>
                <w:szCs w:val="18"/>
                <w:color w:val="auto"/>
              </w:rPr>
              <w:t>8</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1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5320" w:type="dxa"/>
            <w:vAlign w:val="bottom"/>
          </w:tcPr>
          <w:p>
            <w:pPr>
              <w:spacing w:after="0"/>
              <w:rPr>
                <w:sz w:val="24"/>
                <w:szCs w:val="24"/>
                <w:color w:val="auto"/>
              </w:rPr>
            </w:pPr>
          </w:p>
        </w:tc>
        <w:tc>
          <w:tcPr>
            <w:tcW w:w="202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5320" w:type="dxa"/>
            <w:vAlign w:val="bottom"/>
            <w:tcBorders>
              <w:bottom w:val="single" w:sz="8" w:color="9A9A9A"/>
            </w:tcBorders>
          </w:tcPr>
          <w:p>
            <w:pPr>
              <w:spacing w:after="0"/>
              <w:rPr>
                <w:sz w:val="8"/>
                <w:szCs w:val="8"/>
                <w:color w:val="auto"/>
              </w:rPr>
            </w:pPr>
          </w:p>
        </w:tc>
        <w:tc>
          <w:tcPr>
            <w:tcW w:w="202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180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174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5887085</wp:posOffset>
            </wp:positionH>
            <wp:positionV relativeFrom="paragraph">
              <wp:posOffset>-538480</wp:posOffset>
            </wp:positionV>
            <wp:extent cx="68580" cy="18859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234"/>
        </w:trPr>
        <w:tc>
          <w:tcPr>
            <w:tcW w:w="7340" w:type="dxa"/>
            <w:vAlign w:val="bottom"/>
          </w:tcPr>
          <w:p>
            <w:pPr>
              <w:spacing w:after="0"/>
              <w:rPr>
                <w:sz w:val="20"/>
                <w:szCs w:val="20"/>
                <w:color w:val="auto"/>
              </w:rPr>
            </w:pPr>
            <w:r>
              <w:rPr>
                <w:rFonts w:ascii="Arial" w:cs="Arial" w:eastAsia="Arial" w:hAnsi="Arial"/>
                <w:sz w:val="18"/>
                <w:szCs w:val="18"/>
                <w:b w:val="1"/>
                <w:bCs w:val="1"/>
                <w:color w:val="231F20"/>
              </w:rPr>
              <w:t>Inventory, Net</w:t>
            </w:r>
          </w:p>
        </w:tc>
        <w:tc>
          <w:tcPr>
            <w:tcW w:w="14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40" w:type="dxa"/>
            <w:vAlign w:val="bottom"/>
          </w:tcPr>
          <w:p>
            <w:pPr>
              <w:spacing w:after="0"/>
              <w:rPr>
                <w:sz w:val="20"/>
                <w:szCs w:val="20"/>
                <w:color w:val="auto"/>
              </w:rPr>
            </w:pPr>
          </w:p>
        </w:tc>
      </w:tr>
      <w:tr>
        <w:trPr>
          <w:trHeight w:val="324"/>
        </w:trPr>
        <w:tc>
          <w:tcPr>
            <w:tcW w:w="7340" w:type="dxa"/>
            <w:vAlign w:val="bottom"/>
          </w:tcPr>
          <w:p>
            <w:pPr>
              <w:spacing w:after="0"/>
              <w:rPr>
                <w:sz w:val="20"/>
                <w:szCs w:val="20"/>
                <w:color w:val="auto"/>
              </w:rPr>
            </w:pPr>
            <w:r>
              <w:rPr>
                <w:rFonts w:ascii="Arial" w:cs="Arial" w:eastAsia="Arial" w:hAnsi="Arial"/>
                <w:sz w:val="18"/>
                <w:szCs w:val="18"/>
                <w:color w:val="231F20"/>
              </w:rPr>
              <w:t>Inventory consisted of the following for the periods presented:</w:t>
            </w:r>
          </w:p>
        </w:tc>
        <w:tc>
          <w:tcPr>
            <w:tcW w:w="14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40" w:type="dxa"/>
            <w:vAlign w:val="bottom"/>
          </w:tcPr>
          <w:p>
            <w:pPr>
              <w:spacing w:after="0"/>
              <w:rPr>
                <w:sz w:val="24"/>
                <w:szCs w:val="24"/>
                <w:color w:val="auto"/>
              </w:rPr>
            </w:pPr>
          </w:p>
        </w:tc>
      </w:tr>
      <w:tr>
        <w:trPr>
          <w:trHeight w:val="344"/>
        </w:trPr>
        <w:tc>
          <w:tcPr>
            <w:tcW w:w="734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As of</w:t>
            </w:r>
          </w:p>
        </w:tc>
        <w:tc>
          <w:tcPr>
            <w:tcW w:w="1740" w:type="dxa"/>
            <w:vAlign w:val="bottom"/>
            <w:tcBorders>
              <w:bottom w:val="single" w:sz="8" w:color="auto"/>
            </w:tcBorders>
          </w:tcPr>
          <w:p>
            <w:pPr>
              <w:spacing w:after="0"/>
              <w:rPr>
                <w:sz w:val="24"/>
                <w:szCs w:val="24"/>
                <w:color w:val="auto"/>
              </w:rPr>
            </w:pPr>
          </w:p>
        </w:tc>
      </w:tr>
      <w:tr>
        <w:trPr>
          <w:trHeight w:val="238"/>
        </w:trPr>
        <w:tc>
          <w:tcPr>
            <w:tcW w:w="73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w w:val="89"/>
              </w:rPr>
              <w:t>September 30, 2023</w:t>
            </w: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0"/>
              </w:rPr>
              <w:t>December 31, 2022</w:t>
            </w:r>
          </w:p>
        </w:tc>
      </w:tr>
      <w:tr>
        <w:trPr>
          <w:trHeight w:val="240"/>
        </w:trPr>
        <w:tc>
          <w:tcPr>
            <w:tcW w:w="7340" w:type="dxa"/>
            <w:vAlign w:val="bottom"/>
            <w:shd w:val="clear" w:color="auto" w:fill="CFF0FC"/>
          </w:tcPr>
          <w:p>
            <w:pPr>
              <w:ind w:left="20"/>
              <w:spacing w:after="0"/>
              <w:rPr>
                <w:sz w:val="20"/>
                <w:szCs w:val="20"/>
                <w:color w:val="auto"/>
              </w:rPr>
            </w:pPr>
            <w:r>
              <w:rPr>
                <w:rFonts w:ascii="Arial" w:cs="Arial" w:eastAsia="Arial" w:hAnsi="Arial"/>
                <w:sz w:val="18"/>
                <w:szCs w:val="18"/>
                <w:color w:val="auto"/>
              </w:rPr>
              <w:t>Chemical washing solutions</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8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9,410</w:t>
            </w:r>
          </w:p>
        </w:tc>
        <w:tc>
          <w:tcPr>
            <w:tcW w:w="100" w:type="dxa"/>
            <w:vAlign w:val="bottom"/>
            <w:shd w:val="clear" w:color="auto" w:fill="CFF0FC"/>
          </w:tcPr>
          <w:p>
            <w:pPr>
              <w:spacing w:after="0"/>
              <w:rPr>
                <w:sz w:val="20"/>
                <w:szCs w:val="20"/>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7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9,357</w:t>
            </w:r>
          </w:p>
        </w:tc>
      </w:tr>
      <w:tr>
        <w:trPr>
          <w:trHeight w:val="243"/>
        </w:trPr>
        <w:tc>
          <w:tcPr>
            <w:tcW w:w="7340" w:type="dxa"/>
            <w:vAlign w:val="bottom"/>
          </w:tcPr>
          <w:p>
            <w:pPr>
              <w:ind w:left="20"/>
              <w:spacing w:after="0"/>
              <w:rPr>
                <w:sz w:val="20"/>
                <w:szCs w:val="20"/>
                <w:color w:val="auto"/>
              </w:rPr>
            </w:pPr>
            <w:r>
              <w:rPr>
                <w:rFonts w:ascii="Arial" w:cs="Arial" w:eastAsia="Arial" w:hAnsi="Arial"/>
                <w:sz w:val="18"/>
                <w:szCs w:val="18"/>
                <w:color w:val="auto"/>
              </w:rPr>
              <w:t>Reserve for obsolescence</w:t>
            </w:r>
          </w:p>
        </w:tc>
        <w:tc>
          <w:tcPr>
            <w:tcW w:w="140" w:type="dxa"/>
            <w:vAlign w:val="bottom"/>
            <w:tcBorders>
              <w:bottom w:val="single" w:sz="8" w:color="auto"/>
            </w:tcBorders>
          </w:tcPr>
          <w:p>
            <w:pPr>
              <w:spacing w:after="0"/>
              <w:rPr>
                <w:sz w:val="21"/>
                <w:szCs w:val="21"/>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(188 )</w:t>
            </w:r>
          </w:p>
        </w:tc>
        <w:tc>
          <w:tcPr>
            <w:tcW w:w="10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(183 )</w:t>
            </w:r>
          </w:p>
        </w:tc>
      </w:tr>
      <w:tr>
        <w:trPr>
          <w:trHeight w:val="276"/>
        </w:trPr>
        <w:tc>
          <w:tcPr>
            <w:tcW w:w="734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Total inventory, net</w:t>
            </w: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80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9,222</w:t>
            </w:r>
          </w:p>
        </w:tc>
        <w:tc>
          <w:tcPr>
            <w:tcW w:w="10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7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9,174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5887085</wp:posOffset>
            </wp:positionH>
            <wp:positionV relativeFrom="paragraph">
              <wp:posOffset>-24765</wp:posOffset>
            </wp:positionV>
            <wp:extent cx="6858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5887085</wp:posOffset>
            </wp:positionH>
            <wp:positionV relativeFrom="paragraph">
              <wp:posOffset>-7620</wp:posOffset>
            </wp:positionV>
            <wp:extent cx="6858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74" w:lineRule="exact"/>
        <w:rPr>
          <w:sz w:val="20"/>
          <w:szCs w:val="20"/>
          <w:color w:val="auto"/>
        </w:rPr>
      </w:pPr>
    </w:p>
    <w:p>
      <w:pPr>
        <w:ind w:right="2080"/>
        <w:spacing w:after="0" w:line="375" w:lineRule="auto"/>
        <w:rPr>
          <w:sz w:val="20"/>
          <w:szCs w:val="20"/>
          <w:color w:val="auto"/>
        </w:rPr>
      </w:pPr>
      <w:r>
        <w:rPr>
          <w:rFonts w:ascii="Arial" w:cs="Arial" w:eastAsia="Arial" w:hAnsi="Arial"/>
          <w:sz w:val="18"/>
          <w:szCs w:val="18"/>
          <w:color w:val="231F20"/>
        </w:rPr>
        <w:t xml:space="preserve">The activity in the reserve for obsolescence was immaterial for the three and nine months ended September 30, 2023 and 2022. </w:t>
      </w:r>
      <w:r>
        <w:rPr>
          <w:rFonts w:ascii="Arial" w:cs="Arial" w:eastAsia="Arial" w:hAnsi="Arial"/>
          <w:sz w:val="18"/>
          <w:szCs w:val="18"/>
          <w:b w:val="1"/>
          <w:bCs w:val="1"/>
          <w:color w:val="231F20"/>
        </w:rPr>
        <w:t>Revenue Recognition</w:t>
      </w:r>
    </w:p>
    <w:p>
      <w:pPr>
        <w:spacing w:after="0"/>
        <w:rPr>
          <w:sz w:val="20"/>
          <w:szCs w:val="20"/>
          <w:color w:val="auto"/>
        </w:rPr>
      </w:pPr>
      <w:r>
        <w:rPr>
          <w:rFonts w:ascii="Arial" w:cs="Arial" w:eastAsia="Arial" w:hAnsi="Arial"/>
          <w:sz w:val="18"/>
          <w:szCs w:val="18"/>
          <w:color w:val="auto"/>
        </w:rPr>
        <w:t>The following table summarizes the composition of our net revenues for the periods presented:</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500" w:type="dxa"/>
            <w:vAlign w:val="bottom"/>
          </w:tcPr>
          <w:p>
            <w:pPr>
              <w:spacing w:after="0"/>
              <w:rPr>
                <w:sz w:val="18"/>
                <w:szCs w:val="18"/>
                <w:color w:val="auto"/>
              </w:rPr>
            </w:pPr>
          </w:p>
        </w:tc>
        <w:tc>
          <w:tcPr>
            <w:tcW w:w="2700" w:type="dxa"/>
            <w:vAlign w:val="bottom"/>
            <w:gridSpan w:val="5"/>
          </w:tcPr>
          <w:p>
            <w:pPr>
              <w:jc w:val="center"/>
              <w:spacing w:after="0"/>
              <w:rPr>
                <w:sz w:val="20"/>
                <w:szCs w:val="20"/>
                <w:color w:val="auto"/>
              </w:rPr>
            </w:pPr>
            <w:r>
              <w:rPr>
                <w:rFonts w:ascii="Arial" w:cs="Arial" w:eastAsia="Arial" w:hAnsi="Arial"/>
                <w:sz w:val="18"/>
                <w:szCs w:val="18"/>
                <w:b w:val="1"/>
                <w:bCs w:val="1"/>
                <w:color w:val="auto"/>
                <w:w w:val="90"/>
              </w:rPr>
              <w:t>Three Months Ended September</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580" w:type="dxa"/>
            <w:vAlign w:val="bottom"/>
            <w:gridSpan w:val="4"/>
          </w:tcPr>
          <w:p>
            <w:pPr>
              <w:jc w:val="right"/>
              <w:ind w:right="70"/>
              <w:spacing w:after="0"/>
              <w:rPr>
                <w:sz w:val="20"/>
                <w:szCs w:val="20"/>
                <w:color w:val="auto"/>
              </w:rPr>
            </w:pPr>
            <w:r>
              <w:rPr>
                <w:rFonts w:ascii="Arial" w:cs="Arial" w:eastAsia="Arial" w:hAnsi="Arial"/>
                <w:sz w:val="18"/>
                <w:szCs w:val="18"/>
                <w:b w:val="1"/>
                <w:bCs w:val="1"/>
                <w:color w:val="auto"/>
                <w:w w:val="90"/>
              </w:rPr>
              <w:t>Nine Months Ended September</w:t>
            </w:r>
          </w:p>
        </w:tc>
        <w:tc>
          <w:tcPr>
            <w:tcW w:w="100" w:type="dxa"/>
            <w:vAlign w:val="bottom"/>
          </w:tcPr>
          <w:p>
            <w:pPr>
              <w:spacing w:after="0"/>
              <w:rPr>
                <w:sz w:val="18"/>
                <w:szCs w:val="18"/>
                <w:color w:val="auto"/>
              </w:rPr>
            </w:pPr>
          </w:p>
        </w:tc>
      </w:tr>
      <w:tr>
        <w:trPr>
          <w:trHeight w:val="241"/>
        </w:trPr>
        <w:tc>
          <w:tcPr>
            <w:tcW w:w="55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b w:val="1"/>
                <w:bCs w:val="1"/>
                <w:color w:val="auto"/>
              </w:rPr>
              <w:t>30,</w:t>
            </w: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gridSpan w:val="2"/>
          </w:tcPr>
          <w:p>
            <w:pPr>
              <w:jc w:val="right"/>
              <w:ind w:right="170"/>
              <w:spacing w:after="0"/>
              <w:rPr>
                <w:sz w:val="20"/>
                <w:szCs w:val="20"/>
                <w:color w:val="auto"/>
              </w:rPr>
            </w:pPr>
            <w:r>
              <w:rPr>
                <w:rFonts w:ascii="Arial" w:cs="Arial" w:eastAsia="Arial" w:hAnsi="Arial"/>
                <w:sz w:val="18"/>
                <w:szCs w:val="18"/>
                <w:b w:val="1"/>
                <w:bCs w:val="1"/>
                <w:color w:val="auto"/>
                <w:w w:val="87"/>
              </w:rPr>
              <w:t>30,</w:t>
            </w:r>
          </w:p>
        </w:tc>
        <w:tc>
          <w:tcPr>
            <w:tcW w:w="9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38"/>
        </w:trPr>
        <w:tc>
          <w:tcPr>
            <w:tcW w:w="55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2023</w:t>
            </w:r>
          </w:p>
        </w:tc>
        <w:tc>
          <w:tcPr>
            <w:tcW w:w="2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2022</w:t>
            </w:r>
          </w:p>
        </w:tc>
        <w:tc>
          <w:tcPr>
            <w:tcW w:w="2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2023</w:t>
            </w:r>
          </w:p>
        </w:tc>
        <w:tc>
          <w:tcPr>
            <w:tcW w:w="2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20"/>
                <w:szCs w:val="20"/>
                <w:color w:val="auto"/>
              </w:rPr>
            </w:pPr>
          </w:p>
        </w:tc>
      </w:tr>
      <w:tr>
        <w:trPr>
          <w:trHeight w:val="240"/>
        </w:trPr>
        <w:tc>
          <w:tcPr>
            <w:tcW w:w="550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Recognized over time</w:t>
            </w:r>
          </w:p>
        </w:tc>
        <w:tc>
          <w:tcPr>
            <w:tcW w:w="30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167,670</w:t>
            </w:r>
          </w:p>
        </w:tc>
        <w:tc>
          <w:tcPr>
            <w:tcW w:w="240" w:type="dxa"/>
            <w:vAlign w:val="bottom"/>
            <w:shd w:val="clear" w:color="auto" w:fill="CFF0FC"/>
          </w:tcPr>
          <w:p>
            <w:pPr>
              <w:spacing w:after="0"/>
              <w:rPr>
                <w:sz w:val="20"/>
                <w:szCs w:val="20"/>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150,873</w:t>
            </w:r>
          </w:p>
        </w:tc>
        <w:tc>
          <w:tcPr>
            <w:tcW w:w="240" w:type="dxa"/>
            <w:vAlign w:val="bottom"/>
            <w:shd w:val="clear" w:color="auto" w:fill="CFF0FC"/>
          </w:tcPr>
          <w:p>
            <w:pPr>
              <w:spacing w:after="0"/>
              <w:rPr>
                <w:sz w:val="20"/>
                <w:szCs w:val="20"/>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489,294</w:t>
            </w:r>
          </w:p>
        </w:tc>
        <w:tc>
          <w:tcPr>
            <w:tcW w:w="220" w:type="dxa"/>
            <w:vAlign w:val="bottom"/>
            <w:shd w:val="clear" w:color="auto" w:fill="CFF0FC"/>
          </w:tcPr>
          <w:p>
            <w:pPr>
              <w:spacing w:after="0"/>
              <w:rPr>
                <w:sz w:val="20"/>
                <w:szCs w:val="20"/>
                <w:color w:val="auto"/>
              </w:rPr>
            </w:pP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440,809</w:t>
            </w:r>
          </w:p>
        </w:tc>
        <w:tc>
          <w:tcPr>
            <w:tcW w:w="100" w:type="dxa"/>
            <w:vAlign w:val="bottom"/>
            <w:shd w:val="clear" w:color="auto" w:fill="CFF0FC"/>
          </w:tcPr>
          <w:p>
            <w:pPr>
              <w:spacing w:after="0"/>
              <w:rPr>
                <w:sz w:val="20"/>
                <w:szCs w:val="20"/>
                <w:color w:val="auto"/>
              </w:rPr>
            </w:pPr>
          </w:p>
        </w:tc>
      </w:tr>
      <w:tr>
        <w:trPr>
          <w:trHeight w:val="236"/>
        </w:trPr>
        <w:tc>
          <w:tcPr>
            <w:tcW w:w="5500" w:type="dxa"/>
            <w:vAlign w:val="bottom"/>
          </w:tcPr>
          <w:p>
            <w:pPr>
              <w:ind w:left="20"/>
              <w:spacing w:after="0"/>
              <w:rPr>
                <w:sz w:val="20"/>
                <w:szCs w:val="20"/>
                <w:color w:val="auto"/>
              </w:rPr>
            </w:pPr>
            <w:r>
              <w:rPr>
                <w:rFonts w:ascii="Arial" w:cs="Arial" w:eastAsia="Arial" w:hAnsi="Arial"/>
                <w:sz w:val="18"/>
                <w:szCs w:val="18"/>
                <w:color w:val="auto"/>
              </w:rPr>
              <w:t>Recognized at a point in time</w:t>
            </w: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66,320</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66,590</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207,319</w:t>
            </w: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220,420</w:t>
            </w:r>
          </w:p>
        </w:tc>
        <w:tc>
          <w:tcPr>
            <w:tcW w:w="100" w:type="dxa"/>
            <w:vAlign w:val="bottom"/>
          </w:tcPr>
          <w:p>
            <w:pPr>
              <w:spacing w:after="0"/>
              <w:rPr>
                <w:sz w:val="20"/>
                <w:szCs w:val="20"/>
                <w:color w:val="auto"/>
              </w:rPr>
            </w:pPr>
          </w:p>
        </w:tc>
      </w:tr>
      <w:tr>
        <w:trPr>
          <w:trHeight w:val="249"/>
        </w:trPr>
        <w:tc>
          <w:tcPr>
            <w:tcW w:w="55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Other revenue</w:t>
            </w:r>
          </w:p>
        </w:tc>
        <w:tc>
          <w:tcPr>
            <w:tcW w:w="300" w:type="dxa"/>
            <w:vAlign w:val="bottom"/>
            <w:tcBorders>
              <w:bottom w:val="single" w:sz="8" w:color="auto"/>
            </w:tcBorders>
            <w:shd w:val="clear" w:color="auto" w:fill="CFF0FC"/>
          </w:tcPr>
          <w:p>
            <w:pPr>
              <w:spacing w:after="0"/>
              <w:rPr>
                <w:sz w:val="21"/>
                <w:szCs w:val="21"/>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86</w:t>
            </w:r>
          </w:p>
        </w:tc>
        <w:tc>
          <w:tcPr>
            <w:tcW w:w="24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113</w:t>
            </w:r>
          </w:p>
        </w:tc>
        <w:tc>
          <w:tcPr>
            <w:tcW w:w="24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317</w:t>
            </w:r>
          </w:p>
        </w:tc>
        <w:tc>
          <w:tcPr>
            <w:tcW w:w="22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spacing w:after="0"/>
              <w:rPr>
                <w:sz w:val="21"/>
                <w:szCs w:val="21"/>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925</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5500" w:type="dxa"/>
            <w:vAlign w:val="bottom"/>
          </w:tcPr>
          <w:p>
            <w:pPr>
              <w:ind w:left="200"/>
              <w:spacing w:after="0"/>
              <w:rPr>
                <w:sz w:val="20"/>
                <w:szCs w:val="20"/>
                <w:color w:val="auto"/>
              </w:rPr>
            </w:pPr>
            <w:r>
              <w:rPr>
                <w:rFonts w:ascii="Arial" w:cs="Arial" w:eastAsia="Arial" w:hAnsi="Arial"/>
                <w:sz w:val="18"/>
                <w:szCs w:val="18"/>
                <w:color w:val="auto"/>
              </w:rPr>
              <w:t>Net revenues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234,076</w:t>
            </w:r>
          </w:p>
        </w:tc>
        <w:tc>
          <w:tcPr>
            <w:tcW w:w="240" w:type="dxa"/>
            <w:vAlign w:val="bottom"/>
          </w:tcPr>
          <w:p>
            <w:pPr>
              <w:spacing w:after="0"/>
              <w:rPr>
                <w:sz w:val="20"/>
                <w:szCs w:val="20"/>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217,576</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696,930</w:t>
            </w:r>
          </w:p>
        </w:tc>
        <w:tc>
          <w:tcPr>
            <w:tcW w:w="50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662,154</w:t>
            </w:r>
          </w:p>
        </w:tc>
        <w:tc>
          <w:tcPr>
            <w:tcW w:w="100" w:type="dxa"/>
            <w:vAlign w:val="bottom"/>
          </w:tcPr>
          <w:p>
            <w:pPr>
              <w:spacing w:after="0"/>
              <w:rPr>
                <w:sz w:val="20"/>
                <w:szCs w:val="20"/>
                <w:color w:val="auto"/>
              </w:rPr>
            </w:pPr>
          </w:p>
        </w:tc>
      </w:tr>
      <w:tr>
        <w:trPr>
          <w:trHeight w:val="20"/>
        </w:trPr>
        <w:tc>
          <w:tcPr>
            <w:tcW w:w="55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4311650</wp:posOffset>
            </wp:positionH>
            <wp:positionV relativeFrom="paragraph">
              <wp:posOffset>-187960</wp:posOffset>
            </wp:positionV>
            <wp:extent cx="76835" cy="18859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6835" cy="188595"/>
                    </a:xfrm>
                    <a:prstGeom prst="rect">
                      <a:avLst/>
                    </a:prstGeom>
                    <a:noFill/>
                  </pic:spPr>
                </pic:pic>
              </a:graphicData>
            </a:graphic>
          </wp:anchor>
        </w:drawing>
        <w:drawing>
          <wp:anchor simplePos="0" relativeHeight="251657728" behindDoc="1" locked="0" layoutInCell="0" allowOverlap="1">
            <wp:simplePos x="0" y="0"/>
            <wp:positionH relativeFrom="column">
              <wp:posOffset>5202555</wp:posOffset>
            </wp:positionH>
            <wp:positionV relativeFrom="paragraph">
              <wp:posOffset>-187960</wp:posOffset>
            </wp:positionV>
            <wp:extent cx="68580" cy="18859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6135370</wp:posOffset>
            </wp:positionH>
            <wp:positionV relativeFrom="paragraph">
              <wp:posOffset>-187960</wp:posOffset>
            </wp:positionV>
            <wp:extent cx="68580" cy="18859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18859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8580" cy="188595"/>
                    </a:xfrm>
                    <a:prstGeom prst="rect">
                      <a:avLst/>
                    </a:prstGeom>
                    <a:noFill/>
                  </pic:spPr>
                </pic:pic>
              </a:graphicData>
            </a:graphic>
          </wp:anchor>
        </w:drawing>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Net Income Per Share</w:t>
      </w:r>
    </w:p>
    <w:p>
      <w:pPr>
        <w:spacing w:after="0" w:line="121"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231F20"/>
        </w:rPr>
        <w:t>Basic net income per share is computed by dividing net income by the weighted-average number of common shares outstanding for the period. Diluted net income per share is computed by dividing net income by the weighted-average shares outstanding for the period and includes the dilutive impact of potential new shares issuable upon vesting and exercise of stock options, vesting of restricted stock units, and stock purchase rights granted under an employee stock purchase plan. Potentially dilutive securities are excluded from the computation of diluted net income per share because they would have an antidilutive effect. Reconciliations of the numerators and denominators of the basic and diluted net income per share calculations for the periods presented are as follows:</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560" w:type="dxa"/>
            <w:vAlign w:val="bottom"/>
          </w:tcPr>
          <w:p>
            <w:pPr>
              <w:spacing w:after="0"/>
              <w:rPr>
                <w:sz w:val="18"/>
                <w:szCs w:val="18"/>
                <w:color w:val="auto"/>
              </w:rPr>
            </w:pPr>
          </w:p>
        </w:tc>
        <w:tc>
          <w:tcPr>
            <w:tcW w:w="2860" w:type="dxa"/>
            <w:vAlign w:val="bottom"/>
            <w:gridSpan w:val="6"/>
          </w:tcPr>
          <w:p>
            <w:pPr>
              <w:jc w:val="center"/>
              <w:ind w:right="50"/>
              <w:spacing w:after="0"/>
              <w:rPr>
                <w:sz w:val="20"/>
                <w:szCs w:val="20"/>
                <w:color w:val="auto"/>
              </w:rPr>
            </w:pPr>
            <w:r>
              <w:rPr>
                <w:rFonts w:ascii="Arial" w:cs="Arial" w:eastAsia="Arial" w:hAnsi="Arial"/>
                <w:sz w:val="18"/>
                <w:szCs w:val="18"/>
                <w:b w:val="1"/>
                <w:bCs w:val="1"/>
                <w:color w:val="auto"/>
                <w:w w:val="91"/>
              </w:rPr>
              <w:t>Three Months Ended September</w:t>
            </w:r>
          </w:p>
        </w:tc>
        <w:tc>
          <w:tcPr>
            <w:tcW w:w="100" w:type="dxa"/>
            <w:vAlign w:val="bottom"/>
          </w:tcPr>
          <w:p>
            <w:pPr>
              <w:spacing w:after="0"/>
              <w:rPr>
                <w:sz w:val="18"/>
                <w:szCs w:val="18"/>
                <w:color w:val="auto"/>
              </w:rPr>
            </w:pPr>
          </w:p>
        </w:tc>
        <w:tc>
          <w:tcPr>
            <w:tcW w:w="2720" w:type="dxa"/>
            <w:vAlign w:val="bottom"/>
            <w:gridSpan w:val="5"/>
          </w:tcPr>
          <w:p>
            <w:pPr>
              <w:jc w:val="center"/>
              <w:ind w:right="50"/>
              <w:spacing w:after="0"/>
              <w:rPr>
                <w:sz w:val="20"/>
                <w:szCs w:val="20"/>
                <w:color w:val="auto"/>
              </w:rPr>
            </w:pPr>
            <w:r>
              <w:rPr>
                <w:rFonts w:ascii="Arial" w:cs="Arial" w:eastAsia="Arial" w:hAnsi="Arial"/>
                <w:sz w:val="18"/>
                <w:szCs w:val="18"/>
                <w:b w:val="1"/>
                <w:bCs w:val="1"/>
                <w:color w:val="auto"/>
                <w:w w:val="90"/>
              </w:rPr>
              <w:t>Nine Months Ended September</w:t>
            </w:r>
          </w:p>
        </w:tc>
      </w:tr>
      <w:tr>
        <w:trPr>
          <w:trHeight w:val="241"/>
        </w:trPr>
        <w:tc>
          <w:tcPr>
            <w:tcW w:w="55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b w:val="1"/>
                <w:bCs w:val="1"/>
                <w:color w:val="auto"/>
                <w:w w:val="87"/>
              </w:rPr>
              <w:t>30,</w:t>
            </w:r>
          </w:p>
        </w:tc>
        <w:tc>
          <w:tcPr>
            <w:tcW w:w="2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b w:val="1"/>
                <w:bCs w:val="1"/>
                <w:color w:val="auto"/>
              </w:rPr>
              <w:t>30,</w:t>
            </w:r>
          </w:p>
        </w:tc>
        <w:tc>
          <w:tcPr>
            <w:tcW w:w="1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r>
      <w:tr>
        <w:trPr>
          <w:trHeight w:val="238"/>
        </w:trPr>
        <w:tc>
          <w:tcPr>
            <w:tcW w:w="55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2023</w:t>
            </w:r>
          </w:p>
        </w:tc>
        <w:tc>
          <w:tcPr>
            <w:tcW w:w="14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2023</w:t>
            </w: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2022</w:t>
            </w:r>
          </w:p>
        </w:tc>
      </w:tr>
      <w:tr>
        <w:trPr>
          <w:trHeight w:val="240"/>
        </w:trPr>
        <w:tc>
          <w:tcPr>
            <w:tcW w:w="5560" w:type="dxa"/>
            <w:vAlign w:val="bottom"/>
            <w:shd w:val="clear" w:color="auto" w:fill="CFF0FC"/>
          </w:tcPr>
          <w:p>
            <w:pPr>
              <w:ind w:left="20"/>
              <w:spacing w:after="0"/>
              <w:rPr>
                <w:sz w:val="20"/>
                <w:szCs w:val="20"/>
                <w:color w:val="auto"/>
              </w:rPr>
            </w:pPr>
            <w:r>
              <w:rPr>
                <w:rFonts w:ascii="Arial" w:cs="Arial" w:eastAsia="Arial" w:hAnsi="Arial"/>
                <w:sz w:val="18"/>
                <w:szCs w:val="18"/>
                <w:color w:val="auto"/>
              </w:rPr>
              <w:t>Numerator:</w:t>
            </w:r>
          </w:p>
        </w:tc>
        <w:tc>
          <w:tcPr>
            <w:tcW w:w="240" w:type="dxa"/>
            <w:vAlign w:val="bottom"/>
            <w:shd w:val="clear" w:color="auto" w:fill="CFF0FC"/>
          </w:tcPr>
          <w:p>
            <w:pPr>
              <w:spacing w:after="0"/>
              <w:rPr>
                <w:sz w:val="20"/>
                <w:szCs w:val="20"/>
                <w:color w:val="auto"/>
              </w:rPr>
            </w:pPr>
          </w:p>
        </w:tc>
        <w:tc>
          <w:tcPr>
            <w:tcW w:w="10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1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1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080" w:type="dxa"/>
            <w:vAlign w:val="bottom"/>
            <w:shd w:val="clear" w:color="auto" w:fill="CFF0FC"/>
          </w:tcPr>
          <w:p>
            <w:pPr>
              <w:spacing w:after="0"/>
              <w:rPr>
                <w:sz w:val="20"/>
                <w:szCs w:val="20"/>
                <w:color w:val="auto"/>
              </w:rPr>
            </w:pPr>
          </w:p>
        </w:tc>
      </w:tr>
      <w:tr>
        <w:trPr>
          <w:trHeight w:val="243"/>
        </w:trPr>
        <w:tc>
          <w:tcPr>
            <w:tcW w:w="556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19,485</w:t>
            </w:r>
          </w:p>
        </w:tc>
        <w:tc>
          <w:tcPr>
            <w:tcW w:w="460" w:type="dxa"/>
            <w:vAlign w:val="bottom"/>
            <w:gridSpan w:val="3"/>
          </w:tcPr>
          <w:p>
            <w:pPr>
              <w:jc w:val="right"/>
              <w:ind w:right="1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23,997</w:t>
            </w:r>
          </w:p>
        </w:tc>
        <w:tc>
          <w:tcPr>
            <w:tcW w:w="32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67,753</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95,144</w:t>
            </w:r>
          </w:p>
        </w:tc>
      </w:tr>
      <w:tr>
        <w:trPr>
          <w:trHeight w:val="20"/>
        </w:trPr>
        <w:tc>
          <w:tcPr>
            <w:tcW w:w="55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r>
      <w:tr>
        <w:trPr>
          <w:trHeight w:val="223"/>
        </w:trPr>
        <w:tc>
          <w:tcPr>
            <w:tcW w:w="55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43"/>
        </w:trPr>
        <w:tc>
          <w:tcPr>
            <w:tcW w:w="5560" w:type="dxa"/>
            <w:vAlign w:val="bottom"/>
            <w:shd w:val="clear" w:color="auto" w:fill="CFF0FC"/>
          </w:tcPr>
          <w:p>
            <w:pPr>
              <w:ind w:left="20"/>
              <w:spacing w:after="0"/>
              <w:rPr>
                <w:sz w:val="20"/>
                <w:szCs w:val="20"/>
                <w:color w:val="auto"/>
              </w:rPr>
            </w:pPr>
            <w:r>
              <w:rPr>
                <w:rFonts w:ascii="Arial" w:cs="Arial" w:eastAsia="Arial" w:hAnsi="Arial"/>
                <w:sz w:val="18"/>
                <w:szCs w:val="18"/>
                <w:color w:val="auto"/>
              </w:rPr>
              <w:t>Denominator:</w:t>
            </w:r>
          </w:p>
        </w:tc>
        <w:tc>
          <w:tcPr>
            <w:tcW w:w="24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1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1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080" w:type="dxa"/>
            <w:vAlign w:val="bottom"/>
            <w:shd w:val="clear" w:color="auto" w:fill="CFF0FC"/>
          </w:tcPr>
          <w:p>
            <w:pPr>
              <w:spacing w:after="0"/>
              <w:rPr>
                <w:sz w:val="21"/>
                <w:szCs w:val="21"/>
                <w:color w:val="auto"/>
              </w:rPr>
            </w:pPr>
          </w:p>
        </w:tc>
      </w:tr>
      <w:tr>
        <w:trPr>
          <w:trHeight w:val="236"/>
        </w:trPr>
        <w:tc>
          <w:tcPr>
            <w:tcW w:w="5560" w:type="dxa"/>
            <w:vAlign w:val="bottom"/>
          </w:tcPr>
          <w:p>
            <w:pPr>
              <w:ind w:left="160"/>
              <w:spacing w:after="0"/>
              <w:rPr>
                <w:sz w:val="20"/>
                <w:szCs w:val="20"/>
                <w:color w:val="auto"/>
              </w:rPr>
            </w:pPr>
            <w:r>
              <w:rPr>
                <w:rFonts w:ascii="Arial" w:cs="Arial" w:eastAsia="Arial" w:hAnsi="Arial"/>
                <w:sz w:val="18"/>
                <w:szCs w:val="18"/>
                <w:color w:val="auto"/>
              </w:rPr>
              <w:t>Weighted-average common shares outstanding - basic</w:t>
            </w:r>
          </w:p>
        </w:tc>
        <w:tc>
          <w:tcPr>
            <w:tcW w:w="2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w w:val="99"/>
              </w:rPr>
              <w:t>312,883,586</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w w:val="99"/>
              </w:rPr>
              <w:t>304,290,590</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w w:val="99"/>
              </w:rPr>
              <w:t>309,850,600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w w:val="93"/>
              </w:rPr>
              <w:t>302,641,749</w:t>
            </w:r>
          </w:p>
        </w:tc>
      </w:tr>
      <w:tr>
        <w:trPr>
          <w:trHeight w:val="249"/>
        </w:trPr>
        <w:tc>
          <w:tcPr>
            <w:tcW w:w="5560" w:type="dxa"/>
            <w:vAlign w:val="bottom"/>
            <w:shd w:val="clear" w:color="auto" w:fill="CFF0FC"/>
          </w:tcPr>
          <w:p>
            <w:pPr>
              <w:ind w:left="160"/>
              <w:spacing w:after="0"/>
              <w:rPr>
                <w:sz w:val="20"/>
                <w:szCs w:val="20"/>
                <w:color w:val="auto"/>
              </w:rPr>
            </w:pPr>
            <w:r>
              <w:rPr>
                <w:rFonts w:ascii="Arial" w:cs="Arial" w:eastAsia="Arial" w:hAnsi="Arial"/>
                <w:sz w:val="18"/>
                <w:szCs w:val="18"/>
                <w:color w:val="auto"/>
              </w:rPr>
              <w:t>Effect of potentially dilutive securities:</w:t>
            </w:r>
          </w:p>
        </w:tc>
        <w:tc>
          <w:tcPr>
            <w:tcW w:w="24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1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1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080" w:type="dxa"/>
            <w:vAlign w:val="bottom"/>
            <w:shd w:val="clear" w:color="auto" w:fill="CFF0FC"/>
          </w:tcPr>
          <w:p>
            <w:pPr>
              <w:spacing w:after="0"/>
              <w:rPr>
                <w:sz w:val="21"/>
                <w:szCs w:val="21"/>
                <w:color w:val="auto"/>
              </w:rPr>
            </w:pPr>
          </w:p>
        </w:tc>
      </w:tr>
      <w:tr>
        <w:trPr>
          <w:trHeight w:val="236"/>
        </w:trPr>
        <w:tc>
          <w:tcPr>
            <w:tcW w:w="5560" w:type="dxa"/>
            <w:vAlign w:val="bottom"/>
          </w:tcPr>
          <w:p>
            <w:pPr>
              <w:ind w:left="340"/>
              <w:spacing w:after="0"/>
              <w:rPr>
                <w:sz w:val="20"/>
                <w:szCs w:val="20"/>
                <w:color w:val="auto"/>
              </w:rPr>
            </w:pPr>
            <w:r>
              <w:rPr>
                <w:rFonts w:ascii="Arial" w:cs="Arial" w:eastAsia="Arial" w:hAnsi="Arial"/>
                <w:sz w:val="18"/>
                <w:szCs w:val="18"/>
                <w:color w:val="auto"/>
              </w:rPr>
              <w:t>Stock options</w:t>
            </w:r>
          </w:p>
        </w:tc>
        <w:tc>
          <w:tcPr>
            <w:tcW w:w="2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15,573,984</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22,377,790</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17,912,009</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24,433,580</w:t>
            </w:r>
          </w:p>
        </w:tc>
      </w:tr>
      <w:tr>
        <w:trPr>
          <w:trHeight w:val="249"/>
        </w:trPr>
        <w:tc>
          <w:tcPr>
            <w:tcW w:w="5560" w:type="dxa"/>
            <w:vAlign w:val="bottom"/>
            <w:shd w:val="clear" w:color="auto" w:fill="CFF0FC"/>
          </w:tcPr>
          <w:p>
            <w:pPr>
              <w:ind w:left="340"/>
              <w:spacing w:after="0"/>
              <w:rPr>
                <w:sz w:val="20"/>
                <w:szCs w:val="20"/>
                <w:color w:val="auto"/>
              </w:rPr>
            </w:pPr>
            <w:r>
              <w:rPr>
                <w:rFonts w:ascii="Arial" w:cs="Arial" w:eastAsia="Arial" w:hAnsi="Arial"/>
                <w:sz w:val="18"/>
                <w:szCs w:val="18"/>
                <w:color w:val="auto"/>
              </w:rPr>
              <w:t>Restricted stock units</w:t>
            </w:r>
          </w:p>
        </w:tc>
        <w:tc>
          <w:tcPr>
            <w:tcW w:w="24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289,840</w:t>
            </w:r>
          </w:p>
        </w:tc>
        <w:tc>
          <w:tcPr>
            <w:tcW w:w="1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1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154,987</w:t>
            </w:r>
          </w:p>
        </w:tc>
        <w:tc>
          <w:tcPr>
            <w:tcW w:w="1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1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463,687</w:t>
            </w:r>
          </w:p>
        </w:tc>
        <w:tc>
          <w:tcPr>
            <w:tcW w:w="1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0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678,005</w:t>
            </w:r>
          </w:p>
        </w:tc>
      </w:tr>
      <w:tr>
        <w:trPr>
          <w:trHeight w:val="243"/>
        </w:trPr>
        <w:tc>
          <w:tcPr>
            <w:tcW w:w="5560" w:type="dxa"/>
            <w:vAlign w:val="bottom"/>
          </w:tcPr>
          <w:p>
            <w:pPr>
              <w:ind w:left="340"/>
              <w:spacing w:after="0"/>
              <w:rPr>
                <w:sz w:val="20"/>
                <w:szCs w:val="20"/>
                <w:color w:val="auto"/>
              </w:rPr>
            </w:pPr>
            <w:r>
              <w:rPr>
                <w:rFonts w:ascii="Arial" w:cs="Arial" w:eastAsia="Arial" w:hAnsi="Arial"/>
                <w:sz w:val="18"/>
                <w:szCs w:val="18"/>
                <w:color w:val="auto"/>
              </w:rPr>
              <w:t>Employee stock purchase plan</w:t>
            </w:r>
          </w:p>
        </w:tc>
        <w:tc>
          <w:tcPr>
            <w:tcW w:w="24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97,159</w:t>
            </w:r>
          </w:p>
        </w:tc>
        <w:tc>
          <w:tcPr>
            <w:tcW w:w="14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57,785</w:t>
            </w:r>
          </w:p>
        </w:tc>
        <w:tc>
          <w:tcPr>
            <w:tcW w:w="10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39,582</w:t>
            </w:r>
          </w:p>
        </w:tc>
        <w:tc>
          <w:tcPr>
            <w:tcW w:w="10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20,010</w:t>
            </w:r>
          </w:p>
        </w:tc>
      </w:tr>
      <w:tr>
        <w:trPr>
          <w:trHeight w:val="276"/>
        </w:trPr>
        <w:tc>
          <w:tcPr>
            <w:tcW w:w="5560" w:type="dxa"/>
            <w:vAlign w:val="bottom"/>
            <w:tcBorders>
              <w:bottom w:val="single" w:sz="8" w:color="CFF0FC"/>
            </w:tcBorders>
            <w:shd w:val="clear" w:color="auto" w:fill="CFF0FC"/>
          </w:tcPr>
          <w:p>
            <w:pPr>
              <w:ind w:left="160"/>
              <w:spacing w:after="0"/>
              <w:rPr>
                <w:sz w:val="20"/>
                <w:szCs w:val="20"/>
                <w:color w:val="auto"/>
              </w:rPr>
            </w:pPr>
            <w:r>
              <w:rPr>
                <w:rFonts w:ascii="Arial" w:cs="Arial" w:eastAsia="Arial" w:hAnsi="Arial"/>
                <w:sz w:val="18"/>
                <w:szCs w:val="18"/>
                <w:color w:val="auto"/>
              </w:rPr>
              <w:t>Weighted-average common shares outstanding - diluted</w:t>
            </w:r>
          </w:p>
        </w:tc>
        <w:tc>
          <w:tcPr>
            <w:tcW w:w="240" w:type="dxa"/>
            <w:vAlign w:val="bottom"/>
            <w:tcBorders>
              <w:bottom w:val="single" w:sz="8" w:color="auto"/>
            </w:tcBorders>
            <w:shd w:val="clear" w:color="auto" w:fill="CFF0FC"/>
          </w:tcPr>
          <w:p>
            <w:pPr>
              <w:spacing w:after="0"/>
              <w:rPr>
                <w:sz w:val="24"/>
                <w:szCs w:val="24"/>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328,844,569</w:t>
            </w:r>
          </w:p>
        </w:tc>
        <w:tc>
          <w:tcPr>
            <w:tcW w:w="140" w:type="dxa"/>
            <w:vAlign w:val="bottom"/>
            <w:tcBorders>
              <w:bottom w:val="single" w:sz="8" w:color="auto"/>
            </w:tcBorders>
            <w:shd w:val="clear" w:color="auto" w:fill="CFF0FC"/>
          </w:tcPr>
          <w:p>
            <w:pPr>
              <w:spacing w:after="0"/>
              <w:rPr>
                <w:sz w:val="24"/>
                <w:szCs w:val="24"/>
                <w:color w:val="auto"/>
              </w:rPr>
            </w:pPr>
          </w:p>
        </w:tc>
        <w:tc>
          <w:tcPr>
            <w:tcW w:w="120" w:type="dxa"/>
            <w:vAlign w:val="bottom"/>
            <w:tcBorders>
              <w:bottom w:val="single" w:sz="8" w:color="CFF0FC"/>
            </w:tcBorders>
            <w:shd w:val="clear" w:color="auto" w:fill="CFF0FC"/>
          </w:tcPr>
          <w:p>
            <w:pPr>
              <w:spacing w:after="0"/>
              <w:rPr>
                <w:sz w:val="24"/>
                <w:szCs w:val="24"/>
                <w:color w:val="auto"/>
              </w:rPr>
            </w:pPr>
          </w:p>
        </w:tc>
        <w:tc>
          <w:tcPr>
            <w:tcW w:w="200" w:type="dxa"/>
            <w:vAlign w:val="bottom"/>
            <w:tcBorders>
              <w:bottom w:val="single" w:sz="8" w:color="auto"/>
            </w:tcBorders>
            <w:shd w:val="clear" w:color="auto" w:fill="CFF0FC"/>
          </w:tcPr>
          <w:p>
            <w:pPr>
              <w:spacing w:after="0"/>
              <w:rPr>
                <w:sz w:val="24"/>
                <w:szCs w:val="24"/>
                <w:color w:val="auto"/>
              </w:rPr>
            </w:pPr>
          </w:p>
        </w:tc>
        <w:tc>
          <w:tcPr>
            <w:tcW w:w="11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99"/>
              </w:rPr>
              <w:t>326,881,152</w:t>
            </w:r>
          </w:p>
        </w:tc>
        <w:tc>
          <w:tcPr>
            <w:tcW w:w="100" w:type="dxa"/>
            <w:vAlign w:val="bottom"/>
            <w:tcBorders>
              <w:bottom w:val="single" w:sz="8" w:color="CFF0FC"/>
            </w:tcBorders>
            <w:shd w:val="clear" w:color="auto" w:fill="CFF0FC"/>
          </w:tcPr>
          <w:p>
            <w:pPr>
              <w:spacing w:after="0"/>
              <w:rPr>
                <w:sz w:val="24"/>
                <w:szCs w:val="24"/>
                <w:color w:val="auto"/>
              </w:rPr>
            </w:pPr>
          </w:p>
        </w:tc>
        <w:tc>
          <w:tcPr>
            <w:tcW w:w="220" w:type="dxa"/>
            <w:vAlign w:val="bottom"/>
            <w:tcBorders>
              <w:bottom w:val="single" w:sz="8" w:color="auto"/>
            </w:tcBorders>
            <w:shd w:val="clear" w:color="auto" w:fill="CFF0FC"/>
          </w:tcPr>
          <w:p>
            <w:pPr>
              <w:spacing w:after="0"/>
              <w:rPr>
                <w:sz w:val="24"/>
                <w:szCs w:val="24"/>
                <w:color w:val="auto"/>
              </w:rPr>
            </w:pPr>
          </w:p>
        </w:tc>
        <w:tc>
          <w:tcPr>
            <w:tcW w:w="11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99"/>
              </w:rPr>
              <w:t>328,265,878</w:t>
            </w:r>
          </w:p>
        </w:tc>
        <w:tc>
          <w:tcPr>
            <w:tcW w:w="10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bottom w:val="single" w:sz="8" w:color="auto"/>
            </w:tcBorders>
            <w:shd w:val="clear" w:color="auto" w:fill="CFF0FC"/>
          </w:tcPr>
          <w:p>
            <w:pPr>
              <w:spacing w:after="0"/>
              <w:rPr>
                <w:sz w:val="24"/>
                <w:szCs w:val="24"/>
                <w:color w:val="auto"/>
              </w:rPr>
            </w:pPr>
          </w:p>
        </w:tc>
        <w:tc>
          <w:tcPr>
            <w:tcW w:w="108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93"/>
              </w:rPr>
              <w:t>327,773,344</w:t>
            </w:r>
          </w:p>
        </w:tc>
      </w:tr>
      <w:tr>
        <w:trPr>
          <w:trHeight w:val="466"/>
        </w:trPr>
        <w:tc>
          <w:tcPr>
            <w:tcW w:w="5560" w:type="dxa"/>
            <w:vAlign w:val="bottom"/>
          </w:tcPr>
          <w:p>
            <w:pPr>
              <w:ind w:left="20"/>
              <w:spacing w:after="0"/>
              <w:rPr>
                <w:sz w:val="20"/>
                <w:szCs w:val="20"/>
                <w:color w:val="auto"/>
              </w:rPr>
            </w:pPr>
            <w:r>
              <w:rPr>
                <w:rFonts w:ascii="Arial" w:cs="Arial" w:eastAsia="Arial" w:hAnsi="Arial"/>
                <w:sz w:val="18"/>
                <w:szCs w:val="18"/>
                <w:color w:val="auto"/>
              </w:rPr>
              <w:t>Net income per share - basic</w:t>
            </w: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0.06</w:t>
            </w:r>
          </w:p>
        </w:tc>
        <w:tc>
          <w:tcPr>
            <w:tcW w:w="1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0.08</w:t>
            </w:r>
          </w:p>
        </w:tc>
        <w:tc>
          <w:tcPr>
            <w:tcW w:w="100" w:type="dxa"/>
            <w:vAlign w:val="bottom"/>
          </w:tcPr>
          <w:p>
            <w:pPr>
              <w:spacing w:after="0"/>
              <w:rPr>
                <w:sz w:val="24"/>
                <w:szCs w:val="24"/>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0.22</w:t>
            </w:r>
          </w:p>
        </w:tc>
        <w:tc>
          <w:tcPr>
            <w:tcW w:w="100" w:type="dxa"/>
            <w:vAlign w:val="bottom"/>
          </w:tcPr>
          <w:p>
            <w:pPr>
              <w:spacing w:after="0"/>
              <w:rPr>
                <w:sz w:val="24"/>
                <w:szCs w:val="24"/>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0.31</w:t>
            </w:r>
          </w:p>
        </w:tc>
      </w:tr>
      <w:tr>
        <w:trPr>
          <w:trHeight w:val="20"/>
        </w:trPr>
        <w:tc>
          <w:tcPr>
            <w:tcW w:w="55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263"/>
        </w:trPr>
        <w:tc>
          <w:tcPr>
            <w:tcW w:w="55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Net income per share - diluted</w:t>
            </w:r>
          </w:p>
        </w:tc>
        <w:tc>
          <w:tcPr>
            <w:tcW w:w="24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0.06</w:t>
            </w:r>
          </w:p>
        </w:tc>
        <w:tc>
          <w:tcPr>
            <w:tcW w:w="140" w:type="dxa"/>
            <w:vAlign w:val="bottom"/>
            <w:tcBorders>
              <w:top w:val="single" w:sz="8" w:color="auto"/>
              <w:bottom w:val="single" w:sz="8" w:color="auto"/>
            </w:tcBorders>
            <w:shd w:val="clear" w:color="auto" w:fill="CFF0FC"/>
          </w:tcPr>
          <w:p>
            <w:pPr>
              <w:spacing w:after="0"/>
              <w:rPr>
                <w:sz w:val="22"/>
                <w:szCs w:val="22"/>
                <w:color w:val="auto"/>
              </w:rPr>
            </w:pPr>
          </w:p>
        </w:tc>
        <w:tc>
          <w:tcPr>
            <w:tcW w:w="120" w:type="dxa"/>
            <w:vAlign w:val="bottom"/>
            <w:tcBorders>
              <w:bottom w:val="single" w:sz="8" w:color="CFF0FC"/>
            </w:tcBorders>
            <w:shd w:val="clear" w:color="auto" w:fill="CFF0FC"/>
          </w:tcPr>
          <w:p>
            <w:pPr>
              <w:spacing w:after="0"/>
              <w:rPr>
                <w:sz w:val="22"/>
                <w:szCs w:val="22"/>
                <w:color w:val="auto"/>
              </w:rPr>
            </w:pP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0.07</w:t>
            </w:r>
          </w:p>
        </w:tc>
        <w:tc>
          <w:tcPr>
            <w:tcW w:w="100" w:type="dxa"/>
            <w:vAlign w:val="bottom"/>
            <w:tcBorders>
              <w:bottom w:val="single" w:sz="8" w:color="CFF0FC"/>
            </w:tcBorders>
            <w:shd w:val="clear" w:color="auto" w:fill="CFF0FC"/>
          </w:tcPr>
          <w:p>
            <w:pPr>
              <w:spacing w:after="0"/>
              <w:rPr>
                <w:sz w:val="22"/>
                <w:szCs w:val="22"/>
                <w:color w:val="auto"/>
              </w:rPr>
            </w:pPr>
          </w:p>
        </w:tc>
        <w:tc>
          <w:tcPr>
            <w:tcW w:w="22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0.21</w:t>
            </w:r>
          </w:p>
        </w:tc>
        <w:tc>
          <w:tcPr>
            <w:tcW w:w="100" w:type="dxa"/>
            <w:vAlign w:val="bottom"/>
            <w:tcBorders>
              <w:bottom w:val="single" w:sz="8" w:color="CFF0FC"/>
            </w:tcBorders>
            <w:shd w:val="clear" w:color="auto" w:fill="CFF0FC"/>
          </w:tcPr>
          <w:p>
            <w:pPr>
              <w:spacing w:after="0"/>
              <w:rPr>
                <w:sz w:val="22"/>
                <w:szCs w:val="22"/>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0.29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4414520</wp:posOffset>
            </wp:positionH>
            <wp:positionV relativeFrom="paragraph">
              <wp:posOffset>-538480</wp:posOffset>
            </wp:positionV>
            <wp:extent cx="1926590" cy="35941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926590" cy="359410"/>
                    </a:xfrm>
                    <a:prstGeom prst="rect">
                      <a:avLst/>
                    </a:prstGeom>
                    <a:noFill/>
                  </pic:spPr>
                </pic:pic>
              </a:graphicData>
            </a:graphic>
          </wp:anchor>
        </w:drawing>
        <w:drawing>
          <wp:anchor simplePos="0" relativeHeight="251657728" behindDoc="1" locked="0" layoutInCell="0" allowOverlap="1">
            <wp:simplePos x="0" y="0"/>
            <wp:positionH relativeFrom="column">
              <wp:posOffset>4414520</wp:posOffset>
            </wp:positionH>
            <wp:positionV relativeFrom="paragraph">
              <wp:posOffset>-24765</wp:posOffset>
            </wp:positionV>
            <wp:extent cx="76835"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4414520</wp:posOffset>
            </wp:positionH>
            <wp:positionV relativeFrom="paragraph">
              <wp:posOffset>-7620</wp:posOffset>
            </wp:positionV>
            <wp:extent cx="76835"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5347970</wp:posOffset>
            </wp:positionH>
            <wp:positionV relativeFrom="paragraph">
              <wp:posOffset>-24765</wp:posOffset>
            </wp:positionV>
            <wp:extent cx="6858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5347970</wp:posOffset>
            </wp:positionH>
            <wp:positionV relativeFrom="paragraph">
              <wp:posOffset>-7620</wp:posOffset>
            </wp:positionV>
            <wp:extent cx="6858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6272530</wp:posOffset>
            </wp:positionH>
            <wp:positionV relativeFrom="paragraph">
              <wp:posOffset>-24765</wp:posOffset>
            </wp:positionV>
            <wp:extent cx="6858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6272530</wp:posOffset>
            </wp:positionH>
            <wp:positionV relativeFrom="paragraph">
              <wp:posOffset>-7620</wp:posOffset>
            </wp:positionV>
            <wp:extent cx="6858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81"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231F20"/>
        </w:rPr>
        <w:t>The following potentially dilutive shares were excluded from the computation of diluted net income per share for the periods presented because including them would have been antidilutive:</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520" w:type="dxa"/>
            <w:vAlign w:val="bottom"/>
          </w:tcPr>
          <w:p>
            <w:pPr>
              <w:spacing w:after="0"/>
              <w:rPr>
                <w:sz w:val="18"/>
                <w:szCs w:val="18"/>
                <w:color w:val="auto"/>
              </w:rPr>
            </w:pPr>
          </w:p>
        </w:tc>
        <w:tc>
          <w:tcPr>
            <w:tcW w:w="2840" w:type="dxa"/>
            <w:vAlign w:val="bottom"/>
            <w:gridSpan w:val="3"/>
            <w:vMerge w:val="restart"/>
          </w:tcPr>
          <w:p>
            <w:pPr>
              <w:jc w:val="right"/>
              <w:spacing w:after="0"/>
              <w:rPr>
                <w:sz w:val="20"/>
                <w:szCs w:val="20"/>
                <w:color w:val="auto"/>
              </w:rPr>
            </w:pPr>
            <w:r>
              <w:rPr>
                <w:rFonts w:ascii="Arial" w:cs="Arial" w:eastAsia="Arial" w:hAnsi="Arial"/>
                <w:sz w:val="18"/>
                <w:szCs w:val="18"/>
                <w:b w:val="1"/>
                <w:bCs w:val="1"/>
                <w:color w:val="auto"/>
                <w:w w:val="91"/>
              </w:rPr>
              <w:t>Three Months Ended September 30,</w:t>
            </w:r>
          </w:p>
        </w:tc>
        <w:tc>
          <w:tcPr>
            <w:tcW w:w="220" w:type="dxa"/>
            <w:vAlign w:val="bottom"/>
          </w:tcPr>
          <w:p>
            <w:pPr>
              <w:spacing w:after="0"/>
              <w:rPr>
                <w:sz w:val="18"/>
                <w:szCs w:val="18"/>
                <w:color w:val="auto"/>
              </w:rPr>
            </w:pPr>
          </w:p>
        </w:tc>
        <w:tc>
          <w:tcPr>
            <w:tcW w:w="2560" w:type="dxa"/>
            <w:vAlign w:val="bottom"/>
            <w:gridSpan w:val="3"/>
          </w:tcPr>
          <w:p>
            <w:pPr>
              <w:jc w:val="center"/>
              <w:spacing w:after="0"/>
              <w:rPr>
                <w:sz w:val="20"/>
                <w:szCs w:val="20"/>
                <w:color w:val="auto"/>
              </w:rPr>
            </w:pPr>
            <w:r>
              <w:rPr>
                <w:rFonts w:ascii="Arial" w:cs="Arial" w:eastAsia="Arial" w:hAnsi="Arial"/>
                <w:sz w:val="18"/>
                <w:szCs w:val="18"/>
                <w:b w:val="1"/>
                <w:bCs w:val="1"/>
                <w:color w:val="auto"/>
                <w:w w:val="90"/>
              </w:rPr>
              <w:t>Nine Months Ended September</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6"/>
        </w:trPr>
        <w:tc>
          <w:tcPr>
            <w:tcW w:w="5520" w:type="dxa"/>
            <w:vAlign w:val="bottom"/>
          </w:tcPr>
          <w:p>
            <w:pPr>
              <w:spacing w:after="0"/>
              <w:rPr>
                <w:sz w:val="10"/>
                <w:szCs w:val="10"/>
                <w:color w:val="auto"/>
              </w:rPr>
            </w:pPr>
          </w:p>
        </w:tc>
        <w:tc>
          <w:tcPr>
            <w:tcW w:w="2840" w:type="dxa"/>
            <w:vAlign w:val="bottom"/>
            <w:gridSpan w:val="3"/>
            <w:vMerge w:val="continue"/>
          </w:tcPr>
          <w:p>
            <w:pPr>
              <w:spacing w:after="0"/>
              <w:rPr>
                <w:sz w:val="10"/>
                <w:szCs w:val="10"/>
                <w:color w:val="auto"/>
              </w:rPr>
            </w:pPr>
          </w:p>
        </w:tc>
        <w:tc>
          <w:tcPr>
            <w:tcW w:w="1660" w:type="dxa"/>
            <w:vAlign w:val="bottom"/>
            <w:gridSpan w:val="3"/>
            <w:vMerge w:val="restart"/>
          </w:tcPr>
          <w:p>
            <w:pPr>
              <w:jc w:val="right"/>
              <w:ind w:right="40"/>
              <w:spacing w:after="0"/>
              <w:rPr>
                <w:sz w:val="20"/>
                <w:szCs w:val="20"/>
                <w:color w:val="auto"/>
              </w:rPr>
            </w:pPr>
            <w:r>
              <w:rPr>
                <w:rFonts w:ascii="Arial" w:cs="Arial" w:eastAsia="Arial" w:hAnsi="Arial"/>
                <w:sz w:val="18"/>
                <w:szCs w:val="18"/>
                <w:b w:val="1"/>
                <w:bCs w:val="1"/>
                <w:color w:val="auto"/>
              </w:rPr>
              <w:t>30,</w:t>
            </w:r>
          </w:p>
        </w:tc>
        <w:tc>
          <w:tcPr>
            <w:tcW w:w="1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5520" w:type="dxa"/>
            <w:vAlign w:val="bottom"/>
          </w:tcPr>
          <w:p>
            <w:pPr>
              <w:spacing w:after="0"/>
              <w:rPr>
                <w:sz w:val="9"/>
                <w:szCs w:val="9"/>
                <w:color w:val="auto"/>
              </w:rPr>
            </w:pPr>
          </w:p>
        </w:tc>
        <w:tc>
          <w:tcPr>
            <w:tcW w:w="12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340" w:type="dxa"/>
            <w:vAlign w:val="bottom"/>
          </w:tcPr>
          <w:p>
            <w:pPr>
              <w:spacing w:after="0"/>
              <w:rPr>
                <w:sz w:val="9"/>
                <w:szCs w:val="9"/>
                <w:color w:val="auto"/>
              </w:rPr>
            </w:pPr>
          </w:p>
        </w:tc>
        <w:tc>
          <w:tcPr>
            <w:tcW w:w="1660" w:type="dxa"/>
            <w:vAlign w:val="bottom"/>
            <w:gridSpan w:val="3"/>
            <w:vMerge w:val="continue"/>
          </w:tcPr>
          <w:p>
            <w:pPr>
              <w:spacing w:after="0"/>
              <w:rPr>
                <w:sz w:val="9"/>
                <w:szCs w:val="9"/>
                <w:color w:val="auto"/>
              </w:rPr>
            </w:pPr>
          </w:p>
        </w:tc>
        <w:tc>
          <w:tcPr>
            <w:tcW w:w="1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38"/>
        </w:trPr>
        <w:tc>
          <w:tcPr>
            <w:tcW w:w="5520" w:type="dxa"/>
            <w:vAlign w:val="bottom"/>
          </w:tcPr>
          <w:p>
            <w:pPr>
              <w:spacing w:after="0"/>
              <w:rPr>
                <w:sz w:val="20"/>
                <w:szCs w:val="20"/>
                <w:color w:val="auto"/>
              </w:rPr>
            </w:pPr>
          </w:p>
        </w:tc>
        <w:tc>
          <w:tcPr>
            <w:tcW w:w="1260" w:type="dxa"/>
            <w:vAlign w:val="bottom"/>
            <w:tcBorders>
              <w:top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2023</w:t>
            </w:r>
          </w:p>
        </w:tc>
        <w:tc>
          <w:tcPr>
            <w:tcW w:w="1580" w:type="dxa"/>
            <w:vAlign w:val="bottom"/>
            <w:tcBorders>
              <w:top w:val="single" w:sz="8" w:color="auto"/>
            </w:tcBorders>
            <w:gridSpan w:val="2"/>
          </w:tcPr>
          <w:p>
            <w:pPr>
              <w:jc w:val="right"/>
              <w:ind w:right="390"/>
              <w:spacing w:after="0"/>
              <w:rPr>
                <w:sz w:val="20"/>
                <w:szCs w:val="20"/>
                <w:color w:val="auto"/>
              </w:rPr>
            </w:pPr>
            <w:r>
              <w:rPr>
                <w:rFonts w:ascii="Arial" w:cs="Arial" w:eastAsia="Arial" w:hAnsi="Arial"/>
                <w:sz w:val="18"/>
                <w:szCs w:val="18"/>
                <w:b w:val="1"/>
                <w:bCs w:val="1"/>
                <w:color w:val="auto"/>
              </w:rPr>
              <w:t>2022</w:t>
            </w:r>
          </w:p>
        </w:tc>
        <w:tc>
          <w:tcPr>
            <w:tcW w:w="220" w:type="dxa"/>
            <w:vAlign w:val="bottom"/>
          </w:tcPr>
          <w:p>
            <w:pPr>
              <w:spacing w:after="0"/>
              <w:rPr>
                <w:sz w:val="20"/>
                <w:szCs w:val="20"/>
                <w:color w:val="auto"/>
              </w:rPr>
            </w:pPr>
          </w:p>
        </w:tc>
        <w:tc>
          <w:tcPr>
            <w:tcW w:w="1240" w:type="dxa"/>
            <w:vAlign w:val="bottom"/>
            <w:tcBorders>
              <w:top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2023</w:t>
            </w:r>
          </w:p>
        </w:tc>
        <w:tc>
          <w:tcPr>
            <w:tcW w:w="20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5520" w:type="dxa"/>
            <w:vAlign w:val="bottom"/>
            <w:shd w:val="clear" w:color="auto" w:fill="CFF0FC"/>
          </w:tcPr>
          <w:p>
            <w:pPr>
              <w:ind w:left="20"/>
              <w:spacing w:after="0"/>
              <w:rPr>
                <w:sz w:val="20"/>
                <w:szCs w:val="20"/>
                <w:color w:val="auto"/>
              </w:rPr>
            </w:pPr>
            <w:r>
              <w:rPr>
                <w:rFonts w:ascii="Arial" w:cs="Arial" w:eastAsia="Arial" w:hAnsi="Arial"/>
                <w:sz w:val="18"/>
                <w:szCs w:val="18"/>
                <w:color w:val="auto"/>
              </w:rPr>
              <w:t>Stock options</w:t>
            </w:r>
          </w:p>
        </w:tc>
        <w:tc>
          <w:tcPr>
            <w:tcW w:w="12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3,798,034</w:t>
            </w:r>
          </w:p>
        </w:tc>
        <w:tc>
          <w:tcPr>
            <w:tcW w:w="240" w:type="dxa"/>
            <w:vAlign w:val="bottom"/>
            <w:shd w:val="clear" w:color="auto" w:fill="CFF0FC"/>
          </w:tcPr>
          <w:p>
            <w:pPr>
              <w:spacing w:after="0"/>
              <w:rPr>
                <w:sz w:val="20"/>
                <w:szCs w:val="20"/>
                <w:color w:val="auto"/>
              </w:rPr>
            </w:pPr>
          </w:p>
        </w:tc>
        <w:tc>
          <w:tcPr>
            <w:tcW w:w="13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2,384,530</w:t>
            </w:r>
          </w:p>
        </w:tc>
        <w:tc>
          <w:tcPr>
            <w:tcW w:w="220" w:type="dxa"/>
            <w:vAlign w:val="bottom"/>
            <w:shd w:val="clear" w:color="auto" w:fill="CFF0FC"/>
          </w:tcPr>
          <w:p>
            <w:pPr>
              <w:spacing w:after="0"/>
              <w:rPr>
                <w:sz w:val="20"/>
                <w:szCs w:val="20"/>
                <w:color w:val="auto"/>
              </w:rPr>
            </w:pPr>
          </w:p>
        </w:tc>
        <w:tc>
          <w:tcPr>
            <w:tcW w:w="12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3,343,733</w:t>
            </w:r>
          </w:p>
        </w:tc>
        <w:tc>
          <w:tcPr>
            <w:tcW w:w="200" w:type="dxa"/>
            <w:vAlign w:val="bottom"/>
            <w:shd w:val="clear" w:color="auto" w:fill="CFF0FC"/>
          </w:tcPr>
          <w:p>
            <w:pPr>
              <w:spacing w:after="0"/>
              <w:rPr>
                <w:sz w:val="20"/>
                <w:szCs w:val="20"/>
                <w:color w:val="auto"/>
              </w:rPr>
            </w:pPr>
          </w:p>
        </w:tc>
        <w:tc>
          <w:tcPr>
            <w:tcW w:w="1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2,188,289</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5520" w:type="dxa"/>
            <w:vAlign w:val="bottom"/>
          </w:tcPr>
          <w:p>
            <w:pPr>
              <w:ind w:left="20"/>
              <w:spacing w:after="0"/>
              <w:rPr>
                <w:sz w:val="20"/>
                <w:szCs w:val="20"/>
                <w:color w:val="auto"/>
              </w:rPr>
            </w:pPr>
            <w:r>
              <w:rPr>
                <w:rFonts w:ascii="Arial" w:cs="Arial" w:eastAsia="Arial" w:hAnsi="Arial"/>
                <w:sz w:val="18"/>
                <w:szCs w:val="18"/>
                <w:color w:val="auto"/>
              </w:rPr>
              <w:t>Restricted stock units</w:t>
            </w:r>
          </w:p>
        </w:tc>
        <w:tc>
          <w:tcPr>
            <w:tcW w:w="1260" w:type="dxa"/>
            <w:vAlign w:val="bottom"/>
          </w:tcPr>
          <w:p>
            <w:pPr>
              <w:jc w:val="right"/>
              <w:spacing w:after="0"/>
              <w:rPr>
                <w:sz w:val="20"/>
                <w:szCs w:val="20"/>
                <w:color w:val="auto"/>
              </w:rPr>
            </w:pPr>
            <w:r>
              <w:rPr>
                <w:rFonts w:ascii="Arial" w:cs="Arial" w:eastAsia="Arial" w:hAnsi="Arial"/>
                <w:sz w:val="18"/>
                <w:szCs w:val="18"/>
                <w:color w:val="auto"/>
              </w:rPr>
              <w:t>8,049</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15,165</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199,888</w:t>
            </w:r>
          </w:p>
        </w:tc>
        <w:tc>
          <w:tcPr>
            <w:tcW w:w="2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60,612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9"/>
        </w:trPr>
        <w:tc>
          <w:tcPr>
            <w:tcW w:w="55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Employee stock purchase plan</w:t>
            </w: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FF0FC"/>
            </w:tcBorders>
            <w:shd w:val="clear" w:color="auto" w:fill="CFF0FC"/>
          </w:tcPr>
          <w:p>
            <w:pPr>
              <w:spacing w:after="0"/>
              <w:rPr>
                <w:sz w:val="24"/>
                <w:szCs w:val="24"/>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7,186</w:t>
            </w:r>
          </w:p>
        </w:tc>
        <w:tc>
          <w:tcPr>
            <w:tcW w:w="220" w:type="dxa"/>
            <w:vAlign w:val="bottom"/>
            <w:tcBorders>
              <w:bottom w:val="single" w:sz="8" w:color="CFF0FC"/>
            </w:tcBorders>
            <w:shd w:val="clear" w:color="auto" w:fill="CFF0FC"/>
          </w:tcPr>
          <w:p>
            <w:pPr>
              <w:spacing w:after="0"/>
              <w:rPr>
                <w:sz w:val="24"/>
                <w:szCs w:val="24"/>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30,594</w:t>
            </w:r>
          </w:p>
        </w:tc>
        <w:tc>
          <w:tcPr>
            <w:tcW w:w="200" w:type="dxa"/>
            <w:vAlign w:val="bottom"/>
            <w:tcBorders>
              <w:bottom w:val="single" w:sz="8" w:color="CFF0FC"/>
            </w:tcBorders>
            <w:shd w:val="clear" w:color="auto" w:fill="CFF0FC"/>
          </w:tcPr>
          <w:p>
            <w:pPr>
              <w:spacing w:after="0"/>
              <w:rPr>
                <w:sz w:val="24"/>
                <w:szCs w:val="24"/>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34,466</w:t>
            </w:r>
          </w:p>
        </w:tc>
        <w:tc>
          <w:tcPr>
            <w:tcW w:w="10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4303395</wp:posOffset>
            </wp:positionH>
            <wp:positionV relativeFrom="paragraph">
              <wp:posOffset>-24765</wp:posOffset>
            </wp:positionV>
            <wp:extent cx="76835"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4303395</wp:posOffset>
            </wp:positionH>
            <wp:positionV relativeFrom="paragraph">
              <wp:posOffset>-7620</wp:posOffset>
            </wp:positionV>
            <wp:extent cx="76835"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5313680</wp:posOffset>
            </wp:positionH>
            <wp:positionV relativeFrom="paragraph">
              <wp:posOffset>-24765</wp:posOffset>
            </wp:positionV>
            <wp:extent cx="6858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5313680</wp:posOffset>
            </wp:positionH>
            <wp:positionV relativeFrom="paragraph">
              <wp:posOffset>-7620</wp:posOffset>
            </wp:positionV>
            <wp:extent cx="6858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6229985</wp:posOffset>
            </wp:positionH>
            <wp:positionV relativeFrom="paragraph">
              <wp:posOffset>-24765</wp:posOffset>
            </wp:positionV>
            <wp:extent cx="6858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6229985</wp:posOffset>
            </wp:positionH>
            <wp:positionV relativeFrom="paragraph">
              <wp:posOffset>-7620</wp:posOffset>
            </wp:positionV>
            <wp:extent cx="6858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Recently Adopted Accounting Pronouncements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231F20"/>
        </w:rPr>
        <w:t>There have been no new accounting standards issued which would require either disclosure or adoption in the current period.</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231F20"/>
        </w:rPr>
        <w:t>3.  Property and Equipment, Net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Property and equipment, net consisted of the following </w:t>
      </w:r>
      <w:r>
        <w:rPr>
          <w:rFonts w:ascii="Arial" w:cs="Arial" w:eastAsia="Arial" w:hAnsi="Arial"/>
          <w:sz w:val="18"/>
          <w:szCs w:val="18"/>
          <w:color w:val="231F20"/>
        </w:rPr>
        <w:t>for the periods presented</w:t>
      </w:r>
      <w:r>
        <w:rPr>
          <w:rFonts w:ascii="Arial" w:cs="Arial" w:eastAsia="Arial" w:hAnsi="Arial"/>
          <w:sz w:val="18"/>
          <w:szCs w:val="18"/>
          <w:color w:val="auto"/>
        </w:rPr>
        <w:t>:</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61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52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b w:val="1"/>
                <w:bCs w:val="1"/>
                <w:color w:val="auto"/>
              </w:rPr>
              <w:t>As of</w:t>
            </w:r>
          </w:p>
        </w:tc>
        <w:tc>
          <w:tcPr>
            <w:tcW w:w="240" w:type="dxa"/>
            <w:vAlign w:val="bottom"/>
            <w:tcBorders>
              <w:bottom w:val="single" w:sz="8" w:color="auto"/>
            </w:tcBorders>
          </w:tcPr>
          <w:p>
            <w:pPr>
              <w:spacing w:after="0"/>
              <w:rPr>
                <w:sz w:val="20"/>
                <w:szCs w:val="20"/>
                <w:color w:val="auto"/>
              </w:rPr>
            </w:pPr>
          </w:p>
        </w:tc>
        <w:tc>
          <w:tcPr>
            <w:tcW w:w="19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38"/>
        </w:trPr>
        <w:tc>
          <w:tcPr>
            <w:tcW w:w="6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520" w:type="dxa"/>
            <w:vAlign w:val="bottom"/>
            <w:gridSpan w:val="2"/>
          </w:tcPr>
          <w:p>
            <w:pPr>
              <w:jc w:val="right"/>
              <w:ind w:right="860"/>
              <w:spacing w:after="0"/>
              <w:rPr>
                <w:sz w:val="20"/>
                <w:szCs w:val="20"/>
                <w:color w:val="auto"/>
              </w:rPr>
            </w:pPr>
            <w:r>
              <w:rPr>
                <w:rFonts w:ascii="Arial" w:cs="Arial" w:eastAsia="Arial" w:hAnsi="Arial"/>
                <w:sz w:val="18"/>
                <w:szCs w:val="18"/>
                <w:b w:val="1"/>
                <w:bCs w:val="1"/>
                <w:color w:val="auto"/>
                <w:w w:val="97"/>
              </w:rPr>
              <w:t>September 30, 2023</w:t>
            </w:r>
          </w:p>
        </w:tc>
        <w:tc>
          <w:tcPr>
            <w:tcW w:w="240" w:type="dxa"/>
            <w:vAlign w:val="bottom"/>
          </w:tcPr>
          <w:p>
            <w:pPr>
              <w:spacing w:after="0"/>
              <w:rPr>
                <w:sz w:val="20"/>
                <w:szCs w:val="20"/>
                <w:color w:val="auto"/>
              </w:rPr>
            </w:pPr>
          </w:p>
        </w:tc>
        <w:tc>
          <w:tcPr>
            <w:tcW w:w="1980" w:type="dxa"/>
            <w:vAlign w:val="bottom"/>
          </w:tcPr>
          <w:p>
            <w:pPr>
              <w:jc w:val="right"/>
              <w:ind w:right="290"/>
              <w:spacing w:after="0"/>
              <w:rPr>
                <w:sz w:val="20"/>
                <w:szCs w:val="20"/>
                <w:color w:val="auto"/>
              </w:rPr>
            </w:pPr>
            <w:r>
              <w:rPr>
                <w:rFonts w:ascii="Arial" w:cs="Arial" w:eastAsia="Arial" w:hAnsi="Arial"/>
                <w:sz w:val="18"/>
                <w:szCs w:val="18"/>
                <w:b w:val="1"/>
                <w:bCs w:val="1"/>
                <w:color w:val="auto"/>
                <w:w w:val="97"/>
              </w:rPr>
              <w:t>December 31, 2022</w:t>
            </w:r>
          </w:p>
        </w:tc>
        <w:tc>
          <w:tcPr>
            <w:tcW w:w="100" w:type="dxa"/>
            <w:vAlign w:val="bottom"/>
          </w:tcPr>
          <w:p>
            <w:pPr>
              <w:spacing w:after="0"/>
              <w:rPr>
                <w:sz w:val="20"/>
                <w:szCs w:val="20"/>
                <w:color w:val="auto"/>
              </w:rPr>
            </w:pPr>
          </w:p>
        </w:tc>
      </w:tr>
      <w:tr>
        <w:trPr>
          <w:trHeight w:val="240"/>
        </w:trPr>
        <w:tc>
          <w:tcPr>
            <w:tcW w:w="6160" w:type="dxa"/>
            <w:vAlign w:val="bottom"/>
            <w:shd w:val="clear" w:color="auto" w:fill="CFF0FC"/>
          </w:tcPr>
          <w:p>
            <w:pPr>
              <w:ind w:left="120"/>
              <w:spacing w:after="0"/>
              <w:rPr>
                <w:sz w:val="20"/>
                <w:szCs w:val="20"/>
                <w:color w:val="auto"/>
              </w:rPr>
            </w:pPr>
            <w:r>
              <w:rPr>
                <w:rFonts w:ascii="Arial" w:cs="Arial" w:eastAsia="Arial" w:hAnsi="Arial"/>
                <w:sz w:val="18"/>
                <w:szCs w:val="18"/>
                <w:color w:val="auto"/>
              </w:rPr>
              <w:t>Land</w:t>
            </w:r>
          </w:p>
        </w:tc>
        <w:tc>
          <w:tcPr>
            <w:tcW w:w="240" w:type="dxa"/>
            <w:vAlign w:val="bottom"/>
            <w:tcBorders>
              <w:top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2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104,643</w:t>
            </w:r>
          </w:p>
        </w:tc>
        <w:tc>
          <w:tcPr>
            <w:tcW w:w="460" w:type="dxa"/>
            <w:vAlign w:val="bottom"/>
            <w:shd w:val="clear" w:color="auto" w:fill="CFF0FC"/>
          </w:tcPr>
          <w:p>
            <w:pPr>
              <w:spacing w:after="0"/>
              <w:rPr>
                <w:sz w:val="20"/>
                <w:szCs w:val="20"/>
                <w:color w:val="auto"/>
              </w:rPr>
            </w:pPr>
          </w:p>
        </w:tc>
        <w:tc>
          <w:tcPr>
            <w:tcW w:w="240" w:type="dxa"/>
            <w:vAlign w:val="bottom"/>
            <w:tcBorders>
              <w:top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94,594</w:t>
            </w:r>
          </w:p>
        </w:tc>
        <w:tc>
          <w:tcPr>
            <w:tcW w:w="100" w:type="dxa"/>
            <w:vAlign w:val="bottom"/>
            <w:shd w:val="clear" w:color="auto" w:fill="CFF0FC"/>
          </w:tcPr>
          <w:p>
            <w:pPr>
              <w:spacing w:after="0"/>
              <w:rPr>
                <w:sz w:val="20"/>
                <w:szCs w:val="20"/>
                <w:color w:val="auto"/>
              </w:rPr>
            </w:pPr>
          </w:p>
        </w:tc>
      </w:tr>
      <w:tr>
        <w:trPr>
          <w:trHeight w:val="236"/>
        </w:trPr>
        <w:tc>
          <w:tcPr>
            <w:tcW w:w="6160" w:type="dxa"/>
            <w:vAlign w:val="bottom"/>
          </w:tcPr>
          <w:p>
            <w:pPr>
              <w:ind w:left="120"/>
              <w:spacing w:after="0"/>
              <w:rPr>
                <w:sz w:val="20"/>
                <w:szCs w:val="20"/>
                <w:color w:val="auto"/>
              </w:rPr>
            </w:pPr>
            <w:r>
              <w:rPr>
                <w:rFonts w:ascii="Arial" w:cs="Arial" w:eastAsia="Arial" w:hAnsi="Arial"/>
                <w:sz w:val="18"/>
                <w:szCs w:val="18"/>
                <w:color w:val="auto"/>
              </w:rPr>
              <w:t>Buildings and improvements</w:t>
            </w:r>
          </w:p>
        </w:tc>
        <w:tc>
          <w:tcPr>
            <w:tcW w:w="240" w:type="dxa"/>
            <w:vAlign w:val="bottom"/>
          </w:tcPr>
          <w:p>
            <w:pPr>
              <w:spacing w:after="0"/>
              <w:rPr>
                <w:sz w:val="20"/>
                <w:szCs w:val="20"/>
                <w:color w:val="auto"/>
              </w:rPr>
            </w:pPr>
          </w:p>
        </w:tc>
        <w:tc>
          <w:tcPr>
            <w:tcW w:w="2060" w:type="dxa"/>
            <w:vAlign w:val="bottom"/>
          </w:tcPr>
          <w:p>
            <w:pPr>
              <w:jc w:val="right"/>
              <w:spacing w:after="0"/>
              <w:rPr>
                <w:sz w:val="20"/>
                <w:szCs w:val="20"/>
                <w:color w:val="auto"/>
              </w:rPr>
            </w:pPr>
            <w:r>
              <w:rPr>
                <w:rFonts w:ascii="Arial" w:cs="Arial" w:eastAsia="Arial" w:hAnsi="Arial"/>
                <w:sz w:val="18"/>
                <w:szCs w:val="18"/>
                <w:color w:val="auto"/>
              </w:rPr>
              <w:t>228,008</w:t>
            </w:r>
          </w:p>
        </w:tc>
        <w:tc>
          <w:tcPr>
            <w:tcW w:w="4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980" w:type="dxa"/>
            <w:vAlign w:val="bottom"/>
          </w:tcPr>
          <w:p>
            <w:pPr>
              <w:jc w:val="right"/>
              <w:spacing w:after="0"/>
              <w:rPr>
                <w:sz w:val="20"/>
                <w:szCs w:val="20"/>
                <w:color w:val="auto"/>
              </w:rPr>
            </w:pPr>
            <w:r>
              <w:rPr>
                <w:rFonts w:ascii="Arial" w:cs="Arial" w:eastAsia="Arial" w:hAnsi="Arial"/>
                <w:sz w:val="18"/>
                <w:szCs w:val="18"/>
                <w:color w:val="auto"/>
              </w:rPr>
              <w:t>189,998</w:t>
            </w:r>
          </w:p>
        </w:tc>
        <w:tc>
          <w:tcPr>
            <w:tcW w:w="100" w:type="dxa"/>
            <w:vAlign w:val="bottom"/>
          </w:tcPr>
          <w:p>
            <w:pPr>
              <w:spacing w:after="0"/>
              <w:rPr>
                <w:sz w:val="20"/>
                <w:szCs w:val="20"/>
                <w:color w:val="auto"/>
              </w:rPr>
            </w:pPr>
          </w:p>
        </w:tc>
      </w:tr>
      <w:tr>
        <w:trPr>
          <w:trHeight w:val="249"/>
        </w:trPr>
        <w:tc>
          <w:tcPr>
            <w:tcW w:w="6160" w:type="dxa"/>
            <w:vAlign w:val="bottom"/>
            <w:shd w:val="clear" w:color="auto" w:fill="CFF0FC"/>
          </w:tcPr>
          <w:p>
            <w:pPr>
              <w:ind w:left="120"/>
              <w:spacing w:after="0"/>
              <w:rPr>
                <w:sz w:val="20"/>
                <w:szCs w:val="20"/>
                <w:color w:val="auto"/>
              </w:rPr>
            </w:pPr>
            <w:r>
              <w:rPr>
                <w:rFonts w:ascii="Arial" w:cs="Arial" w:eastAsia="Arial" w:hAnsi="Arial"/>
                <w:sz w:val="18"/>
                <w:szCs w:val="18"/>
                <w:color w:val="auto"/>
              </w:rPr>
              <w:t>Finance leases</w:t>
            </w:r>
          </w:p>
        </w:tc>
        <w:tc>
          <w:tcPr>
            <w:tcW w:w="240" w:type="dxa"/>
            <w:vAlign w:val="bottom"/>
            <w:shd w:val="clear" w:color="auto" w:fill="CFF0FC"/>
          </w:tcPr>
          <w:p>
            <w:pPr>
              <w:spacing w:after="0"/>
              <w:rPr>
                <w:sz w:val="21"/>
                <w:szCs w:val="21"/>
                <w:color w:val="auto"/>
              </w:rPr>
            </w:pPr>
          </w:p>
        </w:tc>
        <w:tc>
          <w:tcPr>
            <w:tcW w:w="2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16,604</w:t>
            </w:r>
          </w:p>
        </w:tc>
        <w:tc>
          <w:tcPr>
            <w:tcW w:w="4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16,604</w:t>
            </w:r>
          </w:p>
        </w:tc>
        <w:tc>
          <w:tcPr>
            <w:tcW w:w="100" w:type="dxa"/>
            <w:vAlign w:val="bottom"/>
            <w:shd w:val="clear" w:color="auto" w:fill="CFF0FC"/>
          </w:tcPr>
          <w:p>
            <w:pPr>
              <w:spacing w:after="0"/>
              <w:rPr>
                <w:sz w:val="21"/>
                <w:szCs w:val="21"/>
                <w:color w:val="auto"/>
              </w:rPr>
            </w:pPr>
          </w:p>
        </w:tc>
      </w:tr>
      <w:tr>
        <w:trPr>
          <w:trHeight w:val="236"/>
        </w:trPr>
        <w:tc>
          <w:tcPr>
            <w:tcW w:w="6160" w:type="dxa"/>
            <w:vAlign w:val="bottom"/>
          </w:tcPr>
          <w:p>
            <w:pPr>
              <w:ind w:left="120"/>
              <w:spacing w:after="0"/>
              <w:rPr>
                <w:sz w:val="20"/>
                <w:szCs w:val="20"/>
                <w:color w:val="auto"/>
              </w:rPr>
            </w:pPr>
            <w:r>
              <w:rPr>
                <w:rFonts w:ascii="Arial" w:cs="Arial" w:eastAsia="Arial" w:hAnsi="Arial"/>
                <w:sz w:val="18"/>
                <w:szCs w:val="18"/>
                <w:color w:val="auto"/>
              </w:rPr>
              <w:t>Leasehold improvements</w:t>
            </w:r>
          </w:p>
        </w:tc>
        <w:tc>
          <w:tcPr>
            <w:tcW w:w="240" w:type="dxa"/>
            <w:vAlign w:val="bottom"/>
          </w:tcPr>
          <w:p>
            <w:pPr>
              <w:spacing w:after="0"/>
              <w:rPr>
                <w:sz w:val="20"/>
                <w:szCs w:val="20"/>
                <w:color w:val="auto"/>
              </w:rPr>
            </w:pPr>
          </w:p>
        </w:tc>
        <w:tc>
          <w:tcPr>
            <w:tcW w:w="2060" w:type="dxa"/>
            <w:vAlign w:val="bottom"/>
          </w:tcPr>
          <w:p>
            <w:pPr>
              <w:jc w:val="right"/>
              <w:spacing w:after="0"/>
              <w:rPr>
                <w:sz w:val="20"/>
                <w:szCs w:val="20"/>
                <w:color w:val="auto"/>
              </w:rPr>
            </w:pPr>
            <w:r>
              <w:rPr>
                <w:rFonts w:ascii="Arial" w:cs="Arial" w:eastAsia="Arial" w:hAnsi="Arial"/>
                <w:sz w:val="18"/>
                <w:szCs w:val="18"/>
                <w:color w:val="auto"/>
              </w:rPr>
              <w:t>125,249</w:t>
            </w:r>
          </w:p>
        </w:tc>
        <w:tc>
          <w:tcPr>
            <w:tcW w:w="4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980" w:type="dxa"/>
            <w:vAlign w:val="bottom"/>
          </w:tcPr>
          <w:p>
            <w:pPr>
              <w:jc w:val="right"/>
              <w:spacing w:after="0"/>
              <w:rPr>
                <w:sz w:val="20"/>
                <w:szCs w:val="20"/>
                <w:color w:val="auto"/>
              </w:rPr>
            </w:pPr>
            <w:r>
              <w:rPr>
                <w:rFonts w:ascii="Arial" w:cs="Arial" w:eastAsia="Arial" w:hAnsi="Arial"/>
                <w:sz w:val="18"/>
                <w:szCs w:val="18"/>
                <w:color w:val="auto"/>
              </w:rPr>
              <w:t>115,811</w:t>
            </w:r>
          </w:p>
        </w:tc>
        <w:tc>
          <w:tcPr>
            <w:tcW w:w="100" w:type="dxa"/>
            <w:vAlign w:val="bottom"/>
          </w:tcPr>
          <w:p>
            <w:pPr>
              <w:spacing w:after="0"/>
              <w:rPr>
                <w:sz w:val="20"/>
                <w:szCs w:val="20"/>
                <w:color w:val="auto"/>
              </w:rPr>
            </w:pPr>
          </w:p>
        </w:tc>
      </w:tr>
      <w:tr>
        <w:trPr>
          <w:trHeight w:val="249"/>
        </w:trPr>
        <w:tc>
          <w:tcPr>
            <w:tcW w:w="6160" w:type="dxa"/>
            <w:vAlign w:val="bottom"/>
            <w:shd w:val="clear" w:color="auto" w:fill="CFF0FC"/>
          </w:tcPr>
          <w:p>
            <w:pPr>
              <w:ind w:left="120"/>
              <w:spacing w:after="0"/>
              <w:rPr>
                <w:sz w:val="20"/>
                <w:szCs w:val="20"/>
                <w:color w:val="auto"/>
              </w:rPr>
            </w:pPr>
            <w:r>
              <w:rPr>
                <w:rFonts w:ascii="Arial" w:cs="Arial" w:eastAsia="Arial" w:hAnsi="Arial"/>
                <w:sz w:val="18"/>
                <w:szCs w:val="18"/>
                <w:color w:val="auto"/>
              </w:rPr>
              <w:t>Vehicles and equipment</w:t>
            </w:r>
          </w:p>
        </w:tc>
        <w:tc>
          <w:tcPr>
            <w:tcW w:w="240" w:type="dxa"/>
            <w:vAlign w:val="bottom"/>
            <w:shd w:val="clear" w:color="auto" w:fill="CFF0FC"/>
          </w:tcPr>
          <w:p>
            <w:pPr>
              <w:spacing w:after="0"/>
              <w:rPr>
                <w:sz w:val="21"/>
                <w:szCs w:val="21"/>
                <w:color w:val="auto"/>
              </w:rPr>
            </w:pPr>
          </w:p>
        </w:tc>
        <w:tc>
          <w:tcPr>
            <w:tcW w:w="2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257,854</w:t>
            </w:r>
          </w:p>
        </w:tc>
        <w:tc>
          <w:tcPr>
            <w:tcW w:w="4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229,453</w:t>
            </w:r>
          </w:p>
        </w:tc>
        <w:tc>
          <w:tcPr>
            <w:tcW w:w="100" w:type="dxa"/>
            <w:vAlign w:val="bottom"/>
            <w:shd w:val="clear" w:color="auto" w:fill="CFF0FC"/>
          </w:tcPr>
          <w:p>
            <w:pPr>
              <w:spacing w:after="0"/>
              <w:rPr>
                <w:sz w:val="21"/>
                <w:szCs w:val="21"/>
                <w:color w:val="auto"/>
              </w:rPr>
            </w:pPr>
          </w:p>
        </w:tc>
      </w:tr>
      <w:tr>
        <w:trPr>
          <w:trHeight w:val="236"/>
        </w:trPr>
        <w:tc>
          <w:tcPr>
            <w:tcW w:w="6160" w:type="dxa"/>
            <w:vAlign w:val="bottom"/>
          </w:tcPr>
          <w:p>
            <w:pPr>
              <w:ind w:left="120"/>
              <w:spacing w:after="0"/>
              <w:rPr>
                <w:sz w:val="20"/>
                <w:szCs w:val="20"/>
                <w:color w:val="auto"/>
              </w:rPr>
            </w:pPr>
            <w:r>
              <w:rPr>
                <w:rFonts w:ascii="Arial" w:cs="Arial" w:eastAsia="Arial" w:hAnsi="Arial"/>
                <w:sz w:val="18"/>
                <w:szCs w:val="18"/>
                <w:color w:val="auto"/>
              </w:rPr>
              <w:t>Furniture, fixtures and equipment</w:t>
            </w:r>
          </w:p>
        </w:tc>
        <w:tc>
          <w:tcPr>
            <w:tcW w:w="240" w:type="dxa"/>
            <w:vAlign w:val="bottom"/>
          </w:tcPr>
          <w:p>
            <w:pPr>
              <w:spacing w:after="0"/>
              <w:rPr>
                <w:sz w:val="20"/>
                <w:szCs w:val="20"/>
                <w:color w:val="auto"/>
              </w:rPr>
            </w:pPr>
          </w:p>
        </w:tc>
        <w:tc>
          <w:tcPr>
            <w:tcW w:w="2060" w:type="dxa"/>
            <w:vAlign w:val="bottom"/>
          </w:tcPr>
          <w:p>
            <w:pPr>
              <w:jc w:val="right"/>
              <w:spacing w:after="0"/>
              <w:rPr>
                <w:sz w:val="20"/>
                <w:szCs w:val="20"/>
                <w:color w:val="auto"/>
              </w:rPr>
            </w:pPr>
            <w:r>
              <w:rPr>
                <w:rFonts w:ascii="Arial" w:cs="Arial" w:eastAsia="Arial" w:hAnsi="Arial"/>
                <w:sz w:val="18"/>
                <w:szCs w:val="18"/>
                <w:color w:val="auto"/>
              </w:rPr>
              <w:t>95,307</w:t>
            </w:r>
          </w:p>
        </w:tc>
        <w:tc>
          <w:tcPr>
            <w:tcW w:w="4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980" w:type="dxa"/>
            <w:vAlign w:val="bottom"/>
          </w:tcPr>
          <w:p>
            <w:pPr>
              <w:jc w:val="right"/>
              <w:spacing w:after="0"/>
              <w:rPr>
                <w:sz w:val="20"/>
                <w:szCs w:val="20"/>
                <w:color w:val="auto"/>
              </w:rPr>
            </w:pPr>
            <w:r>
              <w:rPr>
                <w:rFonts w:ascii="Arial" w:cs="Arial" w:eastAsia="Arial" w:hAnsi="Arial"/>
                <w:sz w:val="18"/>
                <w:szCs w:val="18"/>
                <w:color w:val="auto"/>
              </w:rPr>
              <w:t>86,613</w:t>
            </w:r>
          </w:p>
        </w:tc>
        <w:tc>
          <w:tcPr>
            <w:tcW w:w="100" w:type="dxa"/>
            <w:vAlign w:val="bottom"/>
          </w:tcPr>
          <w:p>
            <w:pPr>
              <w:spacing w:after="0"/>
              <w:rPr>
                <w:sz w:val="20"/>
                <w:szCs w:val="20"/>
                <w:color w:val="auto"/>
              </w:rPr>
            </w:pPr>
          </w:p>
        </w:tc>
      </w:tr>
      <w:tr>
        <w:trPr>
          <w:trHeight w:val="243"/>
        </w:trPr>
        <w:tc>
          <w:tcPr>
            <w:tcW w:w="616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18"/>
                <w:szCs w:val="18"/>
                <w:color w:val="auto"/>
              </w:rPr>
              <w:t>Construction in progress</w:t>
            </w:r>
          </w:p>
        </w:tc>
        <w:tc>
          <w:tcPr>
            <w:tcW w:w="240" w:type="dxa"/>
            <w:vAlign w:val="bottom"/>
            <w:tcBorders>
              <w:bottom w:val="single" w:sz="8" w:color="auto"/>
            </w:tcBorders>
            <w:shd w:val="clear" w:color="auto" w:fill="CFF0FC"/>
          </w:tcPr>
          <w:p>
            <w:pPr>
              <w:spacing w:after="0"/>
              <w:rPr>
                <w:sz w:val="21"/>
                <w:szCs w:val="21"/>
                <w:color w:val="auto"/>
              </w:rPr>
            </w:pPr>
          </w:p>
        </w:tc>
        <w:tc>
          <w:tcPr>
            <w:tcW w:w="2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94,252</w:t>
            </w:r>
          </w:p>
        </w:tc>
        <w:tc>
          <w:tcPr>
            <w:tcW w:w="46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1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53,373</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6160" w:type="dxa"/>
            <w:vAlign w:val="bottom"/>
          </w:tcPr>
          <w:p>
            <w:pPr>
              <w:ind w:left="120"/>
              <w:spacing w:after="0"/>
              <w:rPr>
                <w:sz w:val="20"/>
                <w:szCs w:val="20"/>
                <w:color w:val="auto"/>
              </w:rPr>
            </w:pPr>
            <w:r>
              <w:rPr>
                <w:rFonts w:ascii="Arial" w:cs="Arial" w:eastAsia="Arial" w:hAnsi="Arial"/>
                <w:sz w:val="18"/>
                <w:szCs w:val="18"/>
                <w:color w:val="auto"/>
              </w:rPr>
              <w:t>Property and equipment, gross</w:t>
            </w:r>
          </w:p>
        </w:tc>
        <w:tc>
          <w:tcPr>
            <w:tcW w:w="240" w:type="dxa"/>
            <w:vAlign w:val="bottom"/>
          </w:tcPr>
          <w:p>
            <w:pPr>
              <w:spacing w:after="0"/>
              <w:rPr>
                <w:sz w:val="20"/>
                <w:szCs w:val="20"/>
                <w:color w:val="auto"/>
              </w:rPr>
            </w:pPr>
          </w:p>
        </w:tc>
        <w:tc>
          <w:tcPr>
            <w:tcW w:w="2060" w:type="dxa"/>
            <w:vAlign w:val="bottom"/>
          </w:tcPr>
          <w:p>
            <w:pPr>
              <w:jc w:val="right"/>
              <w:spacing w:after="0"/>
              <w:rPr>
                <w:sz w:val="20"/>
                <w:szCs w:val="20"/>
                <w:color w:val="auto"/>
              </w:rPr>
            </w:pPr>
            <w:r>
              <w:rPr>
                <w:rFonts w:ascii="Arial" w:cs="Arial" w:eastAsia="Arial" w:hAnsi="Arial"/>
                <w:sz w:val="18"/>
                <w:szCs w:val="18"/>
                <w:color w:val="auto"/>
              </w:rPr>
              <w:t>921,917</w:t>
            </w:r>
          </w:p>
        </w:tc>
        <w:tc>
          <w:tcPr>
            <w:tcW w:w="4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980" w:type="dxa"/>
            <w:vAlign w:val="bottom"/>
          </w:tcPr>
          <w:p>
            <w:pPr>
              <w:jc w:val="right"/>
              <w:spacing w:after="0"/>
              <w:rPr>
                <w:sz w:val="20"/>
                <w:szCs w:val="20"/>
                <w:color w:val="auto"/>
              </w:rPr>
            </w:pPr>
            <w:r>
              <w:rPr>
                <w:rFonts w:ascii="Arial" w:cs="Arial" w:eastAsia="Arial" w:hAnsi="Arial"/>
                <w:sz w:val="18"/>
                <w:szCs w:val="18"/>
                <w:color w:val="auto"/>
              </w:rPr>
              <w:t>786,446</w:t>
            </w:r>
          </w:p>
        </w:tc>
        <w:tc>
          <w:tcPr>
            <w:tcW w:w="100" w:type="dxa"/>
            <w:vAlign w:val="bottom"/>
          </w:tcPr>
          <w:p>
            <w:pPr>
              <w:spacing w:after="0"/>
              <w:rPr>
                <w:sz w:val="20"/>
                <w:szCs w:val="20"/>
                <w:color w:val="auto"/>
              </w:rPr>
            </w:pPr>
          </w:p>
        </w:tc>
      </w:tr>
      <w:tr>
        <w:trPr>
          <w:trHeight w:val="249"/>
        </w:trPr>
        <w:tc>
          <w:tcPr>
            <w:tcW w:w="6160" w:type="dxa"/>
            <w:vAlign w:val="bottom"/>
            <w:shd w:val="clear" w:color="auto" w:fill="CFF0FC"/>
          </w:tcPr>
          <w:p>
            <w:pPr>
              <w:ind w:left="120"/>
              <w:spacing w:after="0"/>
              <w:rPr>
                <w:sz w:val="20"/>
                <w:szCs w:val="20"/>
                <w:color w:val="auto"/>
              </w:rPr>
            </w:pPr>
            <w:r>
              <w:rPr>
                <w:rFonts w:ascii="Arial" w:cs="Arial" w:eastAsia="Arial" w:hAnsi="Arial"/>
                <w:sz w:val="18"/>
                <w:szCs w:val="18"/>
                <w:color w:val="auto"/>
              </w:rPr>
              <w:t>Less: accumulated depreciation</w:t>
            </w:r>
          </w:p>
        </w:tc>
        <w:tc>
          <w:tcPr>
            <w:tcW w:w="240" w:type="dxa"/>
            <w:vAlign w:val="bottom"/>
            <w:shd w:val="clear" w:color="auto" w:fill="CFF0FC"/>
          </w:tcPr>
          <w:p>
            <w:pPr>
              <w:spacing w:after="0"/>
              <w:rPr>
                <w:sz w:val="21"/>
                <w:szCs w:val="21"/>
                <w:color w:val="auto"/>
              </w:rPr>
            </w:pPr>
          </w:p>
        </w:tc>
        <w:tc>
          <w:tcPr>
            <w:tcW w:w="2520" w:type="dxa"/>
            <w:vAlign w:val="bottom"/>
            <w:gridSpan w:val="2"/>
            <w:shd w:val="clear" w:color="auto" w:fill="CFF0FC"/>
          </w:tcPr>
          <w:p>
            <w:pPr>
              <w:jc w:val="right"/>
              <w:ind w:right="380"/>
              <w:spacing w:after="0"/>
              <w:rPr>
                <w:sz w:val="20"/>
                <w:szCs w:val="20"/>
                <w:color w:val="auto"/>
              </w:rPr>
            </w:pPr>
            <w:r>
              <w:rPr>
                <w:rFonts w:ascii="Arial" w:cs="Arial" w:eastAsia="Arial" w:hAnsi="Arial"/>
                <w:sz w:val="18"/>
                <w:szCs w:val="18"/>
                <w:color w:val="auto"/>
              </w:rPr>
              <w:t>(258,147 )</w:t>
            </w:r>
          </w:p>
        </w:tc>
        <w:tc>
          <w:tcPr>
            <w:tcW w:w="240" w:type="dxa"/>
            <w:vAlign w:val="bottom"/>
            <w:shd w:val="clear" w:color="auto" w:fill="CFF0FC"/>
          </w:tcPr>
          <w:p>
            <w:pPr>
              <w:spacing w:after="0"/>
              <w:rPr>
                <w:sz w:val="21"/>
                <w:szCs w:val="21"/>
                <w:color w:val="auto"/>
              </w:rPr>
            </w:pPr>
          </w:p>
        </w:tc>
        <w:tc>
          <w:tcPr>
            <w:tcW w:w="20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(223,288 )</w:t>
            </w:r>
          </w:p>
        </w:tc>
      </w:tr>
      <w:tr>
        <w:trPr>
          <w:trHeight w:val="236"/>
        </w:trPr>
        <w:tc>
          <w:tcPr>
            <w:tcW w:w="6160" w:type="dxa"/>
            <w:vAlign w:val="bottom"/>
          </w:tcPr>
          <w:p>
            <w:pPr>
              <w:ind w:left="120"/>
              <w:spacing w:after="0"/>
              <w:rPr>
                <w:sz w:val="20"/>
                <w:szCs w:val="20"/>
                <w:color w:val="auto"/>
              </w:rPr>
            </w:pPr>
            <w:r>
              <w:rPr>
                <w:rFonts w:ascii="Arial" w:cs="Arial" w:eastAsia="Arial" w:hAnsi="Arial"/>
                <w:sz w:val="18"/>
                <w:szCs w:val="18"/>
                <w:color w:val="auto"/>
              </w:rPr>
              <w:t>Less: accumulated amortization - finance leases</w:t>
            </w:r>
          </w:p>
        </w:tc>
        <w:tc>
          <w:tcPr>
            <w:tcW w:w="240" w:type="dxa"/>
            <w:vAlign w:val="bottom"/>
          </w:tcPr>
          <w:p>
            <w:pPr>
              <w:spacing w:after="0"/>
              <w:rPr>
                <w:sz w:val="20"/>
                <w:szCs w:val="20"/>
                <w:color w:val="auto"/>
              </w:rPr>
            </w:pPr>
          </w:p>
        </w:tc>
        <w:tc>
          <w:tcPr>
            <w:tcW w:w="2520" w:type="dxa"/>
            <w:vAlign w:val="bottom"/>
            <w:gridSpan w:val="2"/>
          </w:tcPr>
          <w:p>
            <w:pPr>
              <w:jc w:val="right"/>
              <w:ind w:right="380"/>
              <w:spacing w:after="0"/>
              <w:rPr>
                <w:sz w:val="20"/>
                <w:szCs w:val="20"/>
                <w:color w:val="auto"/>
              </w:rPr>
            </w:pPr>
            <w:r>
              <w:rPr>
                <w:rFonts w:ascii="Arial" w:cs="Arial" w:eastAsia="Arial" w:hAnsi="Arial"/>
                <w:sz w:val="18"/>
                <w:szCs w:val="18"/>
                <w:color w:val="auto"/>
              </w:rPr>
              <w:t>(3,037 )</w:t>
            </w:r>
          </w:p>
        </w:tc>
        <w:tc>
          <w:tcPr>
            <w:tcW w:w="240" w:type="dxa"/>
            <w:vAlign w:val="bottom"/>
          </w:tcPr>
          <w:p>
            <w:pPr>
              <w:spacing w:after="0"/>
              <w:rPr>
                <w:sz w:val="20"/>
                <w:szCs w:val="20"/>
                <w:color w:val="auto"/>
              </w:rPr>
            </w:pPr>
          </w:p>
        </w:tc>
        <w:tc>
          <w:tcPr>
            <w:tcW w:w="2080" w:type="dxa"/>
            <w:vAlign w:val="bottom"/>
            <w:gridSpan w:val="2"/>
          </w:tcPr>
          <w:p>
            <w:pPr>
              <w:jc w:val="right"/>
              <w:ind w:right="40"/>
              <w:spacing w:after="0"/>
              <w:rPr>
                <w:sz w:val="20"/>
                <w:szCs w:val="20"/>
                <w:color w:val="auto"/>
              </w:rPr>
            </w:pPr>
            <w:r>
              <w:rPr>
                <w:rFonts w:ascii="Arial" w:cs="Arial" w:eastAsia="Arial" w:hAnsi="Arial"/>
                <w:sz w:val="18"/>
                <w:szCs w:val="18"/>
                <w:color w:val="auto"/>
              </w:rPr>
              <w:t>(2,284 )</w:t>
            </w:r>
          </w:p>
        </w:tc>
      </w:tr>
      <w:tr>
        <w:trPr>
          <w:trHeight w:val="282"/>
        </w:trPr>
        <w:tc>
          <w:tcPr>
            <w:tcW w:w="616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18"/>
                <w:szCs w:val="18"/>
                <w:color w:val="auto"/>
              </w:rPr>
              <w:t>Property and equipment, net</w:t>
            </w:r>
          </w:p>
        </w:tc>
        <w:tc>
          <w:tcPr>
            <w:tcW w:w="24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2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660,733</w:t>
            </w:r>
          </w:p>
        </w:tc>
        <w:tc>
          <w:tcPr>
            <w:tcW w:w="46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560,874</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5373370</wp:posOffset>
            </wp:positionH>
            <wp:positionV relativeFrom="paragraph">
              <wp:posOffset>-658495</wp:posOffset>
            </wp:positionV>
            <wp:extent cx="76835" cy="16256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6835" cy="16256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-658495</wp:posOffset>
            </wp:positionV>
            <wp:extent cx="68580" cy="16256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5373370</wp:posOffset>
            </wp:positionH>
            <wp:positionV relativeFrom="paragraph">
              <wp:posOffset>-24765</wp:posOffset>
            </wp:positionV>
            <wp:extent cx="76835"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5373370</wp:posOffset>
            </wp:positionH>
            <wp:positionV relativeFrom="paragraph">
              <wp:posOffset>-7620</wp:posOffset>
            </wp:positionV>
            <wp:extent cx="76835"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74"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 xml:space="preserve">For the three months ended September 30, 2023 and 2022, depreciation expense was $15,633 </w:t>
      </w:r>
      <w:r>
        <w:rPr>
          <w:rFonts w:ascii="Arial" w:cs="Arial" w:eastAsia="Arial" w:hAnsi="Arial"/>
          <w:sz w:val="18"/>
          <w:szCs w:val="18"/>
          <w:color w:val="231F20"/>
        </w:rPr>
        <w:t>and $13,314</w:t>
      </w:r>
      <w:r>
        <w:rPr>
          <w:rFonts w:ascii="Arial" w:cs="Arial" w:eastAsia="Arial" w:hAnsi="Arial"/>
          <w:sz w:val="18"/>
          <w:szCs w:val="18"/>
          <w:color w:val="auto"/>
        </w:rPr>
        <w:t>, respectively. For the nine months ended September 30, 2023 and 2022, depreciation expense was $45,567 and $39,446, respectively.</w:t>
      </w:r>
    </w:p>
    <w:p>
      <w:pPr>
        <w:spacing w:after="0" w:line="62"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 xml:space="preserve">For the three months ended September 30, 2023 and 2022, amortization expense on finance leases was $251 </w:t>
      </w:r>
      <w:r>
        <w:rPr>
          <w:rFonts w:ascii="Arial" w:cs="Arial" w:eastAsia="Arial" w:hAnsi="Arial"/>
          <w:sz w:val="18"/>
          <w:szCs w:val="18"/>
          <w:color w:val="231F20"/>
        </w:rPr>
        <w:t>and $250</w:t>
      </w:r>
      <w:r>
        <w:rPr>
          <w:rFonts w:ascii="Arial" w:cs="Arial" w:eastAsia="Arial" w:hAnsi="Arial"/>
          <w:sz w:val="18"/>
          <w:szCs w:val="18"/>
          <w:color w:val="auto"/>
        </w:rPr>
        <w:t>, respectively. For the nine months ended September 30, 2023 and 2022, amortization expense on finance leases was $753 and $739, respectively.</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4.  Other Intangible Assets, Net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231F20"/>
        </w:rPr>
        <w:t>Other intangibles assets, net consisted of the following as of the periods presented:</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4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3560" w:type="dxa"/>
            <w:vAlign w:val="bottom"/>
            <w:tcBorders>
              <w:bottom w:val="single" w:sz="8" w:color="auto"/>
            </w:tcBorders>
            <w:gridSpan w:val="4"/>
          </w:tcPr>
          <w:p>
            <w:pPr>
              <w:jc w:val="right"/>
              <w:ind w:right="1010"/>
              <w:spacing w:after="0"/>
              <w:rPr>
                <w:sz w:val="20"/>
                <w:szCs w:val="20"/>
                <w:color w:val="auto"/>
              </w:rPr>
            </w:pPr>
            <w:r>
              <w:rPr>
                <w:rFonts w:ascii="Arial" w:cs="Arial" w:eastAsia="Arial" w:hAnsi="Arial"/>
                <w:sz w:val="18"/>
                <w:szCs w:val="18"/>
                <w:b w:val="1"/>
                <w:bCs w:val="1"/>
                <w:color w:val="auto"/>
              </w:rPr>
              <w:t>September 30, 2023</w:t>
            </w:r>
          </w:p>
        </w:tc>
        <w:tc>
          <w:tcPr>
            <w:tcW w:w="2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3580" w:type="dxa"/>
            <w:vAlign w:val="bottom"/>
            <w:tcBorders>
              <w:bottom w:val="single" w:sz="8" w:color="auto"/>
            </w:tcBorders>
            <w:gridSpan w:val="4"/>
          </w:tcPr>
          <w:p>
            <w:pPr>
              <w:jc w:val="right"/>
              <w:ind w:right="1070"/>
              <w:spacing w:after="0"/>
              <w:rPr>
                <w:sz w:val="20"/>
                <w:szCs w:val="20"/>
                <w:color w:val="auto"/>
              </w:rPr>
            </w:pPr>
            <w:r>
              <w:rPr>
                <w:rFonts w:ascii="Arial" w:cs="Arial" w:eastAsia="Arial" w:hAnsi="Arial"/>
                <w:sz w:val="18"/>
                <w:szCs w:val="18"/>
                <w:b w:val="1"/>
                <w:bCs w:val="1"/>
                <w:color w:val="auto"/>
              </w:rPr>
              <w:t>December 31, 2022</w:t>
            </w:r>
          </w:p>
        </w:tc>
        <w:tc>
          <w:tcPr>
            <w:tcW w:w="100" w:type="dxa"/>
            <w:vAlign w:val="bottom"/>
          </w:tcPr>
          <w:p>
            <w:pPr>
              <w:spacing w:after="0"/>
              <w:rPr>
                <w:sz w:val="20"/>
                <w:szCs w:val="20"/>
                <w:color w:val="auto"/>
              </w:rPr>
            </w:pPr>
          </w:p>
        </w:tc>
      </w:tr>
      <w:tr>
        <w:trPr>
          <w:trHeight w:val="211"/>
        </w:trPr>
        <w:tc>
          <w:tcPr>
            <w:tcW w:w="3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tcPr>
          <w:p>
            <w:pPr>
              <w:jc w:val="right"/>
              <w:ind w:right="170"/>
              <w:spacing w:after="0"/>
              <w:rPr>
                <w:sz w:val="20"/>
                <w:szCs w:val="20"/>
                <w:color w:val="auto"/>
              </w:rPr>
            </w:pPr>
            <w:r>
              <w:rPr>
                <w:rFonts w:ascii="Arial" w:cs="Arial" w:eastAsia="Arial" w:hAnsi="Arial"/>
                <w:sz w:val="18"/>
                <w:szCs w:val="18"/>
                <w:b w:val="1"/>
                <w:bCs w:val="1"/>
                <w:color w:val="auto"/>
                <w:w w:val="94"/>
              </w:rPr>
              <w:t>Gross Carrying</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60" w:type="dxa"/>
            <w:vAlign w:val="bottom"/>
          </w:tcPr>
          <w:p>
            <w:pPr>
              <w:jc w:val="right"/>
              <w:ind w:right="330"/>
              <w:spacing w:after="0"/>
              <w:rPr>
                <w:sz w:val="20"/>
                <w:szCs w:val="20"/>
                <w:color w:val="auto"/>
              </w:rPr>
            </w:pPr>
            <w:r>
              <w:rPr>
                <w:rFonts w:ascii="Arial" w:cs="Arial" w:eastAsia="Arial" w:hAnsi="Arial"/>
                <w:sz w:val="18"/>
                <w:szCs w:val="18"/>
                <w:b w:val="1"/>
                <w:bCs w:val="1"/>
                <w:color w:val="auto"/>
                <w:w w:val="99"/>
              </w:rPr>
              <w:t>Accumulated</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tcPr>
          <w:p>
            <w:pPr>
              <w:jc w:val="right"/>
              <w:ind w:right="250"/>
              <w:spacing w:after="0"/>
              <w:rPr>
                <w:sz w:val="20"/>
                <w:szCs w:val="20"/>
                <w:color w:val="auto"/>
              </w:rPr>
            </w:pPr>
            <w:r>
              <w:rPr>
                <w:rFonts w:ascii="Arial" w:cs="Arial" w:eastAsia="Arial" w:hAnsi="Arial"/>
                <w:sz w:val="18"/>
                <w:szCs w:val="18"/>
                <w:b w:val="1"/>
                <w:bCs w:val="1"/>
                <w:color w:val="auto"/>
                <w:w w:val="97"/>
              </w:rPr>
              <w:t>Gross Carrying</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20" w:type="dxa"/>
            <w:vAlign w:val="bottom"/>
          </w:tcPr>
          <w:p>
            <w:pPr>
              <w:jc w:val="right"/>
              <w:ind w:right="290"/>
              <w:spacing w:after="0"/>
              <w:rPr>
                <w:sz w:val="20"/>
                <w:szCs w:val="20"/>
                <w:color w:val="auto"/>
              </w:rPr>
            </w:pPr>
            <w:r>
              <w:rPr>
                <w:rFonts w:ascii="Arial" w:cs="Arial" w:eastAsia="Arial" w:hAnsi="Arial"/>
                <w:sz w:val="18"/>
                <w:szCs w:val="18"/>
                <w:b w:val="1"/>
                <w:bCs w:val="1"/>
                <w:color w:val="auto"/>
                <w:w w:val="99"/>
              </w:rPr>
              <w:t>Accumulated</w:t>
            </w:r>
          </w:p>
        </w:tc>
        <w:tc>
          <w:tcPr>
            <w:tcW w:w="100" w:type="dxa"/>
            <w:vAlign w:val="bottom"/>
          </w:tcPr>
          <w:p>
            <w:pPr>
              <w:spacing w:after="0"/>
              <w:rPr>
                <w:sz w:val="18"/>
                <w:szCs w:val="18"/>
                <w:color w:val="auto"/>
              </w:rPr>
            </w:pPr>
          </w:p>
        </w:tc>
      </w:tr>
      <w:tr>
        <w:trPr>
          <w:trHeight w:val="241"/>
        </w:trPr>
        <w:tc>
          <w:tcPr>
            <w:tcW w:w="34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Amount</w:t>
            </w:r>
          </w:p>
        </w:tc>
        <w:tc>
          <w:tcPr>
            <w:tcW w:w="2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Amortization</w:t>
            </w:r>
          </w:p>
        </w:tc>
        <w:tc>
          <w:tcPr>
            <w:tcW w:w="2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Amount</w:t>
            </w:r>
          </w:p>
        </w:tc>
        <w:tc>
          <w:tcPr>
            <w:tcW w:w="2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Amortization</w:t>
            </w:r>
          </w:p>
        </w:tc>
        <w:tc>
          <w:tcPr>
            <w:tcW w:w="100" w:type="dxa"/>
            <w:vAlign w:val="bottom"/>
          </w:tcPr>
          <w:p>
            <w:pPr>
              <w:spacing w:after="0"/>
              <w:rPr>
                <w:sz w:val="20"/>
                <w:szCs w:val="20"/>
                <w:color w:val="auto"/>
              </w:rPr>
            </w:pPr>
          </w:p>
        </w:tc>
      </w:tr>
      <w:tr>
        <w:trPr>
          <w:trHeight w:val="243"/>
        </w:trPr>
        <w:tc>
          <w:tcPr>
            <w:tcW w:w="3440" w:type="dxa"/>
            <w:vAlign w:val="bottom"/>
            <w:shd w:val="clear" w:color="auto" w:fill="CFF0FC"/>
          </w:tcPr>
          <w:p>
            <w:pPr>
              <w:ind w:left="20"/>
              <w:spacing w:after="0"/>
              <w:rPr>
                <w:sz w:val="20"/>
                <w:szCs w:val="20"/>
                <w:color w:val="auto"/>
              </w:rPr>
            </w:pPr>
            <w:r>
              <w:rPr>
                <w:rFonts w:ascii="Arial" w:cs="Arial" w:eastAsia="Arial" w:hAnsi="Arial"/>
                <w:sz w:val="18"/>
                <w:szCs w:val="18"/>
                <w:color w:val="auto"/>
              </w:rPr>
              <w:t>Trade names and Trademarks</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107,000</w:t>
            </w:r>
          </w:p>
        </w:tc>
        <w:tc>
          <w:tcPr>
            <w:tcW w:w="240" w:type="dxa"/>
            <w:vAlign w:val="bottom"/>
            <w:shd w:val="clear" w:color="auto" w:fill="CFF0FC"/>
          </w:tcPr>
          <w:p>
            <w:pPr>
              <w:spacing w:after="0"/>
              <w:rPr>
                <w:sz w:val="21"/>
                <w:szCs w:val="21"/>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21"/>
                <w:szCs w:val="21"/>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107,200</w:t>
            </w:r>
          </w:p>
        </w:tc>
        <w:tc>
          <w:tcPr>
            <w:tcW w:w="200" w:type="dxa"/>
            <w:vAlign w:val="bottom"/>
            <w:shd w:val="clear" w:color="auto" w:fill="CFF0FC"/>
          </w:tcPr>
          <w:p>
            <w:pPr>
              <w:spacing w:after="0"/>
              <w:rPr>
                <w:sz w:val="21"/>
                <w:szCs w:val="21"/>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200</w:t>
            </w:r>
          </w:p>
        </w:tc>
        <w:tc>
          <w:tcPr>
            <w:tcW w:w="100" w:type="dxa"/>
            <w:vAlign w:val="bottom"/>
            <w:shd w:val="clear" w:color="auto" w:fill="CFF0FC"/>
          </w:tcPr>
          <w:p>
            <w:pPr>
              <w:spacing w:after="0"/>
              <w:rPr>
                <w:sz w:val="21"/>
                <w:szCs w:val="21"/>
                <w:color w:val="auto"/>
              </w:rPr>
            </w:pPr>
          </w:p>
        </w:tc>
      </w:tr>
      <w:tr>
        <w:trPr>
          <w:trHeight w:val="236"/>
        </w:trPr>
        <w:tc>
          <w:tcPr>
            <w:tcW w:w="3440" w:type="dxa"/>
            <w:vAlign w:val="bottom"/>
          </w:tcPr>
          <w:p>
            <w:pPr>
              <w:ind w:left="20"/>
              <w:spacing w:after="0"/>
              <w:rPr>
                <w:sz w:val="20"/>
                <w:szCs w:val="20"/>
                <w:color w:val="auto"/>
              </w:rPr>
            </w:pPr>
            <w:r>
              <w:rPr>
                <w:rFonts w:ascii="Arial" w:cs="Arial" w:eastAsia="Arial" w:hAnsi="Arial"/>
                <w:sz w:val="18"/>
                <w:szCs w:val="18"/>
                <w:color w:val="auto"/>
              </w:rPr>
              <w:t>CPC Unity System</w:t>
            </w:r>
          </w:p>
        </w:tc>
        <w:tc>
          <w:tcPr>
            <w:tcW w:w="16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42,900</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38,968</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42,900</w:t>
            </w: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35,750</w:t>
            </w:r>
          </w:p>
        </w:tc>
        <w:tc>
          <w:tcPr>
            <w:tcW w:w="100" w:type="dxa"/>
            <w:vAlign w:val="bottom"/>
          </w:tcPr>
          <w:p>
            <w:pPr>
              <w:spacing w:after="0"/>
              <w:rPr>
                <w:sz w:val="20"/>
                <w:szCs w:val="20"/>
                <w:color w:val="auto"/>
              </w:rPr>
            </w:pPr>
          </w:p>
        </w:tc>
      </w:tr>
      <w:tr>
        <w:trPr>
          <w:trHeight w:val="249"/>
        </w:trPr>
        <w:tc>
          <w:tcPr>
            <w:tcW w:w="3440" w:type="dxa"/>
            <w:vAlign w:val="bottom"/>
            <w:shd w:val="clear" w:color="auto" w:fill="CFF0FC"/>
          </w:tcPr>
          <w:p>
            <w:pPr>
              <w:ind w:left="20"/>
              <w:spacing w:after="0"/>
              <w:rPr>
                <w:sz w:val="20"/>
                <w:szCs w:val="20"/>
                <w:color w:val="auto"/>
              </w:rPr>
            </w:pPr>
            <w:r>
              <w:rPr>
                <w:rFonts w:ascii="Arial" w:cs="Arial" w:eastAsia="Arial" w:hAnsi="Arial"/>
                <w:sz w:val="18"/>
                <w:szCs w:val="18"/>
                <w:color w:val="auto"/>
              </w:rPr>
              <w:t>Customer relationships</w:t>
            </w:r>
          </w:p>
        </w:tc>
        <w:tc>
          <w:tcPr>
            <w:tcW w:w="160" w:type="dxa"/>
            <w:vAlign w:val="bottom"/>
            <w:shd w:val="clear" w:color="auto" w:fill="CFF0FC"/>
          </w:tcPr>
          <w:p>
            <w:pPr>
              <w:spacing w:after="0"/>
              <w:rPr>
                <w:sz w:val="21"/>
                <w:szCs w:val="21"/>
                <w:color w:val="auto"/>
              </w:rPr>
            </w:pPr>
          </w:p>
        </w:tc>
        <w:tc>
          <w:tcPr>
            <w:tcW w:w="1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9,700</w:t>
            </w:r>
          </w:p>
        </w:tc>
        <w:tc>
          <w:tcPr>
            <w:tcW w:w="2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6,308</w:t>
            </w:r>
          </w:p>
        </w:tc>
        <w:tc>
          <w:tcPr>
            <w:tcW w:w="2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11,800</w:t>
            </w:r>
          </w:p>
        </w:tc>
        <w:tc>
          <w:tcPr>
            <w:tcW w:w="2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8,240</w:t>
            </w:r>
          </w:p>
        </w:tc>
        <w:tc>
          <w:tcPr>
            <w:tcW w:w="100" w:type="dxa"/>
            <w:vAlign w:val="bottom"/>
            <w:shd w:val="clear" w:color="auto" w:fill="CFF0FC"/>
          </w:tcPr>
          <w:p>
            <w:pPr>
              <w:spacing w:after="0"/>
              <w:rPr>
                <w:sz w:val="21"/>
                <w:szCs w:val="21"/>
                <w:color w:val="auto"/>
              </w:rPr>
            </w:pPr>
          </w:p>
        </w:tc>
      </w:tr>
      <w:tr>
        <w:trPr>
          <w:trHeight w:val="236"/>
        </w:trPr>
        <w:tc>
          <w:tcPr>
            <w:tcW w:w="3440" w:type="dxa"/>
            <w:vAlign w:val="bottom"/>
          </w:tcPr>
          <w:p>
            <w:pPr>
              <w:ind w:left="20"/>
              <w:spacing w:after="0"/>
              <w:rPr>
                <w:sz w:val="20"/>
                <w:szCs w:val="20"/>
                <w:color w:val="auto"/>
              </w:rPr>
            </w:pPr>
            <w:r>
              <w:rPr>
                <w:rFonts w:ascii="Arial" w:cs="Arial" w:eastAsia="Arial" w:hAnsi="Arial"/>
                <w:sz w:val="18"/>
                <w:szCs w:val="18"/>
                <w:color w:val="auto"/>
              </w:rPr>
              <w:t>Covenants not to compete</w:t>
            </w:r>
          </w:p>
        </w:tc>
        <w:tc>
          <w:tcPr>
            <w:tcW w:w="16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13,230</w:t>
            </w:r>
          </w:p>
        </w:tc>
        <w:tc>
          <w:tcPr>
            <w:tcW w:w="2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8,213</w:t>
            </w:r>
          </w:p>
        </w:tc>
        <w:tc>
          <w:tcPr>
            <w:tcW w:w="2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12,590</w:t>
            </w:r>
          </w:p>
        </w:tc>
        <w:tc>
          <w:tcPr>
            <w:tcW w:w="2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6,685</w:t>
            </w:r>
          </w:p>
        </w:tc>
        <w:tc>
          <w:tcPr>
            <w:tcW w:w="100" w:type="dxa"/>
            <w:vAlign w:val="bottom"/>
          </w:tcPr>
          <w:p>
            <w:pPr>
              <w:spacing w:after="0"/>
              <w:rPr>
                <w:sz w:val="20"/>
                <w:szCs w:val="20"/>
                <w:color w:val="auto"/>
              </w:rPr>
            </w:pPr>
          </w:p>
        </w:tc>
      </w:tr>
      <w:tr>
        <w:trPr>
          <w:trHeight w:val="282"/>
        </w:trPr>
        <w:tc>
          <w:tcPr>
            <w:tcW w:w="34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Other intangible assets, net</w:t>
            </w: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172,830</w:t>
            </w:r>
          </w:p>
        </w:tc>
        <w:tc>
          <w:tcPr>
            <w:tcW w:w="24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53,489</w:t>
            </w:r>
          </w:p>
        </w:tc>
        <w:tc>
          <w:tcPr>
            <w:tcW w:w="22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174,490</w:t>
            </w:r>
          </w:p>
        </w:tc>
        <w:tc>
          <w:tcPr>
            <w:tcW w:w="200" w:type="dxa"/>
            <w:vAlign w:val="bottom"/>
            <w:tcBorders>
              <w:bottom w:val="single" w:sz="8" w:color="CFF0FC"/>
            </w:tcBorders>
            <w:shd w:val="clear" w:color="auto" w:fill="CFF0FC"/>
          </w:tcPr>
          <w:p>
            <w:pPr>
              <w:spacing w:after="0"/>
              <w:rPr>
                <w:sz w:val="24"/>
                <w:szCs w:val="24"/>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50,875</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3249930</wp:posOffset>
            </wp:positionH>
            <wp:positionV relativeFrom="paragraph">
              <wp:posOffset>-24765</wp:posOffset>
            </wp:positionV>
            <wp:extent cx="76835"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3249930</wp:posOffset>
            </wp:positionH>
            <wp:positionV relativeFrom="paragraph">
              <wp:posOffset>-7620</wp:posOffset>
            </wp:positionV>
            <wp:extent cx="76835"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4542790</wp:posOffset>
            </wp:positionH>
            <wp:positionV relativeFrom="paragraph">
              <wp:posOffset>-24765</wp:posOffset>
            </wp:positionV>
            <wp:extent cx="6858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4542790</wp:posOffset>
            </wp:positionH>
            <wp:positionV relativeFrom="paragraph">
              <wp:posOffset>-7620</wp:posOffset>
            </wp:positionV>
            <wp:extent cx="6858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5836285</wp:posOffset>
            </wp:positionH>
            <wp:positionV relativeFrom="paragraph">
              <wp:posOffset>-24765</wp:posOffset>
            </wp:positionV>
            <wp:extent cx="6858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5836285</wp:posOffset>
            </wp:positionH>
            <wp:positionV relativeFrom="paragraph">
              <wp:posOffset>-7620</wp:posOffset>
            </wp:positionV>
            <wp:extent cx="6858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74" w:lineRule="exact"/>
        <w:rPr>
          <w:sz w:val="20"/>
          <w:szCs w:val="20"/>
          <w:color w:val="auto"/>
        </w:rPr>
      </w:pPr>
    </w:p>
    <w:p>
      <w:pPr>
        <w:jc w:val="both"/>
        <w:ind w:right="180"/>
        <w:spacing w:after="0" w:line="263" w:lineRule="auto"/>
        <w:rPr>
          <w:sz w:val="20"/>
          <w:szCs w:val="20"/>
          <w:color w:val="auto"/>
        </w:rPr>
      </w:pPr>
      <w:r>
        <w:rPr>
          <w:rFonts w:ascii="Arial" w:cs="Arial" w:eastAsia="Arial" w:hAnsi="Arial"/>
          <w:sz w:val="18"/>
          <w:szCs w:val="18"/>
          <w:color w:val="231F20"/>
        </w:rPr>
        <w:t>For the three months ended September 30, 2023 and 2022, amortization expense associated with our finite-lived intangible assets was $1,715 and $1,629, respectively. For the nine months ended September 30, 2023 and 2022, amortization expense associated with our finite-lived intangible assets was $5,098 and $5,089, respectively.</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color w:val="231F20"/>
        </w:rPr>
        <w:t>As of September 30, 2023, estimated future amortization expense was as follows:</w:t>
      </w:r>
    </w:p>
    <w:p>
      <w:pPr>
        <w:spacing w:after="0" w:line="140"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Fiscal Year Ending:</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7240" w:type="dxa"/>
            <w:vAlign w:val="bottom"/>
            <w:tcBorders>
              <w:top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rPr>
              <w:t>2023 (remaining three months)</w:t>
            </w:r>
          </w:p>
        </w:tc>
        <w:tc>
          <w:tcPr>
            <w:tcW w:w="120" w:type="dxa"/>
            <w:vAlign w:val="bottom"/>
            <w:tcBorders>
              <w:top w:val="single" w:sz="8" w:color="auto"/>
            </w:tcBorders>
            <w:shd w:val="clear" w:color="auto" w:fill="CFF0FC"/>
          </w:tcPr>
          <w:p>
            <w:pPr>
              <w:spacing w:after="0"/>
              <w:rPr>
                <w:sz w:val="21"/>
                <w:szCs w:val="21"/>
                <w:color w:val="auto"/>
              </w:rPr>
            </w:pPr>
          </w:p>
        </w:tc>
        <w:tc>
          <w:tcPr>
            <w:tcW w:w="1700" w:type="dxa"/>
            <w:vAlign w:val="bottom"/>
            <w:tcBorders>
              <w:top w:val="single" w:sz="8" w:color="auto"/>
            </w:tcBorders>
            <w:gridSpan w:val="2"/>
            <w:shd w:val="clear" w:color="auto" w:fill="CFF0FC"/>
          </w:tcPr>
          <w:p>
            <w:pPr>
              <w:jc w:val="right"/>
              <w:ind w:right="170"/>
              <w:spacing w:after="0"/>
              <w:rPr>
                <w:sz w:val="20"/>
                <w:szCs w:val="20"/>
                <w:color w:val="auto"/>
              </w:rPr>
            </w:pPr>
            <w:r>
              <w:rPr>
                <w:rFonts w:ascii="Arial" w:cs="Arial" w:eastAsia="Arial" w:hAnsi="Arial"/>
                <w:sz w:val="18"/>
                <w:szCs w:val="18"/>
                <w:color w:val="auto"/>
              </w:rPr>
              <w:t>$</w:t>
            </w:r>
          </w:p>
        </w:tc>
        <w:tc>
          <w:tcPr>
            <w:tcW w:w="320" w:type="dxa"/>
            <w:vAlign w:val="bottom"/>
            <w:tcBorders>
              <w:top w:val="single" w:sz="8" w:color="auto"/>
            </w:tcBorders>
            <w:shd w:val="clear" w:color="auto" w:fill="CFF0FC"/>
          </w:tcPr>
          <w:p>
            <w:pPr>
              <w:spacing w:after="0"/>
              <w:rPr>
                <w:sz w:val="21"/>
                <w:szCs w:val="21"/>
                <w:color w:val="auto"/>
              </w:rPr>
            </w:pPr>
          </w:p>
        </w:tc>
        <w:tc>
          <w:tcPr>
            <w:tcW w:w="120" w:type="dxa"/>
            <w:vAlign w:val="bottom"/>
            <w:tcBorders>
              <w:top w:val="single" w:sz="8" w:color="auto"/>
            </w:tcBorders>
            <w:shd w:val="clear" w:color="auto" w:fill="CFF0FC"/>
          </w:tcPr>
          <w:p>
            <w:pPr>
              <w:spacing w:after="0"/>
              <w:rPr>
                <w:sz w:val="21"/>
                <w:szCs w:val="21"/>
                <w:color w:val="auto"/>
              </w:rPr>
            </w:pPr>
          </w:p>
        </w:tc>
        <w:tc>
          <w:tcPr>
            <w:tcW w:w="16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1,686</w:t>
            </w:r>
          </w:p>
        </w:tc>
        <w:tc>
          <w:tcPr>
            <w:tcW w:w="100" w:type="dxa"/>
            <w:vAlign w:val="bottom"/>
            <w:shd w:val="clear" w:color="auto" w:fill="CFF0FC"/>
          </w:tcPr>
          <w:p>
            <w:pPr>
              <w:spacing w:after="0"/>
              <w:rPr>
                <w:sz w:val="21"/>
                <w:szCs w:val="21"/>
                <w:color w:val="auto"/>
              </w:rPr>
            </w:pPr>
          </w:p>
        </w:tc>
      </w:tr>
      <w:tr>
        <w:trPr>
          <w:trHeight w:val="230"/>
        </w:trPr>
        <w:tc>
          <w:tcPr>
            <w:tcW w:w="7240" w:type="dxa"/>
            <w:vAlign w:val="bottom"/>
          </w:tcPr>
          <w:p>
            <w:pPr>
              <w:ind w:left="20"/>
              <w:spacing w:after="0"/>
              <w:rPr>
                <w:sz w:val="20"/>
                <w:szCs w:val="20"/>
                <w:color w:val="auto"/>
              </w:rPr>
            </w:pPr>
            <w:r>
              <w:rPr>
                <w:rFonts w:ascii="Arial" w:cs="Arial" w:eastAsia="Arial" w:hAnsi="Arial"/>
                <w:sz w:val="18"/>
                <w:szCs w:val="18"/>
                <w:color w:val="auto"/>
              </w:rPr>
              <w:t>2024</w:t>
            </w:r>
          </w:p>
        </w:tc>
        <w:tc>
          <w:tcPr>
            <w:tcW w:w="1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5,038</w:t>
            </w:r>
          </w:p>
        </w:tc>
        <w:tc>
          <w:tcPr>
            <w:tcW w:w="100" w:type="dxa"/>
            <w:vAlign w:val="bottom"/>
          </w:tcPr>
          <w:p>
            <w:pPr>
              <w:spacing w:after="0"/>
              <w:rPr>
                <w:sz w:val="20"/>
                <w:szCs w:val="20"/>
                <w:color w:val="auto"/>
              </w:rPr>
            </w:pPr>
          </w:p>
        </w:tc>
      </w:tr>
      <w:tr>
        <w:trPr>
          <w:trHeight w:val="255"/>
        </w:trPr>
        <w:tc>
          <w:tcPr>
            <w:tcW w:w="7240" w:type="dxa"/>
            <w:vAlign w:val="bottom"/>
            <w:shd w:val="clear" w:color="auto" w:fill="CFF0FC"/>
          </w:tcPr>
          <w:p>
            <w:pPr>
              <w:ind w:left="20"/>
              <w:spacing w:after="0"/>
              <w:rPr>
                <w:sz w:val="20"/>
                <w:szCs w:val="20"/>
                <w:color w:val="auto"/>
              </w:rPr>
            </w:pPr>
            <w:r>
              <w:rPr>
                <w:rFonts w:ascii="Arial" w:cs="Arial" w:eastAsia="Arial" w:hAnsi="Arial"/>
                <w:sz w:val="18"/>
                <w:szCs w:val="18"/>
                <w:color w:val="auto"/>
              </w:rPr>
              <w:t>2025</w:t>
            </w:r>
          </w:p>
        </w:tc>
        <w:tc>
          <w:tcPr>
            <w:tcW w:w="120" w:type="dxa"/>
            <w:vAlign w:val="bottom"/>
            <w:shd w:val="clear" w:color="auto" w:fill="CFF0FC"/>
          </w:tcPr>
          <w:p>
            <w:pPr>
              <w:spacing w:after="0"/>
              <w:rPr>
                <w:sz w:val="22"/>
                <w:szCs w:val="22"/>
                <w:color w:val="auto"/>
              </w:rPr>
            </w:pPr>
          </w:p>
        </w:tc>
        <w:tc>
          <w:tcPr>
            <w:tcW w:w="1340" w:type="dxa"/>
            <w:vAlign w:val="bottom"/>
            <w:shd w:val="clear" w:color="auto" w:fill="CFF0FC"/>
          </w:tcPr>
          <w:p>
            <w:pPr>
              <w:spacing w:after="0"/>
              <w:rPr>
                <w:sz w:val="22"/>
                <w:szCs w:val="22"/>
                <w:color w:val="auto"/>
              </w:rPr>
            </w:pPr>
          </w:p>
        </w:tc>
        <w:tc>
          <w:tcPr>
            <w:tcW w:w="360" w:type="dxa"/>
            <w:vAlign w:val="bottom"/>
            <w:shd w:val="clear" w:color="auto" w:fill="CFF0FC"/>
          </w:tcPr>
          <w:p>
            <w:pPr>
              <w:spacing w:after="0"/>
              <w:rPr>
                <w:sz w:val="22"/>
                <w:szCs w:val="22"/>
                <w:color w:val="auto"/>
              </w:rPr>
            </w:pPr>
          </w:p>
        </w:tc>
        <w:tc>
          <w:tcPr>
            <w:tcW w:w="32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1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1,827</w:t>
            </w:r>
          </w:p>
        </w:tc>
        <w:tc>
          <w:tcPr>
            <w:tcW w:w="100" w:type="dxa"/>
            <w:vAlign w:val="bottom"/>
            <w:shd w:val="clear" w:color="auto" w:fill="CFF0FC"/>
          </w:tcPr>
          <w:p>
            <w:pPr>
              <w:spacing w:after="0"/>
              <w:rPr>
                <w:sz w:val="22"/>
                <w:szCs w:val="22"/>
                <w:color w:val="auto"/>
              </w:rPr>
            </w:pPr>
          </w:p>
        </w:tc>
      </w:tr>
      <w:tr>
        <w:trPr>
          <w:trHeight w:val="230"/>
        </w:trPr>
        <w:tc>
          <w:tcPr>
            <w:tcW w:w="7240" w:type="dxa"/>
            <w:vAlign w:val="bottom"/>
          </w:tcPr>
          <w:p>
            <w:pPr>
              <w:ind w:left="20"/>
              <w:spacing w:after="0"/>
              <w:rPr>
                <w:sz w:val="20"/>
                <w:szCs w:val="20"/>
                <w:color w:val="auto"/>
              </w:rPr>
            </w:pPr>
            <w:r>
              <w:rPr>
                <w:rFonts w:ascii="Arial" w:cs="Arial" w:eastAsia="Arial" w:hAnsi="Arial"/>
                <w:sz w:val="18"/>
                <w:szCs w:val="18"/>
                <w:color w:val="auto"/>
              </w:rPr>
              <w:t>2026</w:t>
            </w:r>
          </w:p>
        </w:tc>
        <w:tc>
          <w:tcPr>
            <w:tcW w:w="1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1,585</w:t>
            </w:r>
          </w:p>
        </w:tc>
        <w:tc>
          <w:tcPr>
            <w:tcW w:w="100" w:type="dxa"/>
            <w:vAlign w:val="bottom"/>
          </w:tcPr>
          <w:p>
            <w:pPr>
              <w:spacing w:after="0"/>
              <w:rPr>
                <w:sz w:val="20"/>
                <w:szCs w:val="20"/>
                <w:color w:val="auto"/>
              </w:rPr>
            </w:pPr>
          </w:p>
        </w:tc>
      </w:tr>
      <w:tr>
        <w:trPr>
          <w:trHeight w:val="255"/>
        </w:trPr>
        <w:tc>
          <w:tcPr>
            <w:tcW w:w="7240" w:type="dxa"/>
            <w:vAlign w:val="bottom"/>
            <w:shd w:val="clear" w:color="auto" w:fill="CFF0FC"/>
          </w:tcPr>
          <w:p>
            <w:pPr>
              <w:ind w:left="20"/>
              <w:spacing w:after="0"/>
              <w:rPr>
                <w:sz w:val="20"/>
                <w:szCs w:val="20"/>
                <w:color w:val="auto"/>
              </w:rPr>
            </w:pPr>
            <w:r>
              <w:rPr>
                <w:rFonts w:ascii="Arial" w:cs="Arial" w:eastAsia="Arial" w:hAnsi="Arial"/>
                <w:sz w:val="18"/>
                <w:szCs w:val="18"/>
                <w:color w:val="auto"/>
              </w:rPr>
              <w:t>2027</w:t>
            </w:r>
          </w:p>
        </w:tc>
        <w:tc>
          <w:tcPr>
            <w:tcW w:w="120" w:type="dxa"/>
            <w:vAlign w:val="bottom"/>
            <w:shd w:val="clear" w:color="auto" w:fill="CFF0FC"/>
          </w:tcPr>
          <w:p>
            <w:pPr>
              <w:spacing w:after="0"/>
              <w:rPr>
                <w:sz w:val="22"/>
                <w:szCs w:val="22"/>
                <w:color w:val="auto"/>
              </w:rPr>
            </w:pPr>
          </w:p>
        </w:tc>
        <w:tc>
          <w:tcPr>
            <w:tcW w:w="1340" w:type="dxa"/>
            <w:vAlign w:val="bottom"/>
            <w:shd w:val="clear" w:color="auto" w:fill="CFF0FC"/>
          </w:tcPr>
          <w:p>
            <w:pPr>
              <w:spacing w:after="0"/>
              <w:rPr>
                <w:sz w:val="22"/>
                <w:szCs w:val="22"/>
                <w:color w:val="auto"/>
              </w:rPr>
            </w:pPr>
          </w:p>
        </w:tc>
        <w:tc>
          <w:tcPr>
            <w:tcW w:w="360" w:type="dxa"/>
            <w:vAlign w:val="bottom"/>
            <w:shd w:val="clear" w:color="auto" w:fill="CFF0FC"/>
          </w:tcPr>
          <w:p>
            <w:pPr>
              <w:spacing w:after="0"/>
              <w:rPr>
                <w:sz w:val="22"/>
                <w:szCs w:val="22"/>
                <w:color w:val="auto"/>
              </w:rPr>
            </w:pPr>
          </w:p>
        </w:tc>
        <w:tc>
          <w:tcPr>
            <w:tcW w:w="32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1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757</w:t>
            </w:r>
          </w:p>
        </w:tc>
        <w:tc>
          <w:tcPr>
            <w:tcW w:w="100" w:type="dxa"/>
            <w:vAlign w:val="bottom"/>
            <w:shd w:val="clear" w:color="auto" w:fill="CFF0FC"/>
          </w:tcPr>
          <w:p>
            <w:pPr>
              <w:spacing w:after="0"/>
              <w:rPr>
                <w:sz w:val="22"/>
                <w:szCs w:val="22"/>
                <w:color w:val="auto"/>
              </w:rPr>
            </w:pPr>
          </w:p>
        </w:tc>
      </w:tr>
      <w:tr>
        <w:trPr>
          <w:trHeight w:val="243"/>
        </w:trPr>
        <w:tc>
          <w:tcPr>
            <w:tcW w:w="7240" w:type="dxa"/>
            <w:vAlign w:val="bottom"/>
          </w:tcPr>
          <w:p>
            <w:pPr>
              <w:ind w:left="20"/>
              <w:spacing w:after="0"/>
              <w:rPr>
                <w:sz w:val="20"/>
                <w:szCs w:val="20"/>
                <w:color w:val="auto"/>
              </w:rPr>
            </w:pPr>
            <w:r>
              <w:rPr>
                <w:rFonts w:ascii="Arial" w:cs="Arial" w:eastAsia="Arial" w:hAnsi="Arial"/>
                <w:sz w:val="18"/>
                <w:szCs w:val="18"/>
                <w:color w:val="auto"/>
              </w:rPr>
              <w:t>Thereafter</w:t>
            </w:r>
          </w:p>
        </w:tc>
        <w:tc>
          <w:tcPr>
            <w:tcW w:w="1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1,448</w:t>
            </w:r>
          </w:p>
        </w:tc>
        <w:tc>
          <w:tcPr>
            <w:tcW w:w="100" w:type="dxa"/>
            <w:vAlign w:val="bottom"/>
          </w:tcPr>
          <w:p>
            <w:pPr>
              <w:spacing w:after="0"/>
              <w:rPr>
                <w:sz w:val="21"/>
                <w:szCs w:val="21"/>
                <w:color w:val="auto"/>
              </w:rPr>
            </w:pPr>
          </w:p>
        </w:tc>
      </w:tr>
      <w:tr>
        <w:trPr>
          <w:trHeight w:val="276"/>
        </w:trPr>
        <w:tc>
          <w:tcPr>
            <w:tcW w:w="72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estimated future amortization expense</w:t>
            </w:r>
          </w:p>
        </w:tc>
        <w:tc>
          <w:tcPr>
            <w:tcW w:w="120" w:type="dxa"/>
            <w:vAlign w:val="bottom"/>
            <w:tcBorders>
              <w:bottom w:val="single" w:sz="8" w:color="CFF0FC"/>
            </w:tcBorders>
            <w:shd w:val="clear" w:color="auto" w:fill="CFF0FC"/>
          </w:tcPr>
          <w:p>
            <w:pPr>
              <w:spacing w:after="0"/>
              <w:rPr>
                <w:sz w:val="24"/>
                <w:szCs w:val="24"/>
                <w:color w:val="auto"/>
              </w:rPr>
            </w:pPr>
          </w:p>
        </w:tc>
        <w:tc>
          <w:tcPr>
            <w:tcW w:w="1340" w:type="dxa"/>
            <w:vAlign w:val="bottom"/>
            <w:tcBorders>
              <w:bottom w:val="single" w:sz="8" w:color="CFF0FC"/>
            </w:tcBorders>
            <w:shd w:val="clear" w:color="auto" w:fill="CFF0FC"/>
          </w:tcPr>
          <w:p>
            <w:pPr>
              <w:spacing w:after="0"/>
              <w:rPr>
                <w:sz w:val="24"/>
                <w:szCs w:val="24"/>
                <w:color w:val="auto"/>
              </w:rPr>
            </w:pP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320" w:type="dxa"/>
            <w:vAlign w:val="bottom"/>
            <w:tcBorders>
              <w:bottom w:val="single" w:sz="8" w:color="auto"/>
            </w:tcBorders>
            <w:shd w:val="clear" w:color="auto" w:fill="CFF0FC"/>
          </w:tcPr>
          <w:p>
            <w:pPr>
              <w:spacing w:after="0"/>
              <w:rPr>
                <w:sz w:val="24"/>
                <w:szCs w:val="24"/>
                <w:color w:val="auto"/>
              </w:rPr>
            </w:pPr>
          </w:p>
        </w:tc>
        <w:tc>
          <w:tcPr>
            <w:tcW w:w="120" w:type="dxa"/>
            <w:vAlign w:val="bottom"/>
            <w:tcBorders>
              <w:bottom w:val="single" w:sz="8" w:color="auto"/>
            </w:tcBorders>
            <w:shd w:val="clear" w:color="auto" w:fill="CFF0FC"/>
          </w:tcPr>
          <w:p>
            <w:pPr>
              <w:spacing w:after="0"/>
              <w:rPr>
                <w:sz w:val="24"/>
                <w:szCs w:val="24"/>
                <w:color w:val="auto"/>
              </w:rPr>
            </w:pPr>
          </w:p>
        </w:tc>
        <w:tc>
          <w:tcPr>
            <w:tcW w:w="1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12,341</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412"/>
        </w:trPr>
        <w:tc>
          <w:tcPr>
            <w:tcW w:w="7240" w:type="dxa"/>
            <w:vAlign w:val="bottom"/>
          </w:tcPr>
          <w:p>
            <w:pPr>
              <w:spacing w:after="0"/>
              <w:rPr>
                <w:sz w:val="20"/>
                <w:szCs w:val="20"/>
                <w:color w:val="auto"/>
              </w:rPr>
            </w:pPr>
            <w:r>
              <w:rPr>
                <w:rFonts w:ascii="Arial" w:cs="Arial" w:eastAsia="Arial" w:hAnsi="Arial"/>
                <w:sz w:val="18"/>
                <w:szCs w:val="18"/>
                <w:b w:val="1"/>
                <w:bCs w:val="1"/>
                <w:color w:val="231F20"/>
              </w:rPr>
              <w:t>5.  Goodwill</w:t>
            </w: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24"/>
        </w:trPr>
        <w:tc>
          <w:tcPr>
            <w:tcW w:w="7240" w:type="dxa"/>
            <w:vAlign w:val="bottom"/>
          </w:tcPr>
          <w:p>
            <w:pPr>
              <w:spacing w:after="0"/>
              <w:rPr>
                <w:sz w:val="20"/>
                <w:szCs w:val="20"/>
                <w:color w:val="auto"/>
              </w:rPr>
            </w:pPr>
            <w:r>
              <w:rPr>
                <w:rFonts w:ascii="Arial" w:cs="Arial" w:eastAsia="Arial" w:hAnsi="Arial"/>
                <w:sz w:val="18"/>
                <w:szCs w:val="18"/>
                <w:color w:val="231F20"/>
              </w:rPr>
              <w:t>Goodwill consisted of the following for the periods presented:</w:t>
            </w: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57"/>
        </w:trPr>
        <w:tc>
          <w:tcPr>
            <w:tcW w:w="724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gridSpan w:val="2"/>
          </w:tcPr>
          <w:p>
            <w:pPr>
              <w:ind w:left="280"/>
              <w:spacing w:after="0"/>
              <w:rPr>
                <w:sz w:val="20"/>
                <w:szCs w:val="20"/>
                <w:color w:val="auto"/>
              </w:rPr>
            </w:pPr>
            <w:r>
              <w:rPr>
                <w:rFonts w:ascii="Arial" w:cs="Arial" w:eastAsia="Arial" w:hAnsi="Arial"/>
                <w:sz w:val="18"/>
                <w:szCs w:val="18"/>
                <w:b w:val="1"/>
                <w:bCs w:val="1"/>
                <w:color w:val="auto"/>
                <w:w w:val="84"/>
              </w:rPr>
              <w:t>As of</w:t>
            </w:r>
          </w:p>
        </w:tc>
        <w:tc>
          <w:tcPr>
            <w:tcW w:w="12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38"/>
        </w:trPr>
        <w:tc>
          <w:tcPr>
            <w:tcW w:w="7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20" w:type="dxa"/>
            <w:vAlign w:val="bottom"/>
            <w:gridSpan w:val="3"/>
          </w:tcPr>
          <w:p>
            <w:pPr>
              <w:ind w:left="40"/>
              <w:spacing w:after="0"/>
              <w:rPr>
                <w:sz w:val="20"/>
                <w:szCs w:val="20"/>
                <w:color w:val="auto"/>
              </w:rPr>
            </w:pPr>
            <w:r>
              <w:rPr>
                <w:rFonts w:ascii="Arial" w:cs="Arial" w:eastAsia="Arial" w:hAnsi="Arial"/>
                <w:sz w:val="18"/>
                <w:szCs w:val="18"/>
                <w:b w:val="1"/>
                <w:bCs w:val="1"/>
                <w:color w:val="auto"/>
              </w:rPr>
              <w:t>September 30, 2023</w:t>
            </w:r>
          </w:p>
        </w:tc>
        <w:tc>
          <w:tcPr>
            <w:tcW w:w="120" w:type="dxa"/>
            <w:vAlign w:val="bottom"/>
          </w:tcPr>
          <w:p>
            <w:pPr>
              <w:spacing w:after="0"/>
              <w:rPr>
                <w:sz w:val="20"/>
                <w:szCs w:val="20"/>
                <w:color w:val="auto"/>
              </w:rPr>
            </w:pPr>
          </w:p>
        </w:tc>
        <w:tc>
          <w:tcPr>
            <w:tcW w:w="1640" w:type="dxa"/>
            <w:vAlign w:val="bottom"/>
          </w:tcPr>
          <w:p>
            <w:pPr>
              <w:jc w:val="right"/>
              <w:ind w:right="70"/>
              <w:spacing w:after="0"/>
              <w:rPr>
                <w:sz w:val="20"/>
                <w:szCs w:val="20"/>
                <w:color w:val="auto"/>
              </w:rPr>
            </w:pPr>
            <w:r>
              <w:rPr>
                <w:rFonts w:ascii="Arial" w:cs="Arial" w:eastAsia="Arial" w:hAnsi="Arial"/>
                <w:sz w:val="18"/>
                <w:szCs w:val="18"/>
                <w:b w:val="1"/>
                <w:bCs w:val="1"/>
                <w:color w:val="auto"/>
                <w:w w:val="90"/>
              </w:rPr>
              <w:t>December 31, 2022</w:t>
            </w:r>
          </w:p>
        </w:tc>
        <w:tc>
          <w:tcPr>
            <w:tcW w:w="100" w:type="dxa"/>
            <w:vAlign w:val="bottom"/>
          </w:tcPr>
          <w:p>
            <w:pPr>
              <w:spacing w:after="0"/>
              <w:rPr>
                <w:sz w:val="20"/>
                <w:szCs w:val="20"/>
                <w:color w:val="auto"/>
              </w:rPr>
            </w:pPr>
          </w:p>
        </w:tc>
      </w:tr>
      <w:tr>
        <w:trPr>
          <w:trHeight w:val="240"/>
        </w:trPr>
        <w:tc>
          <w:tcPr>
            <w:tcW w:w="7240" w:type="dxa"/>
            <w:vAlign w:val="bottom"/>
            <w:shd w:val="clear" w:color="auto" w:fill="CFF0FC"/>
          </w:tcPr>
          <w:p>
            <w:pPr>
              <w:ind w:left="20"/>
              <w:spacing w:after="0"/>
              <w:rPr>
                <w:sz w:val="20"/>
                <w:szCs w:val="20"/>
                <w:color w:val="auto"/>
              </w:rPr>
            </w:pPr>
            <w:r>
              <w:rPr>
                <w:rFonts w:ascii="Arial" w:cs="Arial" w:eastAsia="Arial" w:hAnsi="Arial"/>
                <w:sz w:val="18"/>
                <w:szCs w:val="18"/>
                <w:color w:val="auto"/>
              </w:rPr>
              <w:t>Balance at beginning of period</w:t>
            </w: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70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1,109,815</w:t>
            </w:r>
          </w:p>
        </w:tc>
        <w:tc>
          <w:tcPr>
            <w:tcW w:w="320" w:type="dxa"/>
            <w:vAlign w:val="bottom"/>
            <w:shd w:val="clear" w:color="auto" w:fill="CFF0FC"/>
          </w:tcPr>
          <w:p>
            <w:pPr>
              <w:spacing w:after="0"/>
              <w:rPr>
                <w:sz w:val="20"/>
                <w:szCs w:val="20"/>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6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1,060,221</w:t>
            </w:r>
          </w:p>
        </w:tc>
        <w:tc>
          <w:tcPr>
            <w:tcW w:w="100" w:type="dxa"/>
            <w:vAlign w:val="bottom"/>
            <w:shd w:val="clear" w:color="auto" w:fill="CFF0FC"/>
          </w:tcPr>
          <w:p>
            <w:pPr>
              <w:spacing w:after="0"/>
              <w:rPr>
                <w:sz w:val="20"/>
                <w:szCs w:val="20"/>
                <w:color w:val="auto"/>
              </w:rPr>
            </w:pPr>
          </w:p>
        </w:tc>
      </w:tr>
      <w:tr>
        <w:trPr>
          <w:trHeight w:val="236"/>
        </w:trPr>
        <w:tc>
          <w:tcPr>
            <w:tcW w:w="7240" w:type="dxa"/>
            <w:vAlign w:val="bottom"/>
          </w:tcPr>
          <w:p>
            <w:pPr>
              <w:ind w:left="160"/>
              <w:spacing w:after="0"/>
              <w:rPr>
                <w:sz w:val="20"/>
                <w:szCs w:val="20"/>
                <w:color w:val="auto"/>
              </w:rPr>
            </w:pPr>
            <w:r>
              <w:rPr>
                <w:rFonts w:ascii="Arial" w:cs="Arial" w:eastAsia="Arial" w:hAnsi="Arial"/>
                <w:sz w:val="18"/>
                <w:szCs w:val="18"/>
                <w:color w:val="auto"/>
              </w:rPr>
              <w:t>Current period acquisitions</w:t>
            </w:r>
          </w:p>
        </w:tc>
        <w:tc>
          <w:tcPr>
            <w:tcW w:w="120" w:type="dxa"/>
            <w:vAlign w:val="bottom"/>
          </w:tcPr>
          <w:p>
            <w:pPr>
              <w:spacing w:after="0"/>
              <w:rPr>
                <w:sz w:val="20"/>
                <w:szCs w:val="20"/>
                <w:color w:val="auto"/>
              </w:rPr>
            </w:pP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25,691</w:t>
            </w: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57,856</w:t>
            </w:r>
          </w:p>
        </w:tc>
        <w:tc>
          <w:tcPr>
            <w:tcW w:w="100" w:type="dxa"/>
            <w:vAlign w:val="bottom"/>
          </w:tcPr>
          <w:p>
            <w:pPr>
              <w:spacing w:after="0"/>
              <w:rPr>
                <w:sz w:val="20"/>
                <w:szCs w:val="20"/>
                <w:color w:val="auto"/>
              </w:rPr>
            </w:pPr>
          </w:p>
        </w:tc>
      </w:tr>
      <w:tr>
        <w:trPr>
          <w:trHeight w:val="243"/>
        </w:trPr>
        <w:tc>
          <w:tcPr>
            <w:tcW w:w="7240" w:type="dxa"/>
            <w:vAlign w:val="bottom"/>
            <w:shd w:val="clear" w:color="auto" w:fill="CFF0FC"/>
          </w:tcPr>
          <w:p>
            <w:pPr>
              <w:ind w:left="160"/>
              <w:spacing w:after="0"/>
              <w:rPr>
                <w:sz w:val="20"/>
                <w:szCs w:val="20"/>
                <w:color w:val="auto"/>
              </w:rPr>
            </w:pPr>
            <w:r>
              <w:rPr>
                <w:rFonts w:ascii="Arial" w:cs="Arial" w:eastAsia="Arial" w:hAnsi="Arial"/>
                <w:sz w:val="18"/>
                <w:szCs w:val="18"/>
                <w:color w:val="auto"/>
              </w:rPr>
              <w:t>Other provisional adjustments</w:t>
            </w:r>
          </w:p>
        </w:tc>
        <w:tc>
          <w:tcPr>
            <w:tcW w:w="120" w:type="dxa"/>
            <w:vAlign w:val="bottom"/>
            <w:shd w:val="clear" w:color="auto" w:fill="CFF0FC"/>
          </w:tcPr>
          <w:p>
            <w:pPr>
              <w:spacing w:after="0"/>
              <w:rPr>
                <w:sz w:val="21"/>
                <w:szCs w:val="21"/>
                <w:color w:val="auto"/>
              </w:rPr>
            </w:pPr>
          </w:p>
        </w:tc>
        <w:tc>
          <w:tcPr>
            <w:tcW w:w="17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7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(8,262 )</w:t>
            </w:r>
          </w:p>
        </w:tc>
      </w:tr>
      <w:tr>
        <w:trPr>
          <w:trHeight w:val="242"/>
        </w:trPr>
        <w:tc>
          <w:tcPr>
            <w:tcW w:w="7240" w:type="dxa"/>
            <w:vAlign w:val="bottom"/>
            <w:tcBorders>
              <w:top w:val="single" w:sz="8" w:color="CFF0FC"/>
            </w:tcBorders>
          </w:tcPr>
          <w:p>
            <w:pPr>
              <w:ind w:left="20"/>
              <w:spacing w:after="0"/>
              <w:rPr>
                <w:sz w:val="20"/>
                <w:szCs w:val="20"/>
                <w:color w:val="auto"/>
              </w:rPr>
            </w:pPr>
            <w:r>
              <w:rPr>
                <w:rFonts w:ascii="Arial" w:cs="Arial" w:eastAsia="Arial" w:hAnsi="Arial"/>
                <w:sz w:val="18"/>
                <w:szCs w:val="18"/>
                <w:color w:val="auto"/>
              </w:rPr>
              <w:t>Balance at end of period</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7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1,135,506</w:t>
            </w:r>
          </w:p>
        </w:tc>
        <w:tc>
          <w:tcPr>
            <w:tcW w:w="320" w:type="dxa"/>
            <w:vAlign w:val="bottom"/>
            <w:tcBorders>
              <w:top w:val="single" w:sz="8" w:color="CFF0FC"/>
            </w:tcBorders>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1,109,815</w:t>
            </w:r>
          </w:p>
        </w:tc>
        <w:tc>
          <w:tcPr>
            <w:tcW w:w="100" w:type="dxa"/>
            <w:vAlign w:val="bottom"/>
            <w:tcBorders>
              <w:top w:val="single" w:sz="8" w:color="CFF0FC"/>
            </w:tcBorders>
          </w:tcPr>
          <w:p>
            <w:pPr>
              <w:spacing w:after="0"/>
              <w:rPr>
                <w:sz w:val="21"/>
                <w:szCs w:val="21"/>
                <w:color w:val="auto"/>
              </w:rPr>
            </w:pPr>
          </w:p>
        </w:tc>
      </w:tr>
      <w:tr>
        <w:trPr>
          <w:trHeight w:val="20"/>
        </w:trPr>
        <w:tc>
          <w:tcPr>
            <w:tcW w:w="7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-1557655</wp:posOffset>
            </wp:positionV>
            <wp:extent cx="6858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-1540510</wp:posOffset>
            </wp:positionV>
            <wp:extent cx="6858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5750560</wp:posOffset>
            </wp:positionH>
            <wp:positionV relativeFrom="paragraph">
              <wp:posOffset>-187960</wp:posOffset>
            </wp:positionV>
            <wp:extent cx="68580" cy="18859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18859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8580" cy="188595"/>
                    </a:xfrm>
                    <a:prstGeom prst="rect">
                      <a:avLst/>
                    </a:prstGeom>
                    <a:noFill/>
                  </pic:spPr>
                </pic:pic>
              </a:graphicData>
            </a:graphic>
          </wp:anchor>
        </w:drawing>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color w:val="auto"/>
        </w:rPr>
        <w:t>Goodwill is generally deductible for tax purposes, except for the portion related to purchase accounting step-up goodwill.</w:t>
      </w:r>
    </w:p>
    <w:p>
      <w:pPr>
        <w:spacing w:after="0" w:line="117"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231F20"/>
        </w:rPr>
        <w:t>6. Other Accrued Expenses</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231F20"/>
        </w:rPr>
        <w:t>Other accrued expenses consisted of the following for the periods presented:</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20"/>
        <w:spacing w:after="0"/>
        <w:rPr>
          <w:sz w:val="20"/>
          <w:szCs w:val="20"/>
          <w:color w:val="auto"/>
        </w:rPr>
      </w:pPr>
      <w:r>
        <w:rPr>
          <w:rFonts w:ascii="Arial" w:cs="Arial" w:eastAsia="Arial" w:hAnsi="Arial"/>
          <w:sz w:val="18"/>
          <w:szCs w:val="18"/>
          <w:color w:val="auto"/>
        </w:rPr>
        <w:t>Utilities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15430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Accrued other tax expense</w:t>
      </w:r>
    </w:p>
    <w:p>
      <w:pPr>
        <w:spacing w:after="0" w:line="36" w:lineRule="exact"/>
        <w:rPr>
          <w:sz w:val="20"/>
          <w:szCs w:val="20"/>
          <w:color w:val="auto"/>
        </w:rPr>
      </w:pPr>
    </w:p>
    <w:p>
      <w:pPr>
        <w:ind w:left="20"/>
        <w:spacing w:after="0"/>
        <w:rPr>
          <w:sz w:val="20"/>
          <w:szCs w:val="20"/>
          <w:color w:val="auto"/>
        </w:rPr>
      </w:pPr>
      <w:r>
        <w:rPr>
          <w:rFonts w:ascii="Arial" w:cs="Arial" w:eastAsia="Arial" w:hAnsi="Arial"/>
          <w:sz w:val="18"/>
          <w:szCs w:val="18"/>
          <w:color w:val="auto"/>
        </w:rPr>
        <w:t>Insurance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15430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Greenfield development accruals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34226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32320" cy="342265"/>
                    </a:xfrm>
                    <a:prstGeom prst="rect">
                      <a:avLst/>
                    </a:prstGeom>
                    <a:noFill/>
                  </pic:spPr>
                </pic:pic>
              </a:graphicData>
            </a:graphic>
          </wp:anchor>
        </w:drawing>
      </w:r>
    </w:p>
    <w:p>
      <w:pPr>
        <w:spacing w:after="0" w:line="29" w:lineRule="exact"/>
        <w:rPr>
          <w:sz w:val="20"/>
          <w:szCs w:val="20"/>
          <w:color w:val="auto"/>
        </w:rPr>
      </w:pPr>
    </w:p>
    <w:p>
      <w:pPr>
        <w:ind w:left="20"/>
        <w:spacing w:after="0"/>
        <w:rPr>
          <w:sz w:val="20"/>
          <w:szCs w:val="20"/>
          <w:color w:val="auto"/>
        </w:rPr>
      </w:pPr>
      <w:r>
        <w:rPr>
          <w:rFonts w:ascii="Arial" w:cs="Arial" w:eastAsia="Arial" w:hAnsi="Arial"/>
          <w:sz w:val="18"/>
          <w:szCs w:val="18"/>
          <w:color w:val="auto"/>
        </w:rPr>
        <w:t>Other</w:t>
      </w:r>
    </w:p>
    <w:p>
      <w:pPr>
        <w:spacing w:after="0" w:line="76" w:lineRule="exact"/>
        <w:rPr>
          <w:sz w:val="20"/>
          <w:szCs w:val="20"/>
          <w:color w:val="auto"/>
        </w:rPr>
      </w:pPr>
    </w:p>
    <w:p>
      <w:pPr>
        <w:ind w:left="160"/>
        <w:spacing w:after="0"/>
        <w:rPr>
          <w:sz w:val="20"/>
          <w:szCs w:val="20"/>
          <w:color w:val="auto"/>
        </w:rPr>
      </w:pPr>
      <w:r>
        <w:rPr>
          <w:rFonts w:ascii="Arial" w:cs="Arial" w:eastAsia="Arial" w:hAnsi="Arial"/>
          <w:sz w:val="18"/>
          <w:szCs w:val="18"/>
          <w:color w:val="auto"/>
        </w:rPr>
        <w:t>Total other accrued expenses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1740"/>
        <w:spacing w:after="0"/>
        <w:rPr>
          <w:sz w:val="20"/>
          <w:szCs w:val="20"/>
          <w:color w:val="auto"/>
        </w:rPr>
      </w:pPr>
      <w:r>
        <w:rPr>
          <w:rFonts w:ascii="Arial" w:cs="Arial" w:eastAsia="Arial" w:hAnsi="Arial"/>
          <w:sz w:val="18"/>
          <w:szCs w:val="18"/>
          <w:b w:val="1"/>
          <w:bCs w:val="1"/>
          <w:color w:val="auto"/>
        </w:rPr>
        <w:t>As of</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120" w:type="dxa"/>
            <w:vAlign w:val="bottom"/>
            <w:tcBorders>
              <w:top w:val="single" w:sz="8" w:color="auto"/>
              <w:bottom w:val="single" w:sz="8" w:color="auto"/>
            </w:tcBorders>
          </w:tcPr>
          <w:p>
            <w:pPr>
              <w:spacing w:after="0"/>
              <w:rPr>
                <w:sz w:val="21"/>
                <w:szCs w:val="21"/>
                <w:color w:val="auto"/>
              </w:rPr>
            </w:pPr>
          </w:p>
        </w:tc>
        <w:tc>
          <w:tcPr>
            <w:tcW w:w="180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0"/>
              </w:rPr>
              <w:t>September 30, 2023</w:t>
            </w:r>
          </w:p>
        </w:tc>
        <w:tc>
          <w:tcPr>
            <w:tcW w:w="200" w:type="dxa"/>
            <w:vAlign w:val="bottom"/>
            <w:tcBorders>
              <w:top w:val="single" w:sz="8" w:color="auto"/>
            </w:tcBorders>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174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0"/>
              </w:rPr>
              <w:t>December 31, 2022</w:t>
            </w:r>
          </w:p>
        </w:tc>
      </w:tr>
      <w:tr>
        <w:trPr>
          <w:trHeight w:val="228"/>
        </w:trPr>
        <w:tc>
          <w:tcPr>
            <w:tcW w:w="120" w:type="dxa"/>
            <w:vAlign w:val="bottom"/>
          </w:tcPr>
          <w:p>
            <w:pPr>
              <w:jc w:val="right"/>
              <w:spacing w:after="0"/>
              <w:rPr>
                <w:sz w:val="20"/>
                <w:szCs w:val="20"/>
                <w:color w:val="auto"/>
              </w:rPr>
            </w:pPr>
            <w:r>
              <w:rPr>
                <w:rFonts w:ascii="Arial" w:cs="Arial" w:eastAsia="Arial" w:hAnsi="Arial"/>
                <w:sz w:val="18"/>
                <w:szCs w:val="18"/>
                <w:color w:val="231F20"/>
                <w:w w:val="79"/>
              </w:rPr>
              <w:t>$</w:t>
            </w:r>
          </w:p>
        </w:tc>
        <w:tc>
          <w:tcPr>
            <w:tcW w:w="1800" w:type="dxa"/>
            <w:vAlign w:val="bottom"/>
          </w:tcPr>
          <w:p>
            <w:pPr>
              <w:jc w:val="right"/>
              <w:ind w:right="30"/>
              <w:spacing w:after="0"/>
              <w:rPr>
                <w:sz w:val="20"/>
                <w:szCs w:val="20"/>
                <w:color w:val="auto"/>
              </w:rPr>
            </w:pPr>
            <w:r>
              <w:rPr>
                <w:rFonts w:ascii="Arial" w:cs="Arial" w:eastAsia="Arial" w:hAnsi="Arial"/>
                <w:sz w:val="18"/>
                <w:szCs w:val="18"/>
                <w:color w:val="231F20"/>
              </w:rPr>
              <w:t>5,769</w:t>
            </w:r>
          </w:p>
        </w:tc>
        <w:tc>
          <w:tcPr>
            <w:tcW w:w="2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231F20"/>
                <w:w w:val="79"/>
              </w:rPr>
              <w:t>$</w:t>
            </w:r>
          </w:p>
        </w:tc>
        <w:tc>
          <w:tcPr>
            <w:tcW w:w="1740" w:type="dxa"/>
            <w:vAlign w:val="bottom"/>
          </w:tcPr>
          <w:p>
            <w:pPr>
              <w:jc w:val="right"/>
              <w:ind w:right="30"/>
              <w:spacing w:after="0"/>
              <w:rPr>
                <w:sz w:val="20"/>
                <w:szCs w:val="20"/>
                <w:color w:val="auto"/>
              </w:rPr>
            </w:pPr>
            <w:r>
              <w:rPr>
                <w:rFonts w:ascii="Arial" w:cs="Arial" w:eastAsia="Arial" w:hAnsi="Arial"/>
                <w:sz w:val="18"/>
                <w:szCs w:val="18"/>
                <w:color w:val="231F20"/>
              </w:rPr>
              <w:t>5,439</w:t>
            </w:r>
          </w:p>
        </w:tc>
      </w:tr>
      <w:tr>
        <w:trPr>
          <w:trHeight w:val="242"/>
        </w:trPr>
        <w:tc>
          <w:tcPr>
            <w:tcW w:w="120" w:type="dxa"/>
            <w:vAlign w:val="bottom"/>
          </w:tcPr>
          <w:p>
            <w:pPr>
              <w:spacing w:after="0"/>
              <w:rPr>
                <w:sz w:val="21"/>
                <w:szCs w:val="21"/>
                <w:color w:val="auto"/>
              </w:rPr>
            </w:pPr>
          </w:p>
        </w:tc>
        <w:tc>
          <w:tcPr>
            <w:tcW w:w="1800" w:type="dxa"/>
            <w:vAlign w:val="bottom"/>
          </w:tcPr>
          <w:p>
            <w:pPr>
              <w:jc w:val="right"/>
              <w:ind w:right="30"/>
              <w:spacing w:after="0"/>
              <w:rPr>
                <w:sz w:val="20"/>
                <w:szCs w:val="20"/>
                <w:color w:val="auto"/>
              </w:rPr>
            </w:pPr>
            <w:r>
              <w:rPr>
                <w:rFonts w:ascii="Arial" w:cs="Arial" w:eastAsia="Arial" w:hAnsi="Arial"/>
                <w:sz w:val="18"/>
                <w:szCs w:val="18"/>
                <w:color w:val="231F20"/>
              </w:rPr>
              <w:t>11,690</w:t>
            </w: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740" w:type="dxa"/>
            <w:vAlign w:val="bottom"/>
          </w:tcPr>
          <w:p>
            <w:pPr>
              <w:jc w:val="right"/>
              <w:ind w:right="30"/>
              <w:spacing w:after="0"/>
              <w:rPr>
                <w:sz w:val="20"/>
                <w:szCs w:val="20"/>
                <w:color w:val="auto"/>
              </w:rPr>
            </w:pPr>
            <w:r>
              <w:rPr>
                <w:rFonts w:ascii="Arial" w:cs="Arial" w:eastAsia="Arial" w:hAnsi="Arial"/>
                <w:sz w:val="18"/>
                <w:szCs w:val="18"/>
                <w:color w:val="231F20"/>
              </w:rPr>
              <w:t>8,863</w:t>
            </w:r>
          </w:p>
        </w:tc>
      </w:tr>
      <w:tr>
        <w:trPr>
          <w:trHeight w:val="243"/>
        </w:trPr>
        <w:tc>
          <w:tcPr>
            <w:tcW w:w="120" w:type="dxa"/>
            <w:vAlign w:val="bottom"/>
          </w:tcPr>
          <w:p>
            <w:pPr>
              <w:spacing w:after="0"/>
              <w:rPr>
                <w:sz w:val="21"/>
                <w:szCs w:val="21"/>
                <w:color w:val="auto"/>
              </w:rPr>
            </w:pPr>
          </w:p>
        </w:tc>
        <w:tc>
          <w:tcPr>
            <w:tcW w:w="1800" w:type="dxa"/>
            <w:vAlign w:val="bottom"/>
          </w:tcPr>
          <w:p>
            <w:pPr>
              <w:jc w:val="right"/>
              <w:ind w:right="30"/>
              <w:spacing w:after="0"/>
              <w:rPr>
                <w:sz w:val="20"/>
                <w:szCs w:val="20"/>
                <w:color w:val="auto"/>
              </w:rPr>
            </w:pPr>
            <w:r>
              <w:rPr>
                <w:rFonts w:ascii="Arial" w:cs="Arial" w:eastAsia="Arial" w:hAnsi="Arial"/>
                <w:sz w:val="18"/>
                <w:szCs w:val="18"/>
                <w:color w:val="231F20"/>
              </w:rPr>
              <w:t>4,475</w:t>
            </w: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740" w:type="dxa"/>
            <w:vAlign w:val="bottom"/>
          </w:tcPr>
          <w:p>
            <w:pPr>
              <w:jc w:val="right"/>
              <w:ind w:right="30"/>
              <w:spacing w:after="0"/>
              <w:rPr>
                <w:sz w:val="20"/>
                <w:szCs w:val="20"/>
                <w:color w:val="auto"/>
              </w:rPr>
            </w:pPr>
            <w:r>
              <w:rPr>
                <w:rFonts w:ascii="Arial" w:cs="Arial" w:eastAsia="Arial" w:hAnsi="Arial"/>
                <w:sz w:val="18"/>
                <w:szCs w:val="18"/>
                <w:color w:val="231F20"/>
              </w:rPr>
              <w:t>3,275</w:t>
            </w:r>
          </w:p>
        </w:tc>
      </w:tr>
      <w:tr>
        <w:trPr>
          <w:trHeight w:val="243"/>
        </w:trPr>
        <w:tc>
          <w:tcPr>
            <w:tcW w:w="120" w:type="dxa"/>
            <w:vAlign w:val="bottom"/>
          </w:tcPr>
          <w:p>
            <w:pPr>
              <w:spacing w:after="0"/>
              <w:rPr>
                <w:sz w:val="21"/>
                <w:szCs w:val="21"/>
                <w:color w:val="auto"/>
              </w:rPr>
            </w:pPr>
          </w:p>
        </w:tc>
        <w:tc>
          <w:tcPr>
            <w:tcW w:w="1800" w:type="dxa"/>
            <w:vAlign w:val="bottom"/>
          </w:tcPr>
          <w:p>
            <w:pPr>
              <w:jc w:val="right"/>
              <w:ind w:right="30"/>
              <w:spacing w:after="0"/>
              <w:rPr>
                <w:sz w:val="20"/>
                <w:szCs w:val="20"/>
                <w:color w:val="auto"/>
              </w:rPr>
            </w:pPr>
            <w:r>
              <w:rPr>
                <w:rFonts w:ascii="Arial" w:cs="Arial" w:eastAsia="Arial" w:hAnsi="Arial"/>
                <w:sz w:val="18"/>
                <w:szCs w:val="18"/>
                <w:color w:val="231F20"/>
              </w:rPr>
              <w:t>16,439</w:t>
            </w: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740" w:type="dxa"/>
            <w:vAlign w:val="bottom"/>
          </w:tcPr>
          <w:p>
            <w:pPr>
              <w:jc w:val="right"/>
              <w:ind w:right="30"/>
              <w:spacing w:after="0"/>
              <w:rPr>
                <w:sz w:val="20"/>
                <w:szCs w:val="20"/>
                <w:color w:val="auto"/>
              </w:rPr>
            </w:pPr>
            <w:r>
              <w:rPr>
                <w:rFonts w:ascii="Arial" w:cs="Arial" w:eastAsia="Arial" w:hAnsi="Arial"/>
                <w:sz w:val="18"/>
                <w:szCs w:val="18"/>
                <w:color w:val="231F20"/>
              </w:rPr>
              <w:t>18,772</w:t>
            </w:r>
          </w:p>
        </w:tc>
      </w:tr>
      <w:tr>
        <w:trPr>
          <w:trHeight w:val="250"/>
        </w:trPr>
        <w:tc>
          <w:tcPr>
            <w:tcW w:w="120" w:type="dxa"/>
            <w:vAlign w:val="bottom"/>
            <w:tcBorders>
              <w:bottom w:val="single" w:sz="8" w:color="auto"/>
            </w:tcBorders>
          </w:tcPr>
          <w:p>
            <w:pPr>
              <w:spacing w:after="0"/>
              <w:rPr>
                <w:sz w:val="21"/>
                <w:szCs w:val="21"/>
                <w:color w:val="auto"/>
              </w:rPr>
            </w:pPr>
          </w:p>
        </w:tc>
        <w:tc>
          <w:tcPr>
            <w:tcW w:w="18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231F20"/>
              </w:rPr>
              <w:t>3,178</w:t>
            </w:r>
          </w:p>
        </w:tc>
        <w:tc>
          <w:tcPr>
            <w:tcW w:w="20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7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231F20"/>
              </w:rPr>
              <w:t>4,847</w:t>
            </w:r>
          </w:p>
        </w:tc>
      </w:tr>
      <w:tr>
        <w:trPr>
          <w:trHeight w:val="236"/>
        </w:trPr>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231F20"/>
                <w:w w:val="79"/>
              </w:rPr>
              <w:t>$</w:t>
            </w:r>
          </w:p>
        </w:tc>
        <w:tc>
          <w:tcPr>
            <w:tcW w:w="18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231F20"/>
              </w:rPr>
              <w:t>41,551</w:t>
            </w:r>
          </w:p>
        </w:tc>
        <w:tc>
          <w:tcPr>
            <w:tcW w:w="20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231F20"/>
                <w:w w:val="79"/>
              </w:rPr>
              <w:t>$</w:t>
            </w:r>
          </w:p>
        </w:tc>
        <w:tc>
          <w:tcPr>
            <w:tcW w:w="17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231F20"/>
              </w:rPr>
              <w:t>41,196</w:t>
            </w:r>
          </w:p>
        </w:tc>
      </w:tr>
      <w:tr>
        <w:trPr>
          <w:trHeight w:val="20"/>
        </w:trPr>
        <w:tc>
          <w:tcPr>
            <w:tcW w:w="12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6520" w:space="720"/>
            <w:col w:w="4000"/>
          </w:cols>
          <w:pgMar w:left="320" w:top="337" w:right="339" w:bottom="1440" w:gutter="0" w:footer="0" w:header="0"/>
        </w:sectPr>
      </w:pPr>
    </w:p>
    <w:p>
      <w:pPr>
        <w:spacing w:after="0" w:line="1"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Greenfield development accruals represent property and equipment costs, primarily related to land and buildings and improvements not yet invoiced as of September 30, 2023 and December 31, 2022.</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7.  Income Taxes</w:t>
      </w:r>
    </w:p>
    <w:p>
      <w:pPr>
        <w:spacing w:after="0" w:line="121" w:lineRule="exact"/>
        <w:rPr>
          <w:sz w:val="20"/>
          <w:szCs w:val="20"/>
          <w:color w:val="auto"/>
        </w:rPr>
      </w:pPr>
    </w:p>
    <w:p>
      <w:pPr>
        <w:ind w:right="80"/>
        <w:spacing w:after="0" w:line="286" w:lineRule="auto"/>
        <w:rPr>
          <w:sz w:val="20"/>
          <w:szCs w:val="20"/>
          <w:color w:val="auto"/>
        </w:rPr>
      </w:pPr>
      <w:r>
        <w:rPr>
          <w:rFonts w:ascii="Arial" w:cs="Arial" w:eastAsia="Arial" w:hAnsi="Arial"/>
          <w:sz w:val="17"/>
          <w:szCs w:val="17"/>
          <w:color w:val="231F20"/>
        </w:rPr>
        <w:t>The effective income tax rates on continuing operations for the nine months ended September 30, 2023 and 2022 were 21.3% and 22.1%, respectively. In general, the effective tax rates differed from the U.S. federal statutory income tax rate primarily due to state income taxes, non-deductible expenses such as those related to certain executive compensation, and other discrete tax benefits recorded during the period.</w:t>
      </w:r>
    </w:p>
    <w:p>
      <w:pPr>
        <w:spacing w:after="0" w:line="56"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231F20"/>
        </w:rPr>
        <w:t>The year-to-date provision for income taxes for the nine months ended September 30, 2023 included taxes on earnings at an anticipated annual effective tax rate of 25.6% and a net, favorable tax impact of $3,638 related primarily to discrete tax benefits originating from stock options exercised during the nine months ended September 30, 2023.</w:t>
      </w:r>
    </w:p>
    <w:p>
      <w:pPr>
        <w:spacing w:after="0" w:line="75"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231F20"/>
        </w:rPr>
        <w:t>The year-to-date provision for income taxes for the nine months ended September 30, 2022 included taxes on earnings at an anticipated annual effective tax rate of 26.6% and a net, favorable tax impact of $5,543 related primarily to discrete tax benefits originating from stock options exercised during the nine months ended September 30, 2022.</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color w:val="231F20"/>
        </w:rPr>
        <w:t>The 1.0% decrease in the annual effective tax rate relates primarily to an anticipated reduction in state income tax liabilities.</w:t>
      </w:r>
    </w:p>
    <w:p>
      <w:pPr>
        <w:spacing w:after="0" w:line="117" w:lineRule="exact"/>
        <w:rPr>
          <w:sz w:val="20"/>
          <w:szCs w:val="20"/>
          <w:color w:val="auto"/>
        </w:rPr>
      </w:pPr>
    </w:p>
    <w:p>
      <w:pPr>
        <w:ind w:right="220"/>
        <w:spacing w:after="0" w:line="256" w:lineRule="auto"/>
        <w:rPr>
          <w:sz w:val="20"/>
          <w:szCs w:val="20"/>
          <w:color w:val="auto"/>
        </w:rPr>
      </w:pPr>
      <w:r>
        <w:rPr>
          <w:rFonts w:ascii="Arial" w:cs="Arial" w:eastAsia="Arial" w:hAnsi="Arial"/>
          <w:sz w:val="18"/>
          <w:szCs w:val="18"/>
          <w:color w:val="231F20"/>
        </w:rPr>
        <w:t>In 2022, the Creating Helpful Incentives to Produce Semiconductors (“CHIPS”) Act of 2022 was signed into law. The CHIPS Act is designed to boost domestic semiconductor manufacturing and encourage US research activities. Also in 2022, the Inflation Reduction Act (“IRA”) of 2022 was signed into law. The IRA created a new book-minimum tax on certain large corporations and an excise tax on stock buybacks while also providing incentives to address climate change mitigation and clean energy, among other items. Similar to the prior quarter, we do not currently expect these laws to have a material effect on our consolidated financial statements.</w:t>
      </w:r>
    </w:p>
    <w:p>
      <w:pPr>
        <w:spacing w:after="0" w:line="191"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231F20"/>
        </w:rPr>
        <w:t>For the nine months ended September 30, 2023 and 2022, we did not record any unrecognized tax benefits or interest and penalties related to any uncertain tax positions.</w:t>
      </w: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type w:val="continuous"/>
        </w:sectPr>
      </w:pPr>
    </w:p>
    <w:bookmarkStart w:id="12" w:name="page13"/>
    <w:bookmarkEnd w:id="12"/>
    <w:tbl>
      <w:tblPr>
        <w:tblLayout w:type="fixed"/>
        <w:tblInd w:w="0" w:type="dxa"/>
        <w:tblCellMar>
          <w:top w:w="0" w:type="dxa"/>
          <w:left w:w="0" w:type="dxa"/>
          <w:bottom w:w="0" w:type="dxa"/>
          <w:right w:w="0" w:type="dxa"/>
        </w:tblCellMar>
      </w:tblPr>
      <w:tr>
        <w:trPr>
          <w:trHeight w:val="234"/>
        </w:trPr>
        <w:tc>
          <w:tcPr>
            <w:tcW w:w="7280" w:type="dxa"/>
            <w:vAlign w:val="bottom"/>
          </w:tcPr>
          <w:p>
            <w:pPr>
              <w:spacing w:after="0"/>
              <w:rPr>
                <w:sz w:val="20"/>
                <w:szCs w:val="20"/>
                <w:color w:val="auto"/>
              </w:rPr>
            </w:pPr>
            <w:r>
              <w:rPr>
                <w:rFonts w:ascii="Arial" w:cs="Arial" w:eastAsia="Arial" w:hAnsi="Arial"/>
                <w:sz w:val="18"/>
                <w:szCs w:val="18"/>
                <w:b w:val="1"/>
                <w:bCs w:val="1"/>
                <w:color w:val="231F20"/>
              </w:rPr>
              <w:t>8.  Debt</w:t>
            </w:r>
          </w:p>
        </w:tc>
        <w:tc>
          <w:tcPr>
            <w:tcW w:w="14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24"/>
        </w:trPr>
        <w:tc>
          <w:tcPr>
            <w:tcW w:w="7280" w:type="dxa"/>
            <w:vAlign w:val="bottom"/>
          </w:tcPr>
          <w:p>
            <w:pPr>
              <w:spacing w:after="0"/>
              <w:rPr>
                <w:sz w:val="20"/>
                <w:szCs w:val="20"/>
                <w:color w:val="auto"/>
              </w:rPr>
            </w:pPr>
            <w:r>
              <w:rPr>
                <w:rFonts w:ascii="Arial" w:cs="Arial" w:eastAsia="Arial" w:hAnsi="Arial"/>
                <w:sz w:val="18"/>
                <w:szCs w:val="18"/>
                <w:color w:val="231F20"/>
              </w:rPr>
              <w:t>Long-term debt consisted of the following as of the periods presented:</w:t>
            </w:r>
          </w:p>
        </w:tc>
        <w:tc>
          <w:tcPr>
            <w:tcW w:w="1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57"/>
        </w:trPr>
        <w:tc>
          <w:tcPr>
            <w:tcW w:w="728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As of</w:t>
            </w:r>
          </w:p>
        </w:tc>
        <w:tc>
          <w:tcPr>
            <w:tcW w:w="16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38"/>
        </w:trPr>
        <w:tc>
          <w:tcPr>
            <w:tcW w:w="7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94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w w:val="90"/>
              </w:rPr>
              <w:t>September 30, 2023</w:t>
            </w:r>
          </w:p>
        </w:tc>
        <w:tc>
          <w:tcPr>
            <w:tcW w:w="120" w:type="dxa"/>
            <w:vAlign w:val="bottom"/>
          </w:tcPr>
          <w:p>
            <w:pPr>
              <w:spacing w:after="0"/>
              <w:rPr>
                <w:sz w:val="20"/>
                <w:szCs w:val="20"/>
                <w:color w:val="auto"/>
              </w:rPr>
            </w:pPr>
          </w:p>
        </w:tc>
        <w:tc>
          <w:tcPr>
            <w:tcW w:w="1660" w:type="dxa"/>
            <w:vAlign w:val="bottom"/>
          </w:tcPr>
          <w:p>
            <w:pPr>
              <w:jc w:val="right"/>
              <w:ind w:right="90"/>
              <w:spacing w:after="0"/>
              <w:rPr>
                <w:sz w:val="20"/>
                <w:szCs w:val="20"/>
                <w:color w:val="auto"/>
              </w:rPr>
            </w:pPr>
            <w:r>
              <w:rPr>
                <w:rFonts w:ascii="Arial" w:cs="Arial" w:eastAsia="Arial" w:hAnsi="Arial"/>
                <w:sz w:val="18"/>
                <w:szCs w:val="18"/>
                <w:b w:val="1"/>
                <w:bCs w:val="1"/>
                <w:color w:val="auto"/>
                <w:w w:val="90"/>
              </w:rPr>
              <w:t>December 31, 2022</w:t>
            </w:r>
          </w:p>
        </w:tc>
        <w:tc>
          <w:tcPr>
            <w:tcW w:w="100" w:type="dxa"/>
            <w:vAlign w:val="bottom"/>
          </w:tcPr>
          <w:p>
            <w:pPr>
              <w:spacing w:after="0"/>
              <w:rPr>
                <w:sz w:val="20"/>
                <w:szCs w:val="20"/>
                <w:color w:val="auto"/>
              </w:rPr>
            </w:pPr>
          </w:p>
        </w:tc>
      </w:tr>
      <w:tr>
        <w:trPr>
          <w:trHeight w:val="240"/>
        </w:trPr>
        <w:tc>
          <w:tcPr>
            <w:tcW w:w="7280" w:type="dxa"/>
            <w:vAlign w:val="bottom"/>
            <w:shd w:val="clear" w:color="auto" w:fill="CFF0FC"/>
          </w:tcPr>
          <w:p>
            <w:pPr>
              <w:ind w:left="20"/>
              <w:spacing w:after="0"/>
              <w:rPr>
                <w:sz w:val="20"/>
                <w:szCs w:val="20"/>
                <w:color w:val="auto"/>
              </w:rPr>
            </w:pPr>
            <w:r>
              <w:rPr>
                <w:rFonts w:ascii="Arial" w:cs="Arial" w:eastAsia="Arial" w:hAnsi="Arial"/>
                <w:sz w:val="18"/>
                <w:szCs w:val="18"/>
                <w:i w:val="1"/>
                <w:iCs w:val="1"/>
                <w:color w:val="auto"/>
              </w:rPr>
              <w:t>Credit agreement</w:t>
            </w:r>
          </w:p>
        </w:tc>
        <w:tc>
          <w:tcPr>
            <w:tcW w:w="140" w:type="dxa"/>
            <w:vAlign w:val="bottom"/>
            <w:tcBorders>
              <w:top w:val="single" w:sz="8" w:color="auto"/>
            </w:tcBorders>
            <w:shd w:val="clear" w:color="auto" w:fill="CFF0FC"/>
          </w:tcPr>
          <w:p>
            <w:pPr>
              <w:spacing w:after="0"/>
              <w:rPr>
                <w:sz w:val="20"/>
                <w:szCs w:val="20"/>
                <w:color w:val="auto"/>
              </w:rPr>
            </w:pPr>
          </w:p>
        </w:tc>
        <w:tc>
          <w:tcPr>
            <w:tcW w:w="1700" w:type="dxa"/>
            <w:vAlign w:val="bottom"/>
            <w:tcBorders>
              <w:top w:val="single" w:sz="8" w:color="auto"/>
            </w:tcBorders>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20" w:type="dxa"/>
            <w:vAlign w:val="bottom"/>
            <w:tcBorders>
              <w:top w:val="single" w:sz="8" w:color="auto"/>
            </w:tcBorders>
            <w:shd w:val="clear" w:color="auto" w:fill="CFF0FC"/>
          </w:tcPr>
          <w:p>
            <w:pPr>
              <w:spacing w:after="0"/>
              <w:rPr>
                <w:sz w:val="20"/>
                <w:szCs w:val="20"/>
                <w:color w:val="auto"/>
              </w:rPr>
            </w:pPr>
          </w:p>
        </w:tc>
        <w:tc>
          <w:tcPr>
            <w:tcW w:w="166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6"/>
        </w:trPr>
        <w:tc>
          <w:tcPr>
            <w:tcW w:w="7280" w:type="dxa"/>
            <w:vAlign w:val="bottom"/>
          </w:tcPr>
          <w:p>
            <w:pPr>
              <w:ind w:left="20"/>
              <w:spacing w:after="0"/>
              <w:rPr>
                <w:sz w:val="20"/>
                <w:szCs w:val="20"/>
                <w:color w:val="auto"/>
              </w:rPr>
            </w:pPr>
            <w:r>
              <w:rPr>
                <w:rFonts w:ascii="Arial" w:cs="Arial" w:eastAsia="Arial" w:hAnsi="Arial"/>
                <w:sz w:val="18"/>
                <w:szCs w:val="18"/>
                <w:color w:val="auto"/>
              </w:rPr>
              <w:t>First lien term loan</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700" w:type="dxa"/>
            <w:vAlign w:val="bottom"/>
          </w:tcPr>
          <w:p>
            <w:pPr>
              <w:jc w:val="right"/>
              <w:spacing w:after="0"/>
              <w:rPr>
                <w:sz w:val="20"/>
                <w:szCs w:val="20"/>
                <w:color w:val="auto"/>
              </w:rPr>
            </w:pPr>
            <w:r>
              <w:rPr>
                <w:rFonts w:ascii="Arial" w:cs="Arial" w:eastAsia="Arial" w:hAnsi="Arial"/>
                <w:sz w:val="18"/>
                <w:szCs w:val="18"/>
                <w:color w:val="auto"/>
              </w:rPr>
              <w:t>901,201</w:t>
            </w:r>
          </w:p>
        </w:tc>
        <w:tc>
          <w:tcPr>
            <w:tcW w:w="24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60" w:type="dxa"/>
            <w:vAlign w:val="bottom"/>
          </w:tcPr>
          <w:p>
            <w:pPr>
              <w:jc w:val="right"/>
              <w:spacing w:after="0"/>
              <w:rPr>
                <w:sz w:val="20"/>
                <w:szCs w:val="20"/>
                <w:color w:val="auto"/>
              </w:rPr>
            </w:pPr>
            <w:r>
              <w:rPr>
                <w:rFonts w:ascii="Arial" w:cs="Arial" w:eastAsia="Arial" w:hAnsi="Arial"/>
                <w:sz w:val="18"/>
                <w:szCs w:val="18"/>
                <w:color w:val="auto"/>
              </w:rPr>
              <w:t>901,201</w:t>
            </w:r>
          </w:p>
        </w:tc>
        <w:tc>
          <w:tcPr>
            <w:tcW w:w="100" w:type="dxa"/>
            <w:vAlign w:val="bottom"/>
          </w:tcPr>
          <w:p>
            <w:pPr>
              <w:spacing w:after="0"/>
              <w:rPr>
                <w:sz w:val="20"/>
                <w:szCs w:val="20"/>
                <w:color w:val="auto"/>
              </w:rPr>
            </w:pPr>
          </w:p>
        </w:tc>
      </w:tr>
      <w:tr>
        <w:trPr>
          <w:trHeight w:val="249"/>
        </w:trPr>
        <w:tc>
          <w:tcPr>
            <w:tcW w:w="7280" w:type="dxa"/>
            <w:vAlign w:val="bottom"/>
            <w:shd w:val="clear" w:color="auto" w:fill="CFF0FC"/>
          </w:tcPr>
          <w:p>
            <w:pPr>
              <w:ind w:left="20"/>
              <w:spacing w:after="0"/>
              <w:rPr>
                <w:sz w:val="20"/>
                <w:szCs w:val="20"/>
                <w:color w:val="auto"/>
              </w:rPr>
            </w:pPr>
            <w:r>
              <w:rPr>
                <w:rFonts w:ascii="Arial" w:cs="Arial" w:eastAsia="Arial" w:hAnsi="Arial"/>
                <w:sz w:val="18"/>
                <w:szCs w:val="18"/>
                <w:color w:val="auto"/>
              </w:rPr>
              <w:t>Less: unamortized discount and debt issuance costs</w:t>
            </w:r>
          </w:p>
        </w:tc>
        <w:tc>
          <w:tcPr>
            <w:tcW w:w="140" w:type="dxa"/>
            <w:vAlign w:val="bottom"/>
            <w:shd w:val="clear" w:color="auto" w:fill="CFF0FC"/>
          </w:tcPr>
          <w:p>
            <w:pPr>
              <w:spacing w:after="0"/>
              <w:rPr>
                <w:sz w:val="21"/>
                <w:szCs w:val="21"/>
                <w:color w:val="auto"/>
              </w:rPr>
            </w:pPr>
          </w:p>
        </w:tc>
        <w:tc>
          <w:tcPr>
            <w:tcW w:w="19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(4,179 )</w:t>
            </w:r>
          </w:p>
        </w:tc>
        <w:tc>
          <w:tcPr>
            <w:tcW w:w="120" w:type="dxa"/>
            <w:vAlign w:val="bottom"/>
            <w:shd w:val="clear" w:color="auto" w:fill="CFF0FC"/>
          </w:tcPr>
          <w:p>
            <w:pPr>
              <w:spacing w:after="0"/>
              <w:rPr>
                <w:sz w:val="21"/>
                <w:szCs w:val="21"/>
                <w:color w:val="auto"/>
              </w:rPr>
            </w:pPr>
          </w:p>
        </w:tc>
        <w:tc>
          <w:tcPr>
            <w:tcW w:w="17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(5,371 )</w:t>
            </w:r>
          </w:p>
        </w:tc>
      </w:tr>
      <w:tr>
        <w:trPr>
          <w:trHeight w:val="230"/>
        </w:trPr>
        <w:tc>
          <w:tcPr>
            <w:tcW w:w="7280" w:type="dxa"/>
            <w:vAlign w:val="bottom"/>
          </w:tcPr>
          <w:p>
            <w:pPr>
              <w:ind w:left="120"/>
              <w:spacing w:after="0"/>
              <w:rPr>
                <w:sz w:val="20"/>
                <w:szCs w:val="20"/>
                <w:color w:val="auto"/>
              </w:rPr>
            </w:pPr>
            <w:r>
              <w:rPr>
                <w:rFonts w:ascii="Arial" w:cs="Arial" w:eastAsia="Arial" w:hAnsi="Arial"/>
                <w:sz w:val="18"/>
                <w:szCs w:val="18"/>
                <w:color w:val="auto"/>
              </w:rPr>
              <w:t>First lien term loan, net</w:t>
            </w:r>
          </w:p>
        </w:tc>
        <w:tc>
          <w:tcPr>
            <w:tcW w:w="140" w:type="dxa"/>
            <w:vAlign w:val="bottom"/>
            <w:tcBorders>
              <w:top w:val="single" w:sz="8" w:color="auto"/>
              <w:bottom w:val="single" w:sz="8" w:color="auto"/>
            </w:tcBorders>
          </w:tcPr>
          <w:p>
            <w:pPr>
              <w:spacing w:after="0"/>
              <w:rPr>
                <w:sz w:val="19"/>
                <w:szCs w:val="19"/>
                <w:color w:val="auto"/>
              </w:rPr>
            </w:pPr>
          </w:p>
        </w:tc>
        <w:tc>
          <w:tcPr>
            <w:tcW w:w="1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897,022</w:t>
            </w:r>
          </w:p>
        </w:tc>
        <w:tc>
          <w:tcPr>
            <w:tcW w:w="24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895,830</w:t>
            </w:r>
          </w:p>
        </w:tc>
        <w:tc>
          <w:tcPr>
            <w:tcW w:w="100" w:type="dxa"/>
            <w:vAlign w:val="bottom"/>
          </w:tcPr>
          <w:p>
            <w:pPr>
              <w:spacing w:after="0"/>
              <w:rPr>
                <w:sz w:val="19"/>
                <w:szCs w:val="19"/>
                <w:color w:val="auto"/>
              </w:rPr>
            </w:pPr>
          </w:p>
        </w:tc>
      </w:tr>
      <w:tr>
        <w:trPr>
          <w:trHeight w:val="242"/>
        </w:trPr>
        <w:tc>
          <w:tcPr>
            <w:tcW w:w="72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83"/>
        </w:trPr>
        <w:tc>
          <w:tcPr>
            <w:tcW w:w="728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18"/>
                <w:szCs w:val="18"/>
                <w:color w:val="auto"/>
              </w:rPr>
              <w:t>Total long-term portion of debt, net</w:t>
            </w: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897,022</w:t>
            </w:r>
          </w:p>
        </w:tc>
        <w:tc>
          <w:tcPr>
            <w:tcW w:w="24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895,830</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412"/>
        </w:trPr>
        <w:tc>
          <w:tcPr>
            <w:tcW w:w="7280" w:type="dxa"/>
            <w:vAlign w:val="bottom"/>
          </w:tcPr>
          <w:p>
            <w:pPr>
              <w:spacing w:after="0"/>
              <w:rPr>
                <w:sz w:val="20"/>
                <w:szCs w:val="20"/>
                <w:color w:val="auto"/>
              </w:rPr>
            </w:pPr>
            <w:r>
              <w:rPr>
                <w:rFonts w:ascii="Arial" w:cs="Arial" w:eastAsia="Arial" w:hAnsi="Arial"/>
                <w:sz w:val="18"/>
                <w:szCs w:val="18"/>
                <w:color w:val="231F20"/>
              </w:rPr>
              <w:t>As of September 30, 2023, annual maturities of debt were as follows:</w:t>
            </w:r>
          </w:p>
        </w:tc>
        <w:tc>
          <w:tcPr>
            <w:tcW w:w="1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57"/>
        </w:trPr>
        <w:tc>
          <w:tcPr>
            <w:tcW w:w="728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Fiscal Year Ending:</w:t>
            </w:r>
          </w:p>
        </w:tc>
        <w:tc>
          <w:tcPr>
            <w:tcW w:w="14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43"/>
        </w:trPr>
        <w:tc>
          <w:tcPr>
            <w:tcW w:w="7280" w:type="dxa"/>
            <w:vAlign w:val="bottom"/>
            <w:shd w:val="clear" w:color="auto" w:fill="CFF0FC"/>
          </w:tcPr>
          <w:p>
            <w:pPr>
              <w:ind w:left="20"/>
              <w:spacing w:after="0"/>
              <w:rPr>
                <w:sz w:val="20"/>
                <w:szCs w:val="20"/>
                <w:color w:val="auto"/>
              </w:rPr>
            </w:pPr>
            <w:r>
              <w:rPr>
                <w:rFonts w:ascii="Arial" w:cs="Arial" w:eastAsia="Arial" w:hAnsi="Arial"/>
                <w:sz w:val="18"/>
                <w:szCs w:val="18"/>
                <w:color w:val="auto"/>
              </w:rPr>
              <w:t>2023 (remaining six months)</w:t>
            </w:r>
          </w:p>
        </w:tc>
        <w:tc>
          <w:tcPr>
            <w:tcW w:w="140" w:type="dxa"/>
            <w:vAlign w:val="bottom"/>
            <w:shd w:val="clear" w:color="auto" w:fill="CFF0FC"/>
          </w:tcPr>
          <w:p>
            <w:pPr>
              <w:spacing w:after="0"/>
              <w:rPr>
                <w:sz w:val="21"/>
                <w:szCs w:val="21"/>
                <w:color w:val="auto"/>
              </w:rPr>
            </w:pPr>
          </w:p>
        </w:tc>
        <w:tc>
          <w:tcPr>
            <w:tcW w:w="17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1"/>
                <w:szCs w:val="21"/>
                <w:color w:val="auto"/>
              </w:rPr>
            </w:pPr>
          </w:p>
        </w:tc>
      </w:tr>
      <w:tr>
        <w:trPr>
          <w:trHeight w:val="230"/>
        </w:trPr>
        <w:tc>
          <w:tcPr>
            <w:tcW w:w="7280" w:type="dxa"/>
            <w:vAlign w:val="bottom"/>
          </w:tcPr>
          <w:p>
            <w:pPr>
              <w:ind w:left="20"/>
              <w:spacing w:after="0"/>
              <w:rPr>
                <w:sz w:val="20"/>
                <w:szCs w:val="20"/>
                <w:color w:val="auto"/>
              </w:rPr>
            </w:pPr>
            <w:r>
              <w:rPr>
                <w:rFonts w:ascii="Arial" w:cs="Arial" w:eastAsia="Arial" w:hAnsi="Arial"/>
                <w:sz w:val="18"/>
                <w:szCs w:val="18"/>
                <w:color w:val="auto"/>
              </w:rPr>
              <w:t>2024</w:t>
            </w:r>
          </w:p>
        </w:tc>
        <w:tc>
          <w:tcPr>
            <w:tcW w:w="14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r>
      <w:tr>
        <w:trPr>
          <w:trHeight w:val="255"/>
        </w:trPr>
        <w:tc>
          <w:tcPr>
            <w:tcW w:w="7280" w:type="dxa"/>
            <w:vAlign w:val="bottom"/>
            <w:shd w:val="clear" w:color="auto" w:fill="CFF0FC"/>
          </w:tcPr>
          <w:p>
            <w:pPr>
              <w:ind w:left="20"/>
              <w:spacing w:after="0"/>
              <w:rPr>
                <w:sz w:val="20"/>
                <w:szCs w:val="20"/>
                <w:color w:val="auto"/>
              </w:rPr>
            </w:pPr>
            <w:r>
              <w:rPr>
                <w:rFonts w:ascii="Arial" w:cs="Arial" w:eastAsia="Arial" w:hAnsi="Arial"/>
                <w:sz w:val="18"/>
                <w:szCs w:val="18"/>
                <w:color w:val="auto"/>
              </w:rPr>
              <w:t>2025</w:t>
            </w:r>
          </w:p>
        </w:tc>
        <w:tc>
          <w:tcPr>
            <w:tcW w:w="140" w:type="dxa"/>
            <w:vAlign w:val="bottom"/>
            <w:shd w:val="clear" w:color="auto" w:fill="CFF0FC"/>
          </w:tcPr>
          <w:p>
            <w:pPr>
              <w:spacing w:after="0"/>
              <w:rPr>
                <w:sz w:val="22"/>
                <w:szCs w:val="22"/>
                <w:color w:val="auto"/>
              </w:rPr>
            </w:pPr>
          </w:p>
        </w:tc>
        <w:tc>
          <w:tcPr>
            <w:tcW w:w="170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1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2"/>
                <w:szCs w:val="22"/>
                <w:color w:val="auto"/>
              </w:rPr>
            </w:pPr>
          </w:p>
        </w:tc>
      </w:tr>
      <w:tr>
        <w:trPr>
          <w:trHeight w:val="230"/>
        </w:trPr>
        <w:tc>
          <w:tcPr>
            <w:tcW w:w="7280" w:type="dxa"/>
            <w:vAlign w:val="bottom"/>
          </w:tcPr>
          <w:p>
            <w:pPr>
              <w:ind w:left="20"/>
              <w:spacing w:after="0"/>
              <w:rPr>
                <w:sz w:val="20"/>
                <w:szCs w:val="20"/>
                <w:color w:val="auto"/>
              </w:rPr>
            </w:pPr>
            <w:r>
              <w:rPr>
                <w:rFonts w:ascii="Arial" w:cs="Arial" w:eastAsia="Arial" w:hAnsi="Arial"/>
                <w:sz w:val="18"/>
                <w:szCs w:val="18"/>
                <w:color w:val="auto"/>
              </w:rPr>
              <w:t>2026</w:t>
            </w:r>
          </w:p>
        </w:tc>
        <w:tc>
          <w:tcPr>
            <w:tcW w:w="14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901,201</w:t>
            </w:r>
          </w:p>
        </w:tc>
        <w:tc>
          <w:tcPr>
            <w:tcW w:w="100" w:type="dxa"/>
            <w:vAlign w:val="bottom"/>
          </w:tcPr>
          <w:p>
            <w:pPr>
              <w:spacing w:after="0"/>
              <w:rPr>
                <w:sz w:val="20"/>
                <w:szCs w:val="20"/>
                <w:color w:val="auto"/>
              </w:rPr>
            </w:pPr>
          </w:p>
        </w:tc>
      </w:tr>
      <w:tr>
        <w:trPr>
          <w:trHeight w:val="255"/>
        </w:trPr>
        <w:tc>
          <w:tcPr>
            <w:tcW w:w="7280" w:type="dxa"/>
            <w:vAlign w:val="bottom"/>
            <w:shd w:val="clear" w:color="auto" w:fill="CFF0FC"/>
          </w:tcPr>
          <w:p>
            <w:pPr>
              <w:ind w:left="20"/>
              <w:spacing w:after="0"/>
              <w:rPr>
                <w:sz w:val="20"/>
                <w:szCs w:val="20"/>
                <w:color w:val="auto"/>
              </w:rPr>
            </w:pPr>
            <w:r>
              <w:rPr>
                <w:rFonts w:ascii="Arial" w:cs="Arial" w:eastAsia="Arial" w:hAnsi="Arial"/>
                <w:sz w:val="18"/>
                <w:szCs w:val="18"/>
                <w:color w:val="auto"/>
              </w:rPr>
              <w:t>2027</w:t>
            </w:r>
          </w:p>
        </w:tc>
        <w:tc>
          <w:tcPr>
            <w:tcW w:w="140" w:type="dxa"/>
            <w:vAlign w:val="bottom"/>
            <w:shd w:val="clear" w:color="auto" w:fill="CFF0FC"/>
          </w:tcPr>
          <w:p>
            <w:pPr>
              <w:spacing w:after="0"/>
              <w:rPr>
                <w:sz w:val="22"/>
                <w:szCs w:val="22"/>
                <w:color w:val="auto"/>
              </w:rPr>
            </w:pPr>
          </w:p>
        </w:tc>
        <w:tc>
          <w:tcPr>
            <w:tcW w:w="170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1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2"/>
                <w:szCs w:val="22"/>
                <w:color w:val="auto"/>
              </w:rPr>
            </w:pPr>
          </w:p>
        </w:tc>
      </w:tr>
      <w:tr>
        <w:trPr>
          <w:trHeight w:val="236"/>
        </w:trPr>
        <w:tc>
          <w:tcPr>
            <w:tcW w:w="7280" w:type="dxa"/>
            <w:vAlign w:val="bottom"/>
          </w:tcPr>
          <w:p>
            <w:pPr>
              <w:ind w:left="20"/>
              <w:spacing w:after="0"/>
              <w:rPr>
                <w:sz w:val="20"/>
                <w:szCs w:val="20"/>
                <w:color w:val="auto"/>
              </w:rPr>
            </w:pPr>
            <w:r>
              <w:rPr>
                <w:rFonts w:ascii="Arial" w:cs="Arial" w:eastAsia="Arial" w:hAnsi="Arial"/>
                <w:sz w:val="18"/>
                <w:szCs w:val="18"/>
                <w:color w:val="auto"/>
              </w:rPr>
              <w:t>Thereafter</w:t>
            </w:r>
          </w:p>
        </w:tc>
        <w:tc>
          <w:tcPr>
            <w:tcW w:w="14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r>
      <w:tr>
        <w:trPr>
          <w:trHeight w:val="282"/>
        </w:trPr>
        <w:tc>
          <w:tcPr>
            <w:tcW w:w="72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maturities of debt</w:t>
            </w:r>
          </w:p>
        </w:tc>
        <w:tc>
          <w:tcPr>
            <w:tcW w:w="140" w:type="dxa"/>
            <w:vAlign w:val="bottom"/>
            <w:tcBorders>
              <w:bottom w:val="single" w:sz="8" w:color="CFF0FC"/>
            </w:tcBorders>
            <w:shd w:val="clear" w:color="auto" w:fill="CFF0FC"/>
          </w:tcPr>
          <w:p>
            <w:pPr>
              <w:spacing w:after="0"/>
              <w:rPr>
                <w:sz w:val="24"/>
                <w:szCs w:val="24"/>
                <w:color w:val="auto"/>
              </w:rPr>
            </w:pPr>
          </w:p>
        </w:tc>
        <w:tc>
          <w:tcPr>
            <w:tcW w:w="170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901,201</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4628515</wp:posOffset>
            </wp:positionH>
            <wp:positionV relativeFrom="paragraph">
              <wp:posOffset>-2144395</wp:posOffset>
            </wp:positionV>
            <wp:extent cx="2521585" cy="33782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2521585" cy="337820"/>
                    </a:xfrm>
                    <a:prstGeom prst="rect">
                      <a:avLst/>
                    </a:prstGeom>
                    <a:noFill/>
                  </pic:spPr>
                </pic:pic>
              </a:graphicData>
            </a:graphic>
          </wp:anchor>
        </w:drawing>
        <w:drawing>
          <wp:anchor simplePos="0" relativeHeight="251657728" behindDoc="1" locked="0" layoutInCell="0" allowOverlap="1">
            <wp:simplePos x="0" y="0"/>
            <wp:positionH relativeFrom="column">
              <wp:posOffset>5793105</wp:posOffset>
            </wp:positionH>
            <wp:positionV relativeFrom="paragraph">
              <wp:posOffset>-1651635</wp:posOffset>
            </wp:positionV>
            <wp:extent cx="76835"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5793105</wp:posOffset>
            </wp:positionH>
            <wp:positionV relativeFrom="paragraph">
              <wp:posOffset>-1634490</wp:posOffset>
            </wp:positionV>
            <wp:extent cx="76835"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-1651635</wp:posOffset>
            </wp:positionV>
            <wp:extent cx="6858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-1634490</wp:posOffset>
            </wp:positionV>
            <wp:extent cx="6858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89"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231F20"/>
        </w:rPr>
        <w:t>As of September 30, 2023 and December 31, 2022, unamortized discount and debt issuance costs were $4,459 and $5,729, respectively, and accumulated amortization of discount and debt issuance costs was $5,716 and $4,446, respectively.</w:t>
      </w:r>
    </w:p>
    <w:p>
      <w:pPr>
        <w:spacing w:after="0" w:line="62"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231F20"/>
        </w:rPr>
        <w:t>For the three months ended September 30, 2023 and 2022, the amortization of debt issuance costs in interest expense, net in the unaudited condensed consolidated statements of operations and comprehensive income was approximately $428.</w:t>
      </w:r>
    </w:p>
    <w:p>
      <w:pPr>
        <w:spacing w:after="0" w:line="62"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231F20"/>
        </w:rPr>
        <w:t>For the nine months ended September 30, 2023 and 2022, the amortization of debt issuance costs in interest expense, net in the unaudited condensed consolidated statements of operations and comprehensive income was approximately $1,270.</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Credit Agreement</w:t>
      </w:r>
    </w:p>
    <w:p>
      <w:pPr>
        <w:spacing w:after="0" w:line="121" w:lineRule="exact"/>
        <w:rPr>
          <w:sz w:val="20"/>
          <w:szCs w:val="20"/>
          <w:color w:val="auto"/>
        </w:rPr>
      </w:pPr>
    </w:p>
    <w:p>
      <w:pPr>
        <w:jc w:val="both"/>
        <w:ind w:right="140"/>
        <w:spacing w:after="0" w:line="263" w:lineRule="auto"/>
        <w:rPr>
          <w:sz w:val="20"/>
          <w:szCs w:val="20"/>
          <w:color w:val="auto"/>
        </w:rPr>
      </w:pPr>
      <w:r>
        <w:rPr>
          <w:rFonts w:ascii="Arial" w:cs="Arial" w:eastAsia="Arial" w:hAnsi="Arial"/>
          <w:sz w:val="18"/>
          <w:szCs w:val="18"/>
          <w:color w:val="231F20"/>
        </w:rPr>
        <w:t>On August 21, 2014, we entered into a Credit Agreement (“Credit Agreement”) which was originally comprised of a term loan (“First Lien Term Loan”) and a revolving commitment (“Revolving Commitment”). The Credit Agreement was collateralized by substantially all personal property (including cash, inventory, property and equipment, and intangible assets), real property, and equity interests owned by us.</w:t>
      </w:r>
    </w:p>
    <w:p>
      <w:pPr>
        <w:spacing w:after="0" w:line="75" w:lineRule="exact"/>
        <w:rPr>
          <w:sz w:val="20"/>
          <w:szCs w:val="20"/>
          <w:color w:val="auto"/>
        </w:rPr>
      </w:pPr>
    </w:p>
    <w:p>
      <w:pPr>
        <w:jc w:val="both"/>
        <w:ind w:right="160"/>
        <w:spacing w:after="0" w:line="277" w:lineRule="auto"/>
        <w:rPr>
          <w:sz w:val="20"/>
          <w:szCs w:val="20"/>
          <w:color w:val="auto"/>
        </w:rPr>
      </w:pPr>
      <w:r>
        <w:rPr>
          <w:rFonts w:ascii="Arial" w:cs="Arial" w:eastAsia="Arial" w:hAnsi="Arial"/>
          <w:sz w:val="18"/>
          <w:szCs w:val="18"/>
          <w:color w:val="231F20"/>
        </w:rPr>
        <w:t>Under the First Lien Term Loan under the Credit Agreement, we had the option of selecting either (i) a Base Rate interest rate plus fixed margin of 2.25% or (ii) a Eurodollar (LIBOR) interest rate for one, two, three or six months plus a fixed margin of 3.25%.</w:t>
      </w:r>
    </w:p>
    <w:p>
      <w:pPr>
        <w:spacing w:after="0" w:line="62"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231F20"/>
        </w:rPr>
        <w:t>Under the Revolving Commitment under the Credit Agreement, we had the option of selecting either (i) a Base Rate interest rate plus a variable margin of 2.50% to 3.00%, based on our First Lien Net Debt Leverage Ratio, or (ii) a Eurodollar (LIBOR) interest rate for one, two, three or six months plus a variable margin of 3.50% to 4.00%, based on our First Lien Net Leverage Ratio.</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First Lien Term Loan</w:t>
      </w:r>
    </w:p>
    <w:p>
      <w:pPr>
        <w:spacing w:after="0" w:line="117" w:lineRule="exact"/>
        <w:rPr>
          <w:sz w:val="20"/>
          <w:szCs w:val="20"/>
          <w:color w:val="auto"/>
        </w:rPr>
      </w:pPr>
    </w:p>
    <w:p>
      <w:pPr>
        <w:ind w:right="260"/>
        <w:spacing w:after="0" w:line="273" w:lineRule="auto"/>
        <w:rPr>
          <w:sz w:val="20"/>
          <w:szCs w:val="20"/>
          <w:color w:val="auto"/>
        </w:rPr>
      </w:pPr>
      <w:r>
        <w:rPr>
          <w:rFonts w:ascii="Arial" w:cs="Arial" w:eastAsia="Arial" w:hAnsi="Arial"/>
          <w:sz w:val="17"/>
          <w:szCs w:val="17"/>
          <w:color w:val="231F20"/>
        </w:rPr>
        <w:t>In February 2020, we entered into Amendment No. 1 to Amended and Restated First Lien Credit Agreement (“Amended First Lien Credit Agreement”) which amended and restated the Amended and Restated First Lien Credit Agreement entered into in May 2019 (the “First Lien Credit Agreement”). The Amended First Lien Credit Agreement changed the interest rate spreads associated with the First Lien Credit Agreement where (i) the variable margin associated with the Base Rate interest rate plus a variable margin based on our First Lien Net Leverage Ratio changed from 2.25% to 2.50% to 2.00% to 2.25% and (ii) the variable margin associated with the Eurodollar Rate interest rate for one, two, three or six months plus a variable margin based on our First Lien Net Leverage Ratio changed from 3.25% to 3.50% to 3.00% to 3.25%.</w:t>
      </w:r>
    </w:p>
    <w:p>
      <w:pPr>
        <w:spacing w:after="0" w:line="68" w:lineRule="exact"/>
        <w:rPr>
          <w:sz w:val="20"/>
          <w:szCs w:val="20"/>
          <w:color w:val="auto"/>
        </w:rPr>
      </w:pPr>
    </w:p>
    <w:p>
      <w:pPr>
        <w:jc w:val="both"/>
        <w:ind w:right="140"/>
        <w:spacing w:after="0" w:line="301" w:lineRule="auto"/>
        <w:rPr>
          <w:sz w:val="20"/>
          <w:szCs w:val="20"/>
          <w:color w:val="auto"/>
        </w:rPr>
      </w:pPr>
      <w:r>
        <w:rPr>
          <w:rFonts w:ascii="Arial" w:cs="Arial" w:eastAsia="Arial" w:hAnsi="Arial"/>
          <w:sz w:val="16"/>
          <w:szCs w:val="16"/>
          <w:color w:val="231F20"/>
        </w:rPr>
        <w:t>In December 2021, in connection with the Clean Streak Ventures acquisition, we entered into Amendment No. 3 to the Amended and Restated First Lien Credit Agreement which amended and restated the Amended and Restated First Lien Credit Agreement entered into in May 2019. Under the terms of the Amended First Lien Credit Agreement, the previous First Lien Term Loan was increased by $290,000 to $903,301 with the balance due on May 14, 2026. The incremental increase in aggregate principal of $290,000 resulted in $285,962 of proceeds net of discount and debt issuance costs.</w:t>
      </w:r>
    </w:p>
    <w:p>
      <w:pPr>
        <w:spacing w:after="0" w:line="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13" w:name="page14"/>
    <w:bookmarkEnd w:id="13"/>
    <w:p>
      <w:pPr>
        <w:spacing w:after="0" w:line="311" w:lineRule="auto"/>
        <w:rPr>
          <w:sz w:val="20"/>
          <w:szCs w:val="20"/>
          <w:color w:val="auto"/>
        </w:rPr>
      </w:pPr>
      <w:r>
        <w:rPr>
          <w:rFonts w:ascii="Arial" w:cs="Arial" w:eastAsia="Arial" w:hAnsi="Arial"/>
          <w:sz w:val="16"/>
          <w:szCs w:val="16"/>
          <w:color w:val="231F20"/>
        </w:rPr>
        <w:t>In December 2022, we entered into Amendment No. 4 to the Amended and Restated First Lien Credit Agreement with the lenders party thereto, and Jeffries Finance LLC, as administrative agent, to transition from LIBOR to Eurocurrency rate SOFR spread, whereas all revolver borrowings and term loan borrowings under the existing credit agreement will be SOFR based. All other terms governing this term loan facility remained substantially the same.</w:t>
      </w:r>
    </w:p>
    <w:p>
      <w:pPr>
        <w:spacing w:after="0" w:line="40"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231F20"/>
        </w:rPr>
        <w:t>As of September 30, 2023 and December 31, 2022, the amount outstanding under the First Lien Term Loan was $901,201. As of September 30, 2023 and December 31, 2022, the interest rate on the First Lien Term Loan was 8.42% and 7.42%, respectively.</w:t>
      </w:r>
    </w:p>
    <w:p>
      <w:pPr>
        <w:spacing w:after="0" w:line="62" w:lineRule="exact"/>
        <w:rPr>
          <w:sz w:val="20"/>
          <w:szCs w:val="20"/>
          <w:color w:val="auto"/>
        </w:rPr>
      </w:pPr>
    </w:p>
    <w:p>
      <w:pPr>
        <w:ind w:right="340"/>
        <w:spacing w:after="0" w:line="341" w:lineRule="auto"/>
        <w:rPr>
          <w:sz w:val="20"/>
          <w:szCs w:val="20"/>
          <w:color w:val="auto"/>
        </w:rPr>
      </w:pPr>
      <w:r>
        <w:rPr>
          <w:rFonts w:ascii="Arial" w:cs="Arial" w:eastAsia="Arial" w:hAnsi="Arial"/>
          <w:sz w:val="16"/>
          <w:szCs w:val="16"/>
          <w:color w:val="231F20"/>
        </w:rPr>
        <w:t>The Amended and Restated First Lien Credit Agreement requires us to maintain compliance with a First Lien Net Leverage Ratio. As of September 30, 2023, we were in compliance with the First Lien Net Leverage Ratio financial covenant of the Amended and Restated First Lien Credit Agreement.</w:t>
      </w:r>
    </w:p>
    <w:p>
      <w:pPr>
        <w:spacing w:after="0" w:line="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Revolving Commitment</w:t>
      </w:r>
    </w:p>
    <w:p>
      <w:pPr>
        <w:spacing w:after="0" w:line="11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In May 2019, as a part of the Amended and Restated First Lien Credit Agreement, the Revolving Commitment was increased from $50,000 to $75,000. We had the option of selecting either a Base Rate interest rate plus a variable margin based on our First Lien Net Leverage Ratio (ranging from 2.0% to 2.5%) or a Eurodollar Rate interest rate for one, two, three or six months plus a variable margin based on our First Lien Net Leverage Ratio (ranging from 3.0% to 3.5%).</w:t>
      </w:r>
    </w:p>
    <w:p>
      <w:pPr>
        <w:spacing w:after="0" w:line="77"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 xml:space="preserve">In June 2021, we entered into Amendment No. 2 to Amended and Restated First Lien Credit Agreement that (i) increased the maximum available borrowing capacity under the Revolving Commitment from $75,000 to $150,000 and (ii) extended the maturity date of the Revolving Commitment to the earliest to occur of (a) June 4, 2026, (b) the date that is six months prior to the maturity date of the </w:t>
      </w:r>
      <w:r>
        <w:rPr>
          <w:rFonts w:ascii="Arial" w:cs="Arial" w:eastAsia="Arial" w:hAnsi="Arial"/>
          <w:sz w:val="16"/>
          <w:szCs w:val="16"/>
          <w:color w:val="231F20"/>
        </w:rPr>
        <w:t>First Lien Term Loan</w:t>
      </w:r>
      <w:r>
        <w:rPr>
          <w:rFonts w:ascii="Arial" w:cs="Arial" w:eastAsia="Arial" w:hAnsi="Arial"/>
          <w:sz w:val="16"/>
          <w:szCs w:val="16"/>
          <w:color w:val="auto"/>
        </w:rPr>
        <w:t xml:space="preserve"> (provided that clause (b) shall not apply if the maturity date for the </w:t>
      </w:r>
      <w:r>
        <w:rPr>
          <w:rFonts w:ascii="Arial" w:cs="Arial" w:eastAsia="Arial" w:hAnsi="Arial"/>
          <w:sz w:val="16"/>
          <w:szCs w:val="16"/>
          <w:color w:val="231F20"/>
        </w:rPr>
        <w:t>First Lien Term Loan</w:t>
      </w:r>
      <w:r>
        <w:rPr>
          <w:rFonts w:ascii="Arial" w:cs="Arial" w:eastAsia="Arial" w:hAnsi="Arial"/>
          <w:sz w:val="16"/>
          <w:szCs w:val="16"/>
          <w:color w:val="auto"/>
        </w:rPr>
        <w:t xml:space="preserve"> is extended to a date that is at least six months after June 4, 2026, the </w:t>
      </w:r>
      <w:r>
        <w:rPr>
          <w:rFonts w:ascii="Arial" w:cs="Arial" w:eastAsia="Arial" w:hAnsi="Arial"/>
          <w:sz w:val="16"/>
          <w:szCs w:val="16"/>
          <w:color w:val="231F20"/>
        </w:rPr>
        <w:t>First Lien Term Loan</w:t>
      </w:r>
      <w:r>
        <w:rPr>
          <w:rFonts w:ascii="Arial" w:cs="Arial" w:eastAsia="Arial" w:hAnsi="Arial"/>
          <w:sz w:val="16"/>
          <w:szCs w:val="16"/>
          <w:color w:val="auto"/>
        </w:rPr>
        <w:t xml:space="preserve"> is refinanced having a maturity date at least six months after June 4, 2026, or the </w:t>
      </w:r>
      <w:r>
        <w:rPr>
          <w:rFonts w:ascii="Arial" w:cs="Arial" w:eastAsia="Arial" w:hAnsi="Arial"/>
          <w:sz w:val="16"/>
          <w:szCs w:val="16"/>
          <w:color w:val="231F20"/>
        </w:rPr>
        <w:t>First Lien Term Loan</w:t>
      </w:r>
      <w:r>
        <w:rPr>
          <w:rFonts w:ascii="Arial" w:cs="Arial" w:eastAsia="Arial" w:hAnsi="Arial"/>
          <w:sz w:val="16"/>
          <w:szCs w:val="16"/>
          <w:color w:val="auto"/>
        </w:rPr>
        <w:t xml:space="preserve"> is paid in full), (c) the date that commitments under the Revolving Commitment are permanently reduced to zero, and (d) the date of the termination of the commitments under the Revolving Commitment. The increase to the maximum available borrowing capacity was effected on the close of our initial public offering (the “IPO”) in June 2021.</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color w:val="231F20"/>
        </w:rPr>
        <w:t xml:space="preserve">As of September 30, 2023 and December 31, 2022, there were no amounts outstanding under </w:t>
      </w:r>
      <w:r>
        <w:rPr>
          <w:rFonts w:ascii="Arial" w:cs="Arial" w:eastAsia="Arial" w:hAnsi="Arial"/>
          <w:sz w:val="18"/>
          <w:szCs w:val="18"/>
          <w:color w:val="000000"/>
        </w:rPr>
        <w:t>the Revolving Commitment.</w:t>
      </w:r>
    </w:p>
    <w:p>
      <w:pPr>
        <w:spacing w:after="0" w:line="117" w:lineRule="exact"/>
        <w:rPr>
          <w:sz w:val="20"/>
          <w:szCs w:val="20"/>
          <w:color w:val="auto"/>
        </w:rPr>
      </w:pPr>
    </w:p>
    <w:p>
      <w:pPr>
        <w:ind w:right="260"/>
        <w:spacing w:after="0" w:line="263" w:lineRule="auto"/>
        <w:rPr>
          <w:sz w:val="20"/>
          <w:szCs w:val="20"/>
          <w:color w:val="auto"/>
        </w:rPr>
      </w:pPr>
      <w:r>
        <w:rPr>
          <w:rFonts w:ascii="Arial" w:cs="Arial" w:eastAsia="Arial" w:hAnsi="Arial"/>
          <w:sz w:val="18"/>
          <w:szCs w:val="18"/>
          <w:color w:val="231F20"/>
        </w:rPr>
        <w:t>The maximum available borrowing capacity under the Revolving Commitment is reduced by outstanding letters of credit under the Revolving Commitment. As of September 30, 2023 and December 31, 2022, the available borrowing capacity under the Revolving Commitment was $148,642 and $148,581, respectively.</w:t>
      </w:r>
    </w:p>
    <w:p>
      <w:pPr>
        <w:spacing w:after="0" w:line="75"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231F20"/>
        </w:rPr>
        <w:t>In addition, an unused commitment fee based on our First Lien Net Leverage Ratio is payable on the average of the unused borrowing capacity under the Revolving Commitment. As of September 30, 2023 and December 31, 2022, the unused commitment fee was 0.25%.</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Standby Letters of Credit</w:t>
      </w:r>
    </w:p>
    <w:p>
      <w:pPr>
        <w:spacing w:after="0" w:line="117"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231F20"/>
        </w:rPr>
        <w:t xml:space="preserve">As of September 30, 2023, we have a letter of credit sublimit of $10,000 under the Revolving Commitment, provided that the total utilization of revolving commitments under the Revolving Commitment does not exceed $150,000 subsequent to the First Lien Credit Agreement. Any letter of credit issued under the Credit Agreement has an expiration date which is the earlier of (i) no later than 12 months from the date of issuance or (ii) five business days prior to the maturity date of the Revolving Commitment, as amended under </w:t>
      </w:r>
      <w:r>
        <w:rPr>
          <w:rFonts w:ascii="Arial" w:cs="Arial" w:eastAsia="Arial" w:hAnsi="Arial"/>
          <w:sz w:val="17"/>
          <w:szCs w:val="17"/>
          <w:color w:val="000000"/>
        </w:rPr>
        <w:t>Amendment No. 2 to Amended and Restated First Lien Credit Agreement</w:t>
      </w:r>
      <w:r>
        <w:rPr>
          <w:rFonts w:ascii="Arial" w:cs="Arial" w:eastAsia="Arial" w:hAnsi="Arial"/>
          <w:sz w:val="17"/>
          <w:szCs w:val="17"/>
          <w:color w:val="231F20"/>
        </w:rPr>
        <w:t>. Letters of credit under the Revolving Commitment reduce the maximum available borrowing capacity under the Revolving Commitment. As of September 30, 2023 and December 31, 2022, the amounts associated with outstanding letters of credit were $1,358 and $1,419, respectively, and unused letters of credit under the Revolving Commitment were $8,642 and $8,581, respectively.</w:t>
      </w:r>
    </w:p>
    <w:p>
      <w:pPr>
        <w:spacing w:after="0" w:line="393"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9.  Fair Value Measurements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231F20"/>
        </w:rPr>
        <w:t>The following table presents financial liabilities which are measured at fair value on a recurring basis as of September 30, 2023:</w:t>
      </w:r>
    </w:p>
    <w:p>
      <w:pPr>
        <w:spacing w:after="0" w:line="140" w:lineRule="exact"/>
        <w:rPr>
          <w:sz w:val="20"/>
          <w:szCs w:val="20"/>
          <w:color w:val="auto"/>
        </w:rPr>
      </w:pPr>
    </w:p>
    <w:p>
      <w:pPr>
        <w:jc w:val="center"/>
        <w:ind w:left="4120"/>
        <w:spacing w:after="0"/>
        <w:rPr>
          <w:sz w:val="20"/>
          <w:szCs w:val="20"/>
          <w:color w:val="auto"/>
        </w:rPr>
      </w:pPr>
      <w:r>
        <w:rPr>
          <w:rFonts w:ascii="Arial" w:cs="Arial" w:eastAsia="Arial" w:hAnsi="Arial"/>
          <w:sz w:val="18"/>
          <w:szCs w:val="18"/>
          <w:b w:val="1"/>
          <w:bCs w:val="1"/>
          <w:color w:val="auto"/>
        </w:rPr>
        <w:t>Fair Value Measurements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2701925</wp:posOffset>
            </wp:positionH>
            <wp:positionV relativeFrom="paragraph">
              <wp:posOffset>26035</wp:posOffset>
            </wp:positionV>
            <wp:extent cx="4435475"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4435475" cy="8255"/>
                    </a:xfrm>
                    <a:prstGeom prst="rect">
                      <a:avLst/>
                    </a:prstGeom>
                    <a:noFill/>
                  </pic:spPr>
                </pic:pic>
              </a:graphicData>
            </a:graphic>
          </wp:anchor>
        </w:drawing>
      </w:r>
    </w:p>
    <w:p>
      <w:pPr>
        <w:spacing w:after="0" w:line="29" w:lineRule="exact"/>
        <w:rPr>
          <w:sz w:val="20"/>
          <w:szCs w:val="20"/>
          <w:color w:val="auto"/>
        </w:rPr>
      </w:pPr>
    </w:p>
    <w:p>
      <w:pPr>
        <w:ind w:left="4820"/>
        <w:spacing w:after="0"/>
        <w:tabs>
          <w:tab w:leader="none" w:pos="6540" w:val="left"/>
          <w:tab w:leader="none" w:pos="8320" w:val="left"/>
          <w:tab w:leader="none" w:pos="10080" w:val="left"/>
        </w:tabs>
        <w:rPr>
          <w:sz w:val="20"/>
          <w:szCs w:val="20"/>
          <w:color w:val="auto"/>
        </w:rPr>
      </w:pPr>
      <w:r>
        <w:rPr>
          <w:rFonts w:ascii="Arial" w:cs="Arial" w:eastAsia="Arial" w:hAnsi="Arial"/>
          <w:sz w:val="18"/>
          <w:szCs w:val="18"/>
          <w:b w:val="1"/>
          <w:bCs w:val="1"/>
          <w:color w:val="auto"/>
        </w:rPr>
        <w:t>Total</w:t>
      </w:r>
      <w:r>
        <w:rPr>
          <w:sz w:val="20"/>
          <w:szCs w:val="20"/>
          <w:color w:val="auto"/>
        </w:rPr>
        <w:tab/>
      </w:r>
      <w:r>
        <w:rPr>
          <w:rFonts w:ascii="Arial" w:cs="Arial" w:eastAsia="Arial" w:hAnsi="Arial"/>
          <w:sz w:val="18"/>
          <w:szCs w:val="18"/>
          <w:b w:val="1"/>
          <w:bCs w:val="1"/>
          <w:color w:val="auto"/>
        </w:rPr>
        <w:t>Level 1</w:t>
      </w:r>
      <w:r>
        <w:rPr>
          <w:sz w:val="20"/>
          <w:szCs w:val="20"/>
          <w:color w:val="auto"/>
        </w:rPr>
        <w:tab/>
      </w:r>
      <w:r>
        <w:rPr>
          <w:rFonts w:ascii="Arial" w:cs="Arial" w:eastAsia="Arial" w:hAnsi="Arial"/>
          <w:sz w:val="18"/>
          <w:szCs w:val="18"/>
          <w:b w:val="1"/>
          <w:bCs w:val="1"/>
          <w:color w:val="auto"/>
        </w:rPr>
        <w:t>Level 2</w:t>
      </w:r>
      <w:r>
        <w:rPr>
          <w:sz w:val="20"/>
          <w:szCs w:val="20"/>
          <w:color w:val="auto"/>
        </w:rPr>
        <w:tab/>
      </w:r>
      <w:r>
        <w:rPr>
          <w:rFonts w:ascii="Arial" w:cs="Arial" w:eastAsia="Arial" w:hAnsi="Arial"/>
          <w:sz w:val="16"/>
          <w:szCs w:val="16"/>
          <w:b w:val="1"/>
          <w:bCs w:val="1"/>
          <w:color w:val="auto"/>
        </w:rPr>
        <w:t>Level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2701925</wp:posOffset>
            </wp:positionH>
            <wp:positionV relativeFrom="paragraph">
              <wp:posOffset>26035</wp:posOffset>
            </wp:positionV>
            <wp:extent cx="4435475"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4435475" cy="8255"/>
                    </a:xfrm>
                    <a:prstGeom prst="rect">
                      <a:avLst/>
                    </a:prstGeom>
                    <a:noFill/>
                  </pic:spPr>
                </pic:pic>
              </a:graphicData>
            </a:graphic>
          </wp:anchor>
        </w:drawing>
      </w:r>
    </w:p>
    <w:p>
      <w:pPr>
        <w:spacing w:after="0" w:line="33" w:lineRule="exact"/>
        <w:rPr>
          <w:sz w:val="20"/>
          <w:szCs w:val="20"/>
          <w:color w:val="auto"/>
        </w:rPr>
      </w:pPr>
    </w:p>
    <w:p>
      <w:pPr>
        <w:ind w:left="20"/>
        <w:spacing w:after="0"/>
        <w:rPr>
          <w:sz w:val="20"/>
          <w:szCs w:val="20"/>
          <w:color w:val="auto"/>
        </w:rPr>
      </w:pPr>
      <w:r>
        <w:rPr>
          <w:rFonts w:ascii="Arial" w:cs="Arial" w:eastAsia="Arial" w:hAnsi="Arial"/>
          <w:sz w:val="18"/>
          <w:szCs w:val="18"/>
          <w:color w:val="auto"/>
        </w:rPr>
        <w:t>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15430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6" w:lineRule="exact"/>
        <w:rPr>
          <w:sz w:val="20"/>
          <w:szCs w:val="20"/>
          <w:color w:val="auto"/>
        </w:rPr>
      </w:pPr>
    </w:p>
    <w:p>
      <w:pPr>
        <w:ind w:left="120"/>
        <w:spacing w:after="0"/>
        <w:tabs>
          <w:tab w:leader="none" w:pos="4240" w:val="left"/>
          <w:tab w:leader="none" w:pos="5340" w:val="left"/>
          <w:tab w:leader="none" w:pos="6060" w:val="left"/>
          <w:tab w:leader="none" w:pos="7500" w:val="left"/>
          <w:tab w:leader="none" w:pos="7860" w:val="left"/>
          <w:tab w:leader="none" w:pos="9280" w:val="left"/>
          <w:tab w:leader="none" w:pos="9620" w:val="left"/>
          <w:tab w:leader="none" w:pos="10700" w:val="left"/>
        </w:tabs>
        <w:rPr>
          <w:sz w:val="20"/>
          <w:szCs w:val="20"/>
          <w:color w:val="auto"/>
        </w:rPr>
      </w:pPr>
      <w:r>
        <w:rPr>
          <w:rFonts w:ascii="Arial" w:cs="Arial" w:eastAsia="Arial" w:hAnsi="Arial"/>
          <w:sz w:val="18"/>
          <w:szCs w:val="18"/>
          <w:color w:val="auto"/>
        </w:rPr>
        <w:t>Contingent Consideration</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4,750</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tab/>
        <w:t>$</w:t>
      </w:r>
      <w:r>
        <w:rPr>
          <w:sz w:val="20"/>
          <w:szCs w:val="20"/>
          <w:color w:val="auto"/>
        </w:rPr>
        <w:tab/>
      </w:r>
      <w:r>
        <w:rPr>
          <w:rFonts w:ascii="Arial" w:cs="Arial" w:eastAsia="Arial" w:hAnsi="Arial"/>
          <w:sz w:val="15"/>
          <w:szCs w:val="15"/>
          <w:color w:val="auto"/>
        </w:rPr>
        <w:t>4,750</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231F20"/>
        </w:rPr>
        <w:t>The following table presents financial liabilities which are measured at fair value on a recurring basis as of December 31, 2022:</w:t>
      </w:r>
    </w:p>
    <w:p>
      <w:pPr>
        <w:spacing w:after="0" w:line="140" w:lineRule="exact"/>
        <w:rPr>
          <w:sz w:val="20"/>
          <w:szCs w:val="20"/>
          <w:color w:val="auto"/>
        </w:rPr>
      </w:pPr>
    </w:p>
    <w:p>
      <w:pPr>
        <w:jc w:val="center"/>
        <w:ind w:left="4120"/>
        <w:spacing w:after="0"/>
        <w:rPr>
          <w:sz w:val="20"/>
          <w:szCs w:val="20"/>
          <w:color w:val="auto"/>
        </w:rPr>
      </w:pPr>
      <w:r>
        <w:rPr>
          <w:rFonts w:ascii="Arial" w:cs="Arial" w:eastAsia="Arial" w:hAnsi="Arial"/>
          <w:sz w:val="18"/>
          <w:szCs w:val="18"/>
          <w:b w:val="1"/>
          <w:bCs w:val="1"/>
          <w:color w:val="auto"/>
        </w:rPr>
        <w:t>Fair Value Measurements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2701925</wp:posOffset>
            </wp:positionH>
            <wp:positionV relativeFrom="paragraph">
              <wp:posOffset>26035</wp:posOffset>
            </wp:positionV>
            <wp:extent cx="4366895"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4366895" cy="8255"/>
                    </a:xfrm>
                    <a:prstGeom prst="rect">
                      <a:avLst/>
                    </a:prstGeom>
                    <a:noFill/>
                  </pic:spPr>
                </pic:pic>
              </a:graphicData>
            </a:graphic>
          </wp:anchor>
        </w:drawing>
      </w:r>
    </w:p>
    <w:p>
      <w:pPr>
        <w:spacing w:after="0" w:line="29" w:lineRule="exact"/>
        <w:rPr>
          <w:sz w:val="20"/>
          <w:szCs w:val="20"/>
          <w:color w:val="auto"/>
        </w:rPr>
      </w:pPr>
    </w:p>
    <w:p>
      <w:pPr>
        <w:ind w:left="4820"/>
        <w:spacing w:after="0"/>
        <w:tabs>
          <w:tab w:leader="none" w:pos="6540" w:val="left"/>
          <w:tab w:leader="none" w:pos="8320" w:val="left"/>
          <w:tab w:leader="none" w:pos="10080" w:val="left"/>
        </w:tabs>
        <w:rPr>
          <w:sz w:val="20"/>
          <w:szCs w:val="20"/>
          <w:color w:val="auto"/>
        </w:rPr>
      </w:pPr>
      <w:r>
        <w:rPr>
          <w:rFonts w:ascii="Arial" w:cs="Arial" w:eastAsia="Arial" w:hAnsi="Arial"/>
          <w:sz w:val="18"/>
          <w:szCs w:val="18"/>
          <w:b w:val="1"/>
          <w:bCs w:val="1"/>
          <w:color w:val="auto"/>
        </w:rPr>
        <w:t>Total</w:t>
      </w:r>
      <w:r>
        <w:rPr>
          <w:sz w:val="20"/>
          <w:szCs w:val="20"/>
          <w:color w:val="auto"/>
        </w:rPr>
        <w:tab/>
      </w:r>
      <w:r>
        <w:rPr>
          <w:rFonts w:ascii="Arial" w:cs="Arial" w:eastAsia="Arial" w:hAnsi="Arial"/>
          <w:sz w:val="18"/>
          <w:szCs w:val="18"/>
          <w:b w:val="1"/>
          <w:bCs w:val="1"/>
          <w:color w:val="auto"/>
        </w:rPr>
        <w:t>Level 1</w:t>
      </w:r>
      <w:r>
        <w:rPr>
          <w:sz w:val="20"/>
          <w:szCs w:val="20"/>
          <w:color w:val="auto"/>
        </w:rPr>
        <w:tab/>
      </w:r>
      <w:r>
        <w:rPr>
          <w:rFonts w:ascii="Arial" w:cs="Arial" w:eastAsia="Arial" w:hAnsi="Arial"/>
          <w:sz w:val="18"/>
          <w:szCs w:val="18"/>
          <w:b w:val="1"/>
          <w:bCs w:val="1"/>
          <w:color w:val="auto"/>
        </w:rPr>
        <w:t>Level 2</w:t>
      </w:r>
      <w:r>
        <w:rPr>
          <w:sz w:val="20"/>
          <w:szCs w:val="20"/>
          <w:color w:val="auto"/>
        </w:rPr>
        <w:tab/>
      </w:r>
      <w:r>
        <w:rPr>
          <w:rFonts w:ascii="Arial" w:cs="Arial" w:eastAsia="Arial" w:hAnsi="Arial"/>
          <w:sz w:val="16"/>
          <w:szCs w:val="16"/>
          <w:b w:val="1"/>
          <w:bCs w:val="1"/>
          <w:color w:val="auto"/>
        </w:rPr>
        <w:t>Level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2701925</wp:posOffset>
            </wp:positionH>
            <wp:positionV relativeFrom="paragraph">
              <wp:posOffset>26035</wp:posOffset>
            </wp:positionV>
            <wp:extent cx="4366895"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4366895" cy="8255"/>
                    </a:xfrm>
                    <a:prstGeom prst="rect">
                      <a:avLst/>
                    </a:prstGeom>
                    <a:noFill/>
                  </pic:spPr>
                </pic:pic>
              </a:graphicData>
            </a:graphic>
          </wp:anchor>
        </w:drawing>
      </w:r>
    </w:p>
    <w:p>
      <w:pPr>
        <w:spacing w:after="0" w:line="33" w:lineRule="exact"/>
        <w:rPr>
          <w:sz w:val="20"/>
          <w:szCs w:val="20"/>
          <w:color w:val="auto"/>
        </w:rPr>
      </w:pPr>
    </w:p>
    <w:p>
      <w:pPr>
        <w:ind w:left="20"/>
        <w:spacing w:after="0"/>
        <w:rPr>
          <w:sz w:val="20"/>
          <w:szCs w:val="20"/>
          <w:color w:val="auto"/>
        </w:rPr>
      </w:pPr>
      <w:r>
        <w:rPr>
          <w:rFonts w:ascii="Arial" w:cs="Arial" w:eastAsia="Arial" w:hAnsi="Arial"/>
          <w:sz w:val="18"/>
          <w:szCs w:val="18"/>
          <w:color w:val="auto"/>
        </w:rPr>
        <w:t>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15430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6" w:lineRule="exact"/>
        <w:rPr>
          <w:sz w:val="20"/>
          <w:szCs w:val="20"/>
          <w:color w:val="auto"/>
        </w:rPr>
      </w:pPr>
    </w:p>
    <w:p>
      <w:pPr>
        <w:ind w:left="120"/>
        <w:spacing w:after="0"/>
        <w:tabs>
          <w:tab w:leader="none" w:pos="4240" w:val="left"/>
          <w:tab w:leader="none" w:pos="5340" w:val="left"/>
          <w:tab w:leader="none" w:pos="6060" w:val="left"/>
          <w:tab w:leader="none" w:pos="7500" w:val="left"/>
          <w:tab w:leader="none" w:pos="7860" w:val="left"/>
          <w:tab w:leader="none" w:pos="9280" w:val="left"/>
          <w:tab w:leader="none" w:pos="9620" w:val="left"/>
          <w:tab w:leader="none" w:pos="10700" w:val="left"/>
        </w:tabs>
        <w:rPr>
          <w:sz w:val="20"/>
          <w:szCs w:val="20"/>
          <w:color w:val="auto"/>
        </w:rPr>
      </w:pPr>
      <w:r>
        <w:rPr>
          <w:rFonts w:ascii="Arial" w:cs="Arial" w:eastAsia="Arial" w:hAnsi="Arial"/>
          <w:sz w:val="18"/>
          <w:szCs w:val="18"/>
          <w:color w:val="auto"/>
        </w:rPr>
        <w:t>Contingent Consideration</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5,250</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tab/>
        <w:t>$</w:t>
      </w:r>
      <w:r>
        <w:rPr>
          <w:sz w:val="20"/>
          <w:szCs w:val="20"/>
          <w:color w:val="auto"/>
        </w:rPr>
        <w:tab/>
      </w:r>
      <w:r>
        <w:rPr>
          <w:rFonts w:ascii="Arial" w:cs="Arial" w:eastAsia="Arial" w:hAnsi="Arial"/>
          <w:sz w:val="15"/>
          <w:szCs w:val="15"/>
          <w:color w:val="auto"/>
        </w:rPr>
        <w:t>5,250</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4" w:name="page15"/>
    <w:bookmarkEnd w:id="14"/>
    <w:p>
      <w:pPr>
        <w:ind w:right="100"/>
        <w:spacing w:after="0" w:line="263" w:lineRule="auto"/>
        <w:rPr>
          <w:sz w:val="20"/>
          <w:szCs w:val="20"/>
          <w:color w:val="auto"/>
        </w:rPr>
      </w:pPr>
      <w:r>
        <w:rPr>
          <w:rFonts w:ascii="Arial" w:cs="Arial" w:eastAsia="Arial" w:hAnsi="Arial"/>
          <w:sz w:val="18"/>
          <w:szCs w:val="18"/>
          <w:color w:val="231F20"/>
        </w:rPr>
        <w:t>We measure the fair value of our financial assets and liabilities using the highest level of inputs that are available as of the measurement date. The carrying amounts of cash, accounts receivable, and accounts payable approximate their fair value due to the immediate or short-term maturity of these financial instruments.</w:t>
      </w:r>
    </w:p>
    <w:p>
      <w:pPr>
        <w:spacing w:after="0" w:line="75"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231F20"/>
        </w:rPr>
        <w:t xml:space="preserve">As of September 30, 2023 and December 31, 2022, the fair value of our First Lien Term Loan approximated its carrying value </w:t>
      </w:r>
      <w:r>
        <w:rPr>
          <w:rFonts w:ascii="Arial" w:cs="Arial" w:eastAsia="Arial" w:hAnsi="Arial"/>
          <w:sz w:val="18"/>
          <w:szCs w:val="18"/>
          <w:color w:val="000000"/>
        </w:rPr>
        <w:t>due to the debt’s variable</w:t>
      </w:r>
      <w:r>
        <w:rPr>
          <w:rFonts w:ascii="Arial" w:cs="Arial" w:eastAsia="Arial" w:hAnsi="Arial"/>
          <w:sz w:val="18"/>
          <w:szCs w:val="18"/>
          <w:color w:val="231F20"/>
        </w:rPr>
        <w:t xml:space="preserve"> </w:t>
      </w:r>
      <w:r>
        <w:rPr>
          <w:rFonts w:ascii="Arial" w:cs="Arial" w:eastAsia="Arial" w:hAnsi="Arial"/>
          <w:sz w:val="18"/>
          <w:szCs w:val="18"/>
          <w:color w:val="000000"/>
        </w:rPr>
        <w:t>interest rate terms</w:t>
      </w:r>
      <w:r>
        <w:rPr>
          <w:rFonts w:ascii="Arial" w:cs="Arial" w:eastAsia="Arial" w:hAnsi="Arial"/>
          <w:sz w:val="18"/>
          <w:szCs w:val="18"/>
          <w:color w:val="231F20"/>
        </w:rPr>
        <w:t>.</w:t>
      </w:r>
    </w:p>
    <w:p>
      <w:pPr>
        <w:spacing w:after="0" w:line="62"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231F20"/>
        </w:rPr>
        <w:t>As of September 30, 2023, we recognized assets in cash investments of $5,077, of which $4,992 are held in commercial paper and categorized as Level 2 assets and $85 held in money market funds, which are categorized as Level 1 assets. As of December 31, 2022, we recognized assets in cash investments of $5,032, of which $4,992 are held in commercial paper and categorized as Level 2 assets and $40 held in money market funds, which are categorized as Level 1 assets. These investments are highly liquid and have maturities of less than 90 days and are readily convertible to known amounts of cash, therefore, they are recorded within Cash and cash equivalents on the consolidated balance sheet. During the three and nine months ended September 30, 2023, interest income related to cash investments was not material.</w:t>
      </w:r>
    </w:p>
    <w:p>
      <w:pPr>
        <w:spacing w:after="0" w:line="68"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We recognized a Level 3 contingent consideration liability in connection with the Downtowner Car Wash acquisition in December 2021. We measured its contingent consideration liability using Level 3 unobservable inputs. The contingent consideration liability is associated with the achievement of certain targets and is estimated at each balance sheet date by considering among other factors, results of completed periods and our most recent financial projection for future periods subject to earn-out payments. There are two components to the contingent consideration: a payment when we obtain the certificate of occupancy for the car wash and opens to the public in 2023 and an annual payment based on certain financial metrics of the acquired business. A change in the forecasted revenue or projected opening dates could result in a significantly lower or higher fair value measurement. We determined that there were no significant changes to the unobservable inputs that would have resulted in a change in fair value of this contingent consideration liability at September 30, 2023. During the three and nine months ended September 30, 2023, a payment was made upon receipt of certificate of occupancy of $0 and $500, respectively.</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color w:val="auto"/>
        </w:rPr>
        <w:t>During the three and nine months ended September 30, 2023 and 2022, there were no transfers between fair value measurement levels.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10.  Interest Rate Swap</w:t>
      </w:r>
    </w:p>
    <w:p>
      <w:pPr>
        <w:spacing w:after="0" w:line="121" w:lineRule="exact"/>
        <w:rPr>
          <w:sz w:val="20"/>
          <w:szCs w:val="20"/>
          <w:color w:val="auto"/>
        </w:rPr>
      </w:pPr>
    </w:p>
    <w:p>
      <w:pPr>
        <w:jc w:val="both"/>
        <w:ind w:right="340"/>
        <w:spacing w:after="0" w:line="263" w:lineRule="auto"/>
        <w:rPr>
          <w:sz w:val="20"/>
          <w:szCs w:val="20"/>
          <w:color w:val="auto"/>
        </w:rPr>
      </w:pPr>
      <w:r>
        <w:rPr>
          <w:rFonts w:ascii="Arial" w:cs="Arial" w:eastAsia="Arial" w:hAnsi="Arial"/>
          <w:sz w:val="18"/>
          <w:szCs w:val="18"/>
          <w:color w:val="231F20"/>
        </w:rPr>
        <w:t>In May 2020, we entered into a pay-fixed, receive-floating interest rate swap (the “Swap”) to mitigate variability in forecasted interest payments on an amortizing notional amount of $550,000 of our variable-rate First Lien Term Loan. We designated the Swap as a cash flow hedge. In October 2022, the interest rate swap expired and was not replaced by a new interest rate swap.</w:t>
      </w:r>
    </w:p>
    <w:p>
      <w:pPr>
        <w:spacing w:after="0" w:line="75" w:lineRule="exact"/>
        <w:rPr>
          <w:sz w:val="20"/>
          <w:szCs w:val="20"/>
          <w:color w:val="auto"/>
        </w:rPr>
      </w:pPr>
    </w:p>
    <w:p>
      <w:pPr>
        <w:ind w:right="680"/>
        <w:spacing w:after="0" w:line="307" w:lineRule="auto"/>
        <w:rPr>
          <w:sz w:val="20"/>
          <w:szCs w:val="20"/>
          <w:color w:val="auto"/>
        </w:rPr>
      </w:pPr>
      <w:r>
        <w:rPr>
          <w:rFonts w:ascii="Arial" w:cs="Arial" w:eastAsia="Arial" w:hAnsi="Arial"/>
          <w:sz w:val="17"/>
          <w:szCs w:val="17"/>
          <w:color w:val="231F20"/>
        </w:rPr>
        <w:t>For the three months ended September 30, 2023 and 2022, amounts reported in other comprehensive income (loss) in the accompanying unaudited condensed consolidated statements of operations and comprehensive income (loss) are net of tax of $0 and ($601), respectively.</w:t>
      </w:r>
    </w:p>
    <w:p>
      <w:pPr>
        <w:spacing w:after="0" w:line="39"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231F20"/>
        </w:rPr>
        <w:t>For the nine months ended September 30, 2023 and 2022, amounts reported in other comprehensive income in the accompanying unaudited condensed consolidated statements of operations and comprehensive income are net of tax of $0 and $125, respectively.</w:t>
      </w:r>
    </w:p>
    <w:p>
      <w:pPr>
        <w:spacing w:after="0" w:line="381"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11.  Leases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231F20"/>
        </w:rPr>
        <w:t>Balance sheet information related to leases consisted of the following for the periods presented:</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60" w:type="dxa"/>
            <w:vAlign w:val="bottom"/>
          </w:tcPr>
          <w:p>
            <w:pPr>
              <w:spacing w:after="0"/>
              <w:rPr>
                <w:sz w:val="20"/>
                <w:szCs w:val="20"/>
                <w:color w:val="auto"/>
              </w:rPr>
            </w:pPr>
          </w:p>
        </w:tc>
        <w:tc>
          <w:tcPr>
            <w:tcW w:w="33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8"/>
                <w:szCs w:val="18"/>
                <w:b w:val="1"/>
                <w:bCs w:val="1"/>
                <w:color w:val="auto"/>
                <w:w w:val="84"/>
              </w:rPr>
              <w:t>As of</w:t>
            </w:r>
          </w:p>
        </w:tc>
        <w:tc>
          <w:tcPr>
            <w:tcW w:w="17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2060" w:type="dxa"/>
            <w:vAlign w:val="bottom"/>
          </w:tcPr>
          <w:p>
            <w:pPr>
              <w:spacing w:after="0"/>
              <w:rPr>
                <w:sz w:val="20"/>
                <w:szCs w:val="20"/>
                <w:color w:val="auto"/>
              </w:rPr>
            </w:pPr>
          </w:p>
        </w:tc>
        <w:tc>
          <w:tcPr>
            <w:tcW w:w="3360" w:type="dxa"/>
            <w:vAlign w:val="bottom"/>
            <w:tcBorders>
              <w:bottom w:val="single" w:sz="8" w:color="auto"/>
            </w:tcBorders>
          </w:tcPr>
          <w:p>
            <w:pPr>
              <w:ind w:left="1640"/>
              <w:spacing w:after="0"/>
              <w:rPr>
                <w:sz w:val="20"/>
                <w:szCs w:val="20"/>
                <w:color w:val="auto"/>
              </w:rPr>
            </w:pPr>
            <w:r>
              <w:rPr>
                <w:rFonts w:ascii="Arial" w:cs="Arial" w:eastAsia="Arial" w:hAnsi="Arial"/>
                <w:sz w:val="18"/>
                <w:szCs w:val="18"/>
                <w:b w:val="1"/>
                <w:bCs w:val="1"/>
                <w:color w:val="auto"/>
              </w:rPr>
              <w:t>Classification</w:t>
            </w:r>
          </w:p>
        </w:tc>
        <w:tc>
          <w:tcPr>
            <w:tcW w:w="960" w:type="dxa"/>
            <w:vAlign w:val="bottom"/>
            <w:tcBorders>
              <w:bottom w:val="single" w:sz="8" w:color="auto"/>
            </w:tcBorders>
          </w:tcPr>
          <w:p>
            <w:pPr>
              <w:spacing w:after="0"/>
              <w:rPr>
                <w:sz w:val="20"/>
                <w:szCs w:val="20"/>
                <w:color w:val="auto"/>
              </w:rPr>
            </w:pPr>
          </w:p>
        </w:tc>
        <w:tc>
          <w:tcPr>
            <w:tcW w:w="4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1"/>
              </w:rPr>
              <w:t>September 30, 2023</w:t>
            </w:r>
          </w:p>
        </w:tc>
        <w:tc>
          <w:tcPr>
            <w:tcW w:w="4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2"/>
              </w:rPr>
              <w:t>December 31, 2022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206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Assets</w:t>
            </w:r>
          </w:p>
        </w:tc>
        <w:tc>
          <w:tcPr>
            <w:tcW w:w="3360" w:type="dxa"/>
            <w:vAlign w:val="bottom"/>
            <w:shd w:val="clear" w:color="auto" w:fill="CFF0FC"/>
          </w:tcPr>
          <w:p>
            <w:pPr>
              <w:spacing w:after="0"/>
              <w:rPr>
                <w:sz w:val="20"/>
                <w:szCs w:val="20"/>
                <w:color w:val="auto"/>
              </w:rPr>
            </w:pPr>
          </w:p>
        </w:tc>
        <w:tc>
          <w:tcPr>
            <w:tcW w:w="960" w:type="dxa"/>
            <w:vAlign w:val="bottom"/>
            <w:shd w:val="clear" w:color="auto" w:fill="CFF0FC"/>
          </w:tcPr>
          <w:p>
            <w:pPr>
              <w:spacing w:after="0"/>
              <w:rPr>
                <w:sz w:val="20"/>
                <w:szCs w:val="20"/>
                <w:color w:val="auto"/>
              </w:rPr>
            </w:pPr>
          </w:p>
        </w:tc>
        <w:tc>
          <w:tcPr>
            <w:tcW w:w="46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780" w:type="dxa"/>
            <w:vAlign w:val="bottom"/>
            <w:shd w:val="clear" w:color="auto" w:fill="CFF0FC"/>
          </w:tcPr>
          <w:p>
            <w:pPr>
              <w:spacing w:after="0"/>
              <w:rPr>
                <w:sz w:val="20"/>
                <w:szCs w:val="20"/>
                <w:color w:val="auto"/>
              </w:rPr>
            </w:pPr>
          </w:p>
        </w:tc>
        <w:tc>
          <w:tcPr>
            <w:tcW w:w="4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7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2060" w:type="dxa"/>
            <w:vAlign w:val="bottom"/>
          </w:tcPr>
          <w:p>
            <w:pPr>
              <w:ind w:left="20"/>
              <w:spacing w:after="0"/>
              <w:rPr>
                <w:sz w:val="20"/>
                <w:szCs w:val="20"/>
                <w:color w:val="auto"/>
              </w:rPr>
            </w:pPr>
            <w:r>
              <w:rPr>
                <w:rFonts w:ascii="Arial" w:cs="Arial" w:eastAsia="Arial" w:hAnsi="Arial"/>
                <w:sz w:val="18"/>
                <w:szCs w:val="18"/>
                <w:color w:val="auto"/>
              </w:rPr>
              <w:t>Operating</w:t>
            </w:r>
          </w:p>
        </w:tc>
        <w:tc>
          <w:tcPr>
            <w:tcW w:w="3360" w:type="dxa"/>
            <w:vAlign w:val="bottom"/>
          </w:tcPr>
          <w:p>
            <w:pPr>
              <w:ind w:left="20"/>
              <w:spacing w:after="0"/>
              <w:rPr>
                <w:sz w:val="20"/>
                <w:szCs w:val="20"/>
                <w:color w:val="auto"/>
              </w:rPr>
            </w:pPr>
            <w:r>
              <w:rPr>
                <w:rFonts w:ascii="Arial" w:cs="Arial" w:eastAsia="Arial" w:hAnsi="Arial"/>
                <w:sz w:val="18"/>
                <w:szCs w:val="18"/>
                <w:color w:val="auto"/>
              </w:rPr>
              <w:t>Operating right of use assets, net</w:t>
            </w:r>
          </w:p>
        </w:tc>
        <w:tc>
          <w:tcPr>
            <w:tcW w:w="158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1780" w:type="dxa"/>
            <w:vAlign w:val="bottom"/>
          </w:tcPr>
          <w:p>
            <w:pPr>
              <w:jc w:val="right"/>
              <w:spacing w:after="0"/>
              <w:rPr>
                <w:sz w:val="20"/>
                <w:szCs w:val="20"/>
                <w:color w:val="auto"/>
              </w:rPr>
            </w:pPr>
            <w:r>
              <w:rPr>
                <w:rFonts w:ascii="Arial" w:cs="Arial" w:eastAsia="Arial" w:hAnsi="Arial"/>
                <w:sz w:val="18"/>
                <w:szCs w:val="18"/>
                <w:color w:val="auto"/>
              </w:rPr>
              <w:t>829,790</w:t>
            </w: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780" w:type="dxa"/>
            <w:vAlign w:val="bottom"/>
          </w:tcPr>
          <w:p>
            <w:pPr>
              <w:jc w:val="right"/>
              <w:spacing w:after="0"/>
              <w:rPr>
                <w:sz w:val="20"/>
                <w:szCs w:val="20"/>
                <w:color w:val="auto"/>
              </w:rPr>
            </w:pPr>
            <w:r>
              <w:rPr>
                <w:rFonts w:ascii="Arial" w:cs="Arial" w:eastAsia="Arial" w:hAnsi="Arial"/>
                <w:sz w:val="18"/>
                <w:szCs w:val="18"/>
                <w:color w:val="auto"/>
              </w:rPr>
              <w:t>776,689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20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Finance</w:t>
            </w:r>
          </w:p>
        </w:tc>
        <w:tc>
          <w:tcPr>
            <w:tcW w:w="33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Property and equipment, net</w:t>
            </w:r>
          </w:p>
        </w:tc>
        <w:tc>
          <w:tcPr>
            <w:tcW w:w="960" w:type="dxa"/>
            <w:vAlign w:val="bottom"/>
            <w:tcBorders>
              <w:bottom w:val="single" w:sz="8" w:color="CFF0FC"/>
            </w:tcBorders>
            <w:shd w:val="clear" w:color="auto" w:fill="CFF0FC"/>
          </w:tcPr>
          <w:p>
            <w:pPr>
              <w:spacing w:after="0"/>
              <w:rPr>
                <w:sz w:val="21"/>
                <w:szCs w:val="21"/>
                <w:color w:val="auto"/>
              </w:rPr>
            </w:pPr>
          </w:p>
        </w:tc>
        <w:tc>
          <w:tcPr>
            <w:tcW w:w="46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1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13,567</w:t>
            </w:r>
          </w:p>
        </w:tc>
        <w:tc>
          <w:tcPr>
            <w:tcW w:w="42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1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14,320</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2060" w:type="dxa"/>
            <w:vAlign w:val="bottom"/>
          </w:tcPr>
          <w:p>
            <w:pPr>
              <w:ind w:left="20"/>
              <w:spacing w:after="0"/>
              <w:rPr>
                <w:sz w:val="20"/>
                <w:szCs w:val="20"/>
                <w:color w:val="auto"/>
              </w:rPr>
            </w:pPr>
            <w:r>
              <w:rPr>
                <w:rFonts w:ascii="Arial" w:cs="Arial" w:eastAsia="Arial" w:hAnsi="Arial"/>
                <w:sz w:val="18"/>
                <w:szCs w:val="18"/>
                <w:color w:val="auto"/>
              </w:rPr>
              <w:t>Total lease assets</w:t>
            </w:r>
          </w:p>
        </w:tc>
        <w:tc>
          <w:tcPr>
            <w:tcW w:w="3360" w:type="dxa"/>
            <w:vAlign w:val="bottom"/>
          </w:tcPr>
          <w:p>
            <w:pPr>
              <w:spacing w:after="0"/>
              <w:rPr>
                <w:sz w:val="20"/>
                <w:szCs w:val="20"/>
                <w:color w:val="auto"/>
              </w:rPr>
            </w:pPr>
          </w:p>
        </w:tc>
        <w:tc>
          <w:tcPr>
            <w:tcW w:w="158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1780" w:type="dxa"/>
            <w:vAlign w:val="bottom"/>
          </w:tcPr>
          <w:p>
            <w:pPr>
              <w:jc w:val="right"/>
              <w:spacing w:after="0"/>
              <w:rPr>
                <w:sz w:val="20"/>
                <w:szCs w:val="20"/>
                <w:color w:val="auto"/>
              </w:rPr>
            </w:pPr>
            <w:r>
              <w:rPr>
                <w:rFonts w:ascii="Arial" w:cs="Arial" w:eastAsia="Arial" w:hAnsi="Arial"/>
                <w:sz w:val="18"/>
                <w:szCs w:val="18"/>
                <w:color w:val="auto"/>
              </w:rPr>
              <w:t>843,357</w:t>
            </w: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780" w:type="dxa"/>
            <w:vAlign w:val="bottom"/>
          </w:tcPr>
          <w:p>
            <w:pPr>
              <w:jc w:val="right"/>
              <w:spacing w:after="0"/>
              <w:rPr>
                <w:sz w:val="20"/>
                <w:szCs w:val="20"/>
                <w:color w:val="auto"/>
              </w:rPr>
            </w:pPr>
            <w:r>
              <w:rPr>
                <w:rFonts w:ascii="Arial" w:cs="Arial" w:eastAsia="Arial" w:hAnsi="Arial"/>
                <w:sz w:val="18"/>
                <w:szCs w:val="18"/>
                <w:color w:val="auto"/>
              </w:rPr>
              <w:t>791,009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6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7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60" w:type="dxa"/>
            <w:vAlign w:val="bottom"/>
          </w:tcPr>
          <w:p>
            <w:pPr>
              <w:spacing w:after="0"/>
              <w:rPr>
                <w:sz w:val="19"/>
                <w:szCs w:val="19"/>
                <w:color w:val="auto"/>
              </w:rPr>
            </w:pPr>
          </w:p>
        </w:tc>
        <w:tc>
          <w:tcPr>
            <w:tcW w:w="33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06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Liabilities</w:t>
            </w:r>
          </w:p>
        </w:tc>
        <w:tc>
          <w:tcPr>
            <w:tcW w:w="3360" w:type="dxa"/>
            <w:vAlign w:val="bottom"/>
            <w:shd w:val="clear" w:color="auto" w:fill="CFF0FC"/>
          </w:tcPr>
          <w:p>
            <w:pPr>
              <w:spacing w:after="0"/>
              <w:rPr>
                <w:sz w:val="21"/>
                <w:szCs w:val="21"/>
                <w:color w:val="auto"/>
              </w:rPr>
            </w:pPr>
          </w:p>
        </w:tc>
        <w:tc>
          <w:tcPr>
            <w:tcW w:w="96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78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7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2060" w:type="dxa"/>
            <w:vAlign w:val="bottom"/>
          </w:tcPr>
          <w:p>
            <w:pPr>
              <w:ind w:left="20"/>
              <w:spacing w:after="0"/>
              <w:rPr>
                <w:sz w:val="20"/>
                <w:szCs w:val="20"/>
                <w:color w:val="auto"/>
              </w:rPr>
            </w:pPr>
            <w:r>
              <w:rPr>
                <w:rFonts w:ascii="Arial" w:cs="Arial" w:eastAsia="Arial" w:hAnsi="Arial"/>
                <w:sz w:val="18"/>
                <w:szCs w:val="18"/>
                <w:color w:val="auto"/>
              </w:rPr>
              <w:t>Current</w:t>
            </w:r>
          </w:p>
        </w:tc>
        <w:tc>
          <w:tcPr>
            <w:tcW w:w="33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2060" w:type="dxa"/>
            <w:vAlign w:val="bottom"/>
            <w:shd w:val="clear" w:color="auto" w:fill="CFF0FC"/>
          </w:tcPr>
          <w:p>
            <w:pPr>
              <w:ind w:left="200"/>
              <w:spacing w:after="0"/>
              <w:rPr>
                <w:sz w:val="20"/>
                <w:szCs w:val="20"/>
                <w:color w:val="auto"/>
              </w:rPr>
            </w:pPr>
            <w:r>
              <w:rPr>
                <w:rFonts w:ascii="Arial" w:cs="Arial" w:eastAsia="Arial" w:hAnsi="Arial"/>
                <w:sz w:val="18"/>
                <w:szCs w:val="18"/>
                <w:color w:val="auto"/>
              </w:rPr>
              <w:t>Operating</w:t>
            </w:r>
          </w:p>
        </w:tc>
        <w:tc>
          <w:tcPr>
            <w:tcW w:w="3360" w:type="dxa"/>
            <w:vAlign w:val="bottom"/>
            <w:shd w:val="clear" w:color="auto" w:fill="CFF0FC"/>
          </w:tcPr>
          <w:p>
            <w:pPr>
              <w:ind w:left="20"/>
              <w:spacing w:after="0"/>
              <w:rPr>
                <w:sz w:val="20"/>
                <w:szCs w:val="20"/>
                <w:color w:val="auto"/>
              </w:rPr>
            </w:pPr>
            <w:r>
              <w:rPr>
                <w:rFonts w:ascii="Arial" w:cs="Arial" w:eastAsia="Arial" w:hAnsi="Arial"/>
                <w:sz w:val="18"/>
                <w:szCs w:val="18"/>
                <w:color w:val="auto"/>
                <w:w w:val="94"/>
              </w:rPr>
              <w:t>Current maturities of operating lease liability</w:t>
            </w:r>
          </w:p>
        </w:tc>
        <w:tc>
          <w:tcPr>
            <w:tcW w:w="1580" w:type="dxa"/>
            <w:vAlign w:val="bottom"/>
            <w:gridSpan w:val="3"/>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1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42,898</w:t>
            </w:r>
          </w:p>
        </w:tc>
        <w:tc>
          <w:tcPr>
            <w:tcW w:w="5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1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40,367</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2060" w:type="dxa"/>
            <w:vAlign w:val="bottom"/>
          </w:tcPr>
          <w:p>
            <w:pPr>
              <w:ind w:left="200"/>
              <w:spacing w:after="0"/>
              <w:rPr>
                <w:sz w:val="20"/>
                <w:szCs w:val="20"/>
                <w:color w:val="auto"/>
              </w:rPr>
            </w:pPr>
            <w:r>
              <w:rPr>
                <w:rFonts w:ascii="Arial" w:cs="Arial" w:eastAsia="Arial" w:hAnsi="Arial"/>
                <w:sz w:val="18"/>
                <w:szCs w:val="18"/>
                <w:color w:val="auto"/>
              </w:rPr>
              <w:t>Finance</w:t>
            </w:r>
          </w:p>
        </w:tc>
        <w:tc>
          <w:tcPr>
            <w:tcW w:w="3360" w:type="dxa"/>
            <w:vAlign w:val="bottom"/>
          </w:tcPr>
          <w:p>
            <w:pPr>
              <w:ind w:left="20"/>
              <w:spacing w:after="0"/>
              <w:rPr>
                <w:sz w:val="20"/>
                <w:szCs w:val="20"/>
                <w:color w:val="auto"/>
              </w:rPr>
            </w:pPr>
            <w:r>
              <w:rPr>
                <w:rFonts w:ascii="Arial" w:cs="Arial" w:eastAsia="Arial" w:hAnsi="Arial"/>
                <w:sz w:val="18"/>
                <w:szCs w:val="18"/>
                <w:color w:val="auto"/>
                <w:w w:val="99"/>
              </w:rPr>
              <w:t>Current maturities of finance lease liability</w:t>
            </w:r>
          </w:p>
        </w:tc>
        <w:tc>
          <w:tcPr>
            <w:tcW w:w="9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726</w:t>
            </w:r>
          </w:p>
        </w:tc>
        <w:tc>
          <w:tcPr>
            <w:tcW w:w="4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668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2060" w:type="dxa"/>
            <w:vAlign w:val="bottom"/>
            <w:shd w:val="clear" w:color="auto" w:fill="CFF0FC"/>
          </w:tcPr>
          <w:p>
            <w:pPr>
              <w:ind w:left="20"/>
              <w:spacing w:after="0"/>
              <w:rPr>
                <w:sz w:val="20"/>
                <w:szCs w:val="20"/>
                <w:color w:val="auto"/>
              </w:rPr>
            </w:pPr>
            <w:r>
              <w:rPr>
                <w:rFonts w:ascii="Arial" w:cs="Arial" w:eastAsia="Arial" w:hAnsi="Arial"/>
                <w:sz w:val="18"/>
                <w:szCs w:val="18"/>
                <w:color w:val="auto"/>
              </w:rPr>
              <w:t>Long-term</w:t>
            </w:r>
          </w:p>
        </w:tc>
        <w:tc>
          <w:tcPr>
            <w:tcW w:w="3360" w:type="dxa"/>
            <w:vAlign w:val="bottom"/>
            <w:shd w:val="clear" w:color="auto" w:fill="CFF0FC"/>
          </w:tcPr>
          <w:p>
            <w:pPr>
              <w:spacing w:after="0"/>
              <w:rPr>
                <w:sz w:val="21"/>
                <w:szCs w:val="21"/>
                <w:color w:val="auto"/>
              </w:rPr>
            </w:pPr>
          </w:p>
        </w:tc>
        <w:tc>
          <w:tcPr>
            <w:tcW w:w="96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78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7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2060" w:type="dxa"/>
            <w:vAlign w:val="bottom"/>
          </w:tcPr>
          <w:p>
            <w:pPr>
              <w:ind w:left="200"/>
              <w:spacing w:after="0"/>
              <w:rPr>
                <w:sz w:val="20"/>
                <w:szCs w:val="20"/>
                <w:color w:val="auto"/>
              </w:rPr>
            </w:pPr>
            <w:r>
              <w:rPr>
                <w:rFonts w:ascii="Arial" w:cs="Arial" w:eastAsia="Arial" w:hAnsi="Arial"/>
                <w:sz w:val="18"/>
                <w:szCs w:val="18"/>
                <w:color w:val="auto"/>
              </w:rPr>
              <w:t>Operating</w:t>
            </w:r>
          </w:p>
        </w:tc>
        <w:tc>
          <w:tcPr>
            <w:tcW w:w="3360" w:type="dxa"/>
            <w:vAlign w:val="bottom"/>
          </w:tcPr>
          <w:p>
            <w:pPr>
              <w:ind w:left="20"/>
              <w:spacing w:after="0"/>
              <w:rPr>
                <w:sz w:val="20"/>
                <w:szCs w:val="20"/>
                <w:color w:val="auto"/>
              </w:rPr>
            </w:pPr>
            <w:r>
              <w:rPr>
                <w:rFonts w:ascii="Arial" w:cs="Arial" w:eastAsia="Arial" w:hAnsi="Arial"/>
                <w:sz w:val="18"/>
                <w:szCs w:val="18"/>
                <w:color w:val="auto"/>
              </w:rPr>
              <w:t>Operating lease liability</w:t>
            </w:r>
          </w:p>
        </w:tc>
        <w:tc>
          <w:tcPr>
            <w:tcW w:w="9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806,448</w:t>
            </w:r>
          </w:p>
        </w:tc>
        <w:tc>
          <w:tcPr>
            <w:tcW w:w="4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759,775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6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Finance</w:t>
            </w:r>
          </w:p>
        </w:tc>
        <w:tc>
          <w:tcPr>
            <w:tcW w:w="33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Financing lease liability</w:t>
            </w:r>
          </w:p>
        </w:tc>
        <w:tc>
          <w:tcPr>
            <w:tcW w:w="960" w:type="dxa"/>
            <w:vAlign w:val="bottom"/>
            <w:tcBorders>
              <w:bottom w:val="single" w:sz="8" w:color="CFF0FC"/>
            </w:tcBorders>
            <w:shd w:val="clear" w:color="auto" w:fill="CFF0FC"/>
          </w:tcPr>
          <w:p>
            <w:pPr>
              <w:spacing w:after="0"/>
              <w:rPr>
                <w:sz w:val="21"/>
                <w:szCs w:val="21"/>
                <w:color w:val="auto"/>
              </w:rPr>
            </w:pPr>
          </w:p>
        </w:tc>
        <w:tc>
          <w:tcPr>
            <w:tcW w:w="46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1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14,230</w:t>
            </w:r>
          </w:p>
        </w:tc>
        <w:tc>
          <w:tcPr>
            <w:tcW w:w="42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1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14,779</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60" w:type="dxa"/>
            <w:vAlign w:val="bottom"/>
          </w:tcPr>
          <w:p>
            <w:pPr>
              <w:ind w:left="20"/>
              <w:spacing w:after="0"/>
              <w:rPr>
                <w:sz w:val="20"/>
                <w:szCs w:val="20"/>
                <w:color w:val="auto"/>
              </w:rPr>
            </w:pPr>
            <w:r>
              <w:rPr>
                <w:rFonts w:ascii="Arial" w:cs="Arial" w:eastAsia="Arial" w:hAnsi="Arial"/>
                <w:sz w:val="18"/>
                <w:szCs w:val="18"/>
                <w:color w:val="auto"/>
              </w:rPr>
              <w:t>Total lease liabilities</w:t>
            </w:r>
          </w:p>
        </w:tc>
        <w:tc>
          <w:tcPr>
            <w:tcW w:w="3360" w:type="dxa"/>
            <w:vAlign w:val="bottom"/>
          </w:tcPr>
          <w:p>
            <w:pPr>
              <w:spacing w:after="0"/>
              <w:rPr>
                <w:sz w:val="21"/>
                <w:szCs w:val="21"/>
                <w:color w:val="auto"/>
              </w:rPr>
            </w:pPr>
          </w:p>
        </w:tc>
        <w:tc>
          <w:tcPr>
            <w:tcW w:w="158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1780" w:type="dxa"/>
            <w:vAlign w:val="bottom"/>
          </w:tcPr>
          <w:p>
            <w:pPr>
              <w:jc w:val="right"/>
              <w:spacing w:after="0"/>
              <w:rPr>
                <w:sz w:val="20"/>
                <w:szCs w:val="20"/>
                <w:color w:val="auto"/>
              </w:rPr>
            </w:pPr>
            <w:r>
              <w:rPr>
                <w:rFonts w:ascii="Arial" w:cs="Arial" w:eastAsia="Arial" w:hAnsi="Arial"/>
                <w:sz w:val="18"/>
                <w:szCs w:val="18"/>
                <w:color w:val="auto"/>
              </w:rPr>
              <w:t>864,302</w:t>
            </w: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780" w:type="dxa"/>
            <w:vAlign w:val="bottom"/>
          </w:tcPr>
          <w:p>
            <w:pPr>
              <w:jc w:val="right"/>
              <w:spacing w:after="0"/>
              <w:rPr>
                <w:sz w:val="20"/>
                <w:szCs w:val="20"/>
                <w:color w:val="auto"/>
              </w:rPr>
            </w:pPr>
            <w:r>
              <w:rPr>
                <w:rFonts w:ascii="Arial" w:cs="Arial" w:eastAsia="Arial" w:hAnsi="Arial"/>
                <w:sz w:val="18"/>
                <w:szCs w:val="18"/>
                <w:color w:val="auto"/>
              </w:rPr>
              <w:t>815,589</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6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960" w:type="dxa"/>
            <w:vAlign w:val="bottom"/>
            <w:vMerge w:val="restart"/>
          </w:tcPr>
          <w:p>
            <w:pPr>
              <w:jc w:val="right"/>
              <w:ind w:right="570"/>
              <w:spacing w:after="0"/>
              <w:rPr>
                <w:sz w:val="20"/>
                <w:szCs w:val="20"/>
                <w:color w:val="auto"/>
              </w:rPr>
            </w:pPr>
            <w:r>
              <w:rPr>
                <w:rFonts w:ascii="Arial" w:cs="Arial" w:eastAsia="Arial" w:hAnsi="Arial"/>
                <w:sz w:val="18"/>
                <w:szCs w:val="18"/>
                <w:color w:val="auto"/>
              </w:rPr>
              <w:t>14</w:t>
            </w:r>
          </w:p>
        </w:tc>
        <w:tc>
          <w:tcPr>
            <w:tcW w:w="4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7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206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960" w:type="dxa"/>
            <w:vAlign w:val="bottom"/>
            <w:vMerge w:val="continue"/>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2060" w:type="dxa"/>
            <w:vAlign w:val="bottom"/>
            <w:tcBorders>
              <w:bottom w:val="single" w:sz="8" w:color="9A9A9A"/>
            </w:tcBorders>
          </w:tcPr>
          <w:p>
            <w:pPr>
              <w:spacing w:after="0"/>
              <w:rPr>
                <w:sz w:val="8"/>
                <w:szCs w:val="8"/>
                <w:color w:val="auto"/>
              </w:rPr>
            </w:pPr>
          </w:p>
        </w:tc>
        <w:tc>
          <w:tcPr>
            <w:tcW w:w="3360" w:type="dxa"/>
            <w:vAlign w:val="bottom"/>
            <w:tcBorders>
              <w:bottom w:val="single" w:sz="8" w:color="9A9A9A"/>
            </w:tcBorders>
          </w:tcPr>
          <w:p>
            <w:pPr>
              <w:spacing w:after="0"/>
              <w:rPr>
                <w:sz w:val="8"/>
                <w:szCs w:val="8"/>
                <w:color w:val="auto"/>
              </w:rPr>
            </w:pPr>
          </w:p>
        </w:tc>
        <w:tc>
          <w:tcPr>
            <w:tcW w:w="960" w:type="dxa"/>
            <w:vAlign w:val="bottom"/>
            <w:tcBorders>
              <w:bottom w:val="single" w:sz="8" w:color="9A9A9A"/>
            </w:tcBorders>
          </w:tcPr>
          <w:p>
            <w:pPr>
              <w:spacing w:after="0"/>
              <w:rPr>
                <w:sz w:val="8"/>
                <w:szCs w:val="8"/>
                <w:color w:val="auto"/>
              </w:rPr>
            </w:pPr>
          </w:p>
        </w:tc>
        <w:tc>
          <w:tcPr>
            <w:tcW w:w="46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1780" w:type="dxa"/>
            <w:vAlign w:val="bottom"/>
            <w:tcBorders>
              <w:bottom w:val="single" w:sz="8" w:color="9A9A9A"/>
            </w:tcBorders>
          </w:tcPr>
          <w:p>
            <w:pPr>
              <w:spacing w:after="0"/>
              <w:rPr>
                <w:sz w:val="8"/>
                <w:szCs w:val="8"/>
                <w:color w:val="auto"/>
              </w:rPr>
            </w:pPr>
          </w:p>
        </w:tc>
        <w:tc>
          <w:tcPr>
            <w:tcW w:w="42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178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5579110</wp:posOffset>
            </wp:positionH>
            <wp:positionV relativeFrom="paragraph">
              <wp:posOffset>-1960245</wp:posOffset>
            </wp:positionV>
            <wp:extent cx="68580" cy="34226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8580" cy="34226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-1960245</wp:posOffset>
            </wp:positionV>
            <wp:extent cx="68580" cy="34226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8580" cy="342265"/>
                    </a:xfrm>
                    <a:prstGeom prst="rect">
                      <a:avLst/>
                    </a:prstGeom>
                    <a:noFill/>
                  </pic:spPr>
                </pic:pic>
              </a:graphicData>
            </a:graphic>
          </wp:anchor>
        </w:drawing>
        <w:drawing>
          <wp:anchor simplePos="0" relativeHeight="251657728" behindDoc="1" locked="0" layoutInCell="0" allowOverlap="1">
            <wp:simplePos x="0" y="0"/>
            <wp:positionH relativeFrom="column">
              <wp:posOffset>5579110</wp:posOffset>
            </wp:positionH>
            <wp:positionV relativeFrom="paragraph">
              <wp:posOffset>-538480</wp:posOffset>
            </wp:positionV>
            <wp:extent cx="68580" cy="18859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-538480</wp:posOffset>
            </wp:positionV>
            <wp:extent cx="68580" cy="18859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color w:val="231F20"/>
        </w:rPr>
        <w:t>Components of total lease cost, net, consisted of the following for the periods presented:</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980" w:type="dxa"/>
            <w:vAlign w:val="bottom"/>
          </w:tcPr>
          <w:p>
            <w:pPr>
              <w:spacing w:after="0"/>
              <w:rPr>
                <w:sz w:val="20"/>
                <w:szCs w:val="20"/>
                <w:color w:val="auto"/>
              </w:rPr>
            </w:pPr>
          </w:p>
        </w:tc>
        <w:tc>
          <w:tcPr>
            <w:tcW w:w="3080" w:type="dxa"/>
            <w:vAlign w:val="bottom"/>
            <w:tcBorders>
              <w:bottom w:val="single" w:sz="8" w:color="auto"/>
            </w:tcBorders>
            <w:gridSpan w:val="5"/>
          </w:tcPr>
          <w:p>
            <w:pPr>
              <w:jc w:val="right"/>
              <w:ind w:right="70"/>
              <w:spacing w:after="0"/>
              <w:rPr>
                <w:sz w:val="20"/>
                <w:szCs w:val="20"/>
                <w:color w:val="auto"/>
              </w:rPr>
            </w:pPr>
            <w:r>
              <w:rPr>
                <w:rFonts w:ascii="Arial" w:cs="Arial" w:eastAsia="Arial" w:hAnsi="Arial"/>
                <w:sz w:val="18"/>
                <w:szCs w:val="18"/>
                <w:b w:val="1"/>
                <w:bCs w:val="1"/>
                <w:color w:val="auto"/>
                <w:w w:val="94"/>
              </w:rPr>
              <w:t>Three Months Ended September 30,</w:t>
            </w:r>
          </w:p>
        </w:tc>
        <w:tc>
          <w:tcPr>
            <w:tcW w:w="220" w:type="dxa"/>
            <w:vAlign w:val="bottom"/>
          </w:tcPr>
          <w:p>
            <w:pPr>
              <w:spacing w:after="0"/>
              <w:rPr>
                <w:sz w:val="20"/>
                <w:szCs w:val="20"/>
                <w:color w:val="auto"/>
              </w:rPr>
            </w:pPr>
          </w:p>
        </w:tc>
        <w:tc>
          <w:tcPr>
            <w:tcW w:w="2860" w:type="dxa"/>
            <w:vAlign w:val="bottom"/>
            <w:tcBorders>
              <w:bottom w:val="single" w:sz="8" w:color="auto"/>
            </w:tcBorders>
            <w:gridSpan w:val="5"/>
          </w:tcPr>
          <w:p>
            <w:pPr>
              <w:jc w:val="right"/>
              <w:ind w:right="10"/>
              <w:spacing w:after="0"/>
              <w:rPr>
                <w:sz w:val="20"/>
                <w:szCs w:val="20"/>
                <w:color w:val="auto"/>
              </w:rPr>
            </w:pPr>
            <w:r>
              <w:rPr>
                <w:rFonts w:ascii="Arial" w:cs="Arial" w:eastAsia="Arial" w:hAnsi="Arial"/>
                <w:sz w:val="18"/>
                <w:szCs w:val="18"/>
                <w:b w:val="1"/>
                <w:bCs w:val="1"/>
                <w:color w:val="auto"/>
                <w:w w:val="92"/>
              </w:rPr>
              <w:t>Nine Months Ended September 30,</w:t>
            </w:r>
          </w:p>
        </w:tc>
        <w:tc>
          <w:tcPr>
            <w:tcW w:w="100" w:type="dxa"/>
            <w:vAlign w:val="bottom"/>
          </w:tcPr>
          <w:p>
            <w:pPr>
              <w:spacing w:after="0"/>
              <w:rPr>
                <w:sz w:val="20"/>
                <w:szCs w:val="20"/>
                <w:color w:val="auto"/>
              </w:rPr>
            </w:pPr>
          </w:p>
        </w:tc>
      </w:tr>
      <w:tr>
        <w:trPr>
          <w:trHeight w:val="238"/>
        </w:trPr>
        <w:tc>
          <w:tcPr>
            <w:tcW w:w="4980" w:type="dxa"/>
            <w:vAlign w:val="bottom"/>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2023</w:t>
            </w:r>
          </w:p>
        </w:tc>
        <w:tc>
          <w:tcPr>
            <w:tcW w:w="52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2022</w:t>
            </w:r>
          </w:p>
        </w:tc>
        <w:tc>
          <w:tcPr>
            <w:tcW w:w="2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2023</w:t>
            </w:r>
          </w:p>
        </w:tc>
        <w:tc>
          <w:tcPr>
            <w:tcW w:w="2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20"/>
                <w:szCs w:val="20"/>
                <w:color w:val="auto"/>
              </w:rPr>
            </w:pPr>
          </w:p>
        </w:tc>
      </w:tr>
      <w:tr>
        <w:trPr>
          <w:trHeight w:val="267"/>
        </w:trPr>
        <w:tc>
          <w:tcPr>
            <w:tcW w:w="49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540" w:type="dxa"/>
            <w:vAlign w:val="bottom"/>
            <w:gridSpan w:val="2"/>
          </w:tcPr>
          <w:p>
            <w:pPr>
              <w:spacing w:after="0"/>
              <w:rPr>
                <w:sz w:val="23"/>
                <w:szCs w:val="23"/>
                <w:color w:val="auto"/>
              </w:rPr>
            </w:pPr>
          </w:p>
        </w:tc>
        <w:tc>
          <w:tcPr>
            <w:tcW w:w="1100" w:type="dxa"/>
            <w:vAlign w:val="bottom"/>
          </w:tcPr>
          <w:p>
            <w:pPr>
              <w:spacing w:after="0"/>
              <w:rPr>
                <w:sz w:val="23"/>
                <w:szCs w:val="23"/>
                <w:color w:val="auto"/>
              </w:rPr>
            </w:pPr>
          </w:p>
        </w:tc>
        <w:tc>
          <w:tcPr>
            <w:tcW w:w="520" w:type="dxa"/>
            <w:vAlign w:val="bottom"/>
            <w:gridSpan w:val="2"/>
          </w:tcPr>
          <w:p>
            <w:pPr>
              <w:spacing w:after="0"/>
              <w:rPr>
                <w:sz w:val="23"/>
                <w:szCs w:val="23"/>
                <w:color w:val="auto"/>
              </w:rPr>
            </w:pPr>
          </w:p>
        </w:tc>
        <w:tc>
          <w:tcPr>
            <w:tcW w:w="1060" w:type="dxa"/>
            <w:vAlign w:val="bottom"/>
          </w:tcPr>
          <w:p>
            <w:pPr>
              <w:spacing w:after="0"/>
              <w:rPr>
                <w:sz w:val="23"/>
                <w:szCs w:val="23"/>
                <w:color w:val="auto"/>
              </w:rPr>
            </w:pPr>
          </w:p>
        </w:tc>
        <w:tc>
          <w:tcPr>
            <w:tcW w:w="500" w:type="dxa"/>
            <w:vAlign w:val="bottom"/>
            <w:gridSpan w:val="2"/>
          </w:tcPr>
          <w:p>
            <w:pPr>
              <w:spacing w:after="0"/>
              <w:rPr>
                <w:sz w:val="23"/>
                <w:szCs w:val="23"/>
                <w:color w:val="auto"/>
              </w:rPr>
            </w:pPr>
          </w:p>
        </w:tc>
        <w:tc>
          <w:tcPr>
            <w:tcW w:w="10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43"/>
        </w:trPr>
        <w:tc>
          <w:tcPr>
            <w:tcW w:w="4980" w:type="dxa"/>
            <w:vAlign w:val="bottom"/>
            <w:shd w:val="clear" w:color="auto" w:fill="CFF0FC"/>
          </w:tcPr>
          <w:p>
            <w:pPr>
              <w:ind w:left="20"/>
              <w:spacing w:after="0" w:line="243" w:lineRule="exact"/>
              <w:rPr>
                <w:sz w:val="20"/>
                <w:szCs w:val="20"/>
                <w:color w:val="auto"/>
              </w:rPr>
            </w:pPr>
            <w:r>
              <w:rPr>
                <w:rFonts w:ascii="Arial" w:cs="Arial" w:eastAsia="Arial" w:hAnsi="Arial"/>
                <w:sz w:val="18"/>
                <w:szCs w:val="18"/>
                <w:color w:val="auto"/>
              </w:rPr>
              <w:t>Operating lease expense</w:t>
            </w:r>
            <w:r>
              <w:rPr>
                <w:rFonts w:ascii="Arial" w:cs="Arial" w:eastAsia="Arial" w:hAnsi="Arial"/>
                <w:sz w:val="24"/>
                <w:szCs w:val="24"/>
                <w:color w:val="auto"/>
                <w:vertAlign w:val="superscript"/>
              </w:rPr>
              <w:t>(1)</w:t>
            </w:r>
          </w:p>
        </w:tc>
        <w:tc>
          <w:tcPr>
            <w:tcW w:w="920" w:type="dxa"/>
            <w:vAlign w:val="bottom"/>
            <w:shd w:val="clear" w:color="auto" w:fill="CFF0FC"/>
          </w:tcPr>
          <w:p>
            <w:pPr>
              <w:jc w:val="right"/>
              <w:ind w:right="730"/>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7"/>
              </w:rPr>
              <w:t>26,361</w:t>
            </w:r>
          </w:p>
        </w:tc>
        <w:tc>
          <w:tcPr>
            <w:tcW w:w="540" w:type="dxa"/>
            <w:vAlign w:val="bottom"/>
            <w:gridSpan w:val="2"/>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22,796</w:t>
            </w:r>
          </w:p>
        </w:tc>
        <w:tc>
          <w:tcPr>
            <w:tcW w:w="520" w:type="dxa"/>
            <w:vAlign w:val="bottom"/>
            <w:gridSpan w:val="2"/>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75,680</w:t>
            </w:r>
          </w:p>
        </w:tc>
        <w:tc>
          <w:tcPr>
            <w:tcW w:w="500" w:type="dxa"/>
            <w:vAlign w:val="bottom"/>
            <w:gridSpan w:val="2"/>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65,653</w:t>
            </w:r>
          </w:p>
        </w:tc>
        <w:tc>
          <w:tcPr>
            <w:tcW w:w="100" w:type="dxa"/>
            <w:vAlign w:val="bottom"/>
            <w:shd w:val="clear" w:color="auto" w:fill="CFF0FC"/>
          </w:tcPr>
          <w:p>
            <w:pPr>
              <w:spacing w:after="0"/>
              <w:rPr>
                <w:sz w:val="21"/>
                <w:szCs w:val="21"/>
                <w:color w:val="auto"/>
              </w:rPr>
            </w:pPr>
          </w:p>
        </w:tc>
      </w:tr>
      <w:tr>
        <w:trPr>
          <w:trHeight w:val="236"/>
        </w:trPr>
        <w:tc>
          <w:tcPr>
            <w:tcW w:w="4980" w:type="dxa"/>
            <w:vAlign w:val="bottom"/>
          </w:tcPr>
          <w:p>
            <w:pPr>
              <w:ind w:left="20"/>
              <w:spacing w:after="0"/>
              <w:rPr>
                <w:sz w:val="20"/>
                <w:szCs w:val="20"/>
                <w:color w:val="auto"/>
              </w:rPr>
            </w:pPr>
            <w:r>
              <w:rPr>
                <w:rFonts w:ascii="Arial" w:cs="Arial" w:eastAsia="Arial" w:hAnsi="Arial"/>
                <w:sz w:val="18"/>
                <w:szCs w:val="18"/>
                <w:color w:val="auto"/>
              </w:rPr>
              <w:t>Finance lease expense</w:t>
            </w:r>
          </w:p>
        </w:tc>
        <w:tc>
          <w:tcPr>
            <w:tcW w:w="9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9"/>
        </w:trPr>
        <w:tc>
          <w:tcPr>
            <w:tcW w:w="49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Amortization of lease assets</w:t>
            </w:r>
          </w:p>
        </w:tc>
        <w:tc>
          <w:tcPr>
            <w:tcW w:w="920" w:type="dxa"/>
            <w:vAlign w:val="bottom"/>
            <w:shd w:val="clear" w:color="auto" w:fill="CFF0FC"/>
          </w:tcPr>
          <w:p>
            <w:pPr>
              <w:spacing w:after="0"/>
              <w:rPr>
                <w:sz w:val="21"/>
                <w:szCs w:val="21"/>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251</w:t>
            </w:r>
          </w:p>
        </w:tc>
        <w:tc>
          <w:tcPr>
            <w:tcW w:w="2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250</w:t>
            </w:r>
          </w:p>
        </w:tc>
        <w:tc>
          <w:tcPr>
            <w:tcW w:w="22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753</w:t>
            </w:r>
          </w:p>
        </w:tc>
        <w:tc>
          <w:tcPr>
            <w:tcW w:w="2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739</w:t>
            </w:r>
          </w:p>
        </w:tc>
        <w:tc>
          <w:tcPr>
            <w:tcW w:w="100" w:type="dxa"/>
            <w:vAlign w:val="bottom"/>
            <w:shd w:val="clear" w:color="auto" w:fill="CFF0FC"/>
          </w:tcPr>
          <w:p>
            <w:pPr>
              <w:spacing w:after="0"/>
              <w:rPr>
                <w:sz w:val="21"/>
                <w:szCs w:val="21"/>
                <w:color w:val="auto"/>
              </w:rPr>
            </w:pPr>
          </w:p>
        </w:tc>
      </w:tr>
      <w:tr>
        <w:trPr>
          <w:trHeight w:val="236"/>
        </w:trPr>
        <w:tc>
          <w:tcPr>
            <w:tcW w:w="4980" w:type="dxa"/>
            <w:vAlign w:val="bottom"/>
          </w:tcPr>
          <w:p>
            <w:pPr>
              <w:ind w:left="200"/>
              <w:spacing w:after="0"/>
              <w:rPr>
                <w:sz w:val="20"/>
                <w:szCs w:val="20"/>
                <w:color w:val="auto"/>
              </w:rPr>
            </w:pPr>
            <w:r>
              <w:rPr>
                <w:rFonts w:ascii="Arial" w:cs="Arial" w:eastAsia="Arial" w:hAnsi="Arial"/>
                <w:sz w:val="18"/>
                <w:szCs w:val="18"/>
                <w:color w:val="auto"/>
              </w:rPr>
              <w:t>Interest on lease liabilities</w:t>
            </w:r>
          </w:p>
        </w:tc>
        <w:tc>
          <w:tcPr>
            <w:tcW w:w="92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271</w:t>
            </w: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282</w:t>
            </w: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820</w:t>
            </w: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850</w:t>
            </w:r>
          </w:p>
        </w:tc>
        <w:tc>
          <w:tcPr>
            <w:tcW w:w="100" w:type="dxa"/>
            <w:vAlign w:val="bottom"/>
          </w:tcPr>
          <w:p>
            <w:pPr>
              <w:spacing w:after="0"/>
              <w:rPr>
                <w:sz w:val="20"/>
                <w:szCs w:val="20"/>
                <w:color w:val="auto"/>
              </w:rPr>
            </w:pPr>
          </w:p>
        </w:tc>
      </w:tr>
      <w:tr>
        <w:trPr>
          <w:trHeight w:val="249"/>
        </w:trPr>
        <w:tc>
          <w:tcPr>
            <w:tcW w:w="4980" w:type="dxa"/>
            <w:vAlign w:val="bottom"/>
            <w:shd w:val="clear" w:color="auto" w:fill="CFF0FC"/>
          </w:tcPr>
          <w:p>
            <w:pPr>
              <w:ind w:left="20"/>
              <w:spacing w:after="0"/>
              <w:rPr>
                <w:sz w:val="20"/>
                <w:szCs w:val="20"/>
                <w:color w:val="auto"/>
              </w:rPr>
            </w:pPr>
            <w:r>
              <w:rPr>
                <w:rFonts w:ascii="Arial" w:cs="Arial" w:eastAsia="Arial" w:hAnsi="Arial"/>
                <w:sz w:val="18"/>
                <w:szCs w:val="18"/>
                <w:color w:val="auto"/>
              </w:rPr>
              <w:t>Short-term lease expense</w:t>
            </w:r>
          </w:p>
        </w:tc>
        <w:tc>
          <w:tcPr>
            <w:tcW w:w="920" w:type="dxa"/>
            <w:vAlign w:val="bottom"/>
            <w:shd w:val="clear" w:color="auto" w:fill="CFF0FC"/>
          </w:tcPr>
          <w:p>
            <w:pPr>
              <w:spacing w:after="0"/>
              <w:rPr>
                <w:sz w:val="21"/>
                <w:szCs w:val="21"/>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w:t>
            </w:r>
          </w:p>
        </w:tc>
        <w:tc>
          <w:tcPr>
            <w:tcW w:w="2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22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w:t>
            </w:r>
          </w:p>
        </w:tc>
        <w:tc>
          <w:tcPr>
            <w:tcW w:w="2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w:t>
            </w:r>
          </w:p>
        </w:tc>
        <w:tc>
          <w:tcPr>
            <w:tcW w:w="100" w:type="dxa"/>
            <w:vAlign w:val="bottom"/>
            <w:shd w:val="clear" w:color="auto" w:fill="CFF0FC"/>
          </w:tcPr>
          <w:p>
            <w:pPr>
              <w:spacing w:after="0"/>
              <w:rPr>
                <w:sz w:val="21"/>
                <w:szCs w:val="21"/>
                <w:color w:val="auto"/>
              </w:rPr>
            </w:pPr>
          </w:p>
        </w:tc>
      </w:tr>
      <w:tr>
        <w:trPr>
          <w:trHeight w:val="243"/>
        </w:trPr>
        <w:tc>
          <w:tcPr>
            <w:tcW w:w="4980" w:type="dxa"/>
            <w:vAlign w:val="bottom"/>
          </w:tcPr>
          <w:p>
            <w:pPr>
              <w:ind w:left="20"/>
              <w:spacing w:after="0" w:line="243" w:lineRule="exact"/>
              <w:rPr>
                <w:sz w:val="20"/>
                <w:szCs w:val="20"/>
                <w:color w:val="auto"/>
              </w:rPr>
            </w:pPr>
            <w:r>
              <w:rPr>
                <w:rFonts w:ascii="Arial" w:cs="Arial" w:eastAsia="Arial" w:hAnsi="Arial"/>
                <w:sz w:val="18"/>
                <w:szCs w:val="18"/>
                <w:color w:val="auto"/>
              </w:rPr>
              <w:t>Variable lease expense</w:t>
            </w:r>
            <w:r>
              <w:rPr>
                <w:rFonts w:ascii="Arial" w:cs="Arial" w:eastAsia="Arial" w:hAnsi="Arial"/>
                <w:sz w:val="24"/>
                <w:szCs w:val="24"/>
                <w:color w:val="auto"/>
                <w:vertAlign w:val="superscript"/>
              </w:rPr>
              <w:t>(2)</w:t>
            </w:r>
          </w:p>
        </w:tc>
        <w:tc>
          <w:tcPr>
            <w:tcW w:w="920" w:type="dxa"/>
            <w:vAlign w:val="bottom"/>
            <w:tcBorders>
              <w:bottom w:val="single" w:sz="8" w:color="auto"/>
            </w:tcBorders>
          </w:tcPr>
          <w:p>
            <w:pPr>
              <w:spacing w:after="0"/>
              <w:rPr>
                <w:sz w:val="21"/>
                <w:szCs w:val="21"/>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2,949</w:t>
            </w:r>
          </w:p>
        </w:tc>
        <w:tc>
          <w:tcPr>
            <w:tcW w:w="24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3,103</w:t>
            </w:r>
          </w:p>
        </w:tc>
        <w:tc>
          <w:tcPr>
            <w:tcW w:w="22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11,765</w:t>
            </w:r>
          </w:p>
        </w:tc>
        <w:tc>
          <w:tcPr>
            <w:tcW w:w="22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10,732</w:t>
            </w:r>
          </w:p>
        </w:tc>
        <w:tc>
          <w:tcPr>
            <w:tcW w:w="100" w:type="dxa"/>
            <w:vAlign w:val="bottom"/>
          </w:tcPr>
          <w:p>
            <w:pPr>
              <w:spacing w:after="0"/>
              <w:rPr>
                <w:sz w:val="21"/>
                <w:szCs w:val="21"/>
                <w:color w:val="auto"/>
              </w:rPr>
            </w:pPr>
          </w:p>
        </w:tc>
      </w:tr>
      <w:tr>
        <w:trPr>
          <w:trHeight w:val="276"/>
        </w:trPr>
        <w:tc>
          <w:tcPr>
            <w:tcW w:w="49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w:t>
            </w:r>
          </w:p>
        </w:tc>
        <w:tc>
          <w:tcPr>
            <w:tcW w:w="920" w:type="dxa"/>
            <w:vAlign w:val="bottom"/>
            <w:tcBorders>
              <w:bottom w:val="single" w:sz="8" w:color="auto"/>
            </w:tcBorders>
            <w:shd w:val="clear" w:color="auto" w:fill="CFF0FC"/>
          </w:tcPr>
          <w:p>
            <w:pPr>
              <w:jc w:val="right"/>
              <w:ind w:right="730"/>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7"/>
              </w:rPr>
              <w:t>29,844</w:t>
            </w:r>
          </w:p>
        </w:tc>
        <w:tc>
          <w:tcPr>
            <w:tcW w:w="240" w:type="dxa"/>
            <w:vAlign w:val="bottom"/>
            <w:tcBorders>
              <w:bottom w:val="single" w:sz="8" w:color="CFF0FC"/>
            </w:tcBorders>
            <w:shd w:val="clear" w:color="auto" w:fill="CFF0FC"/>
          </w:tcPr>
          <w:p>
            <w:pPr>
              <w:spacing w:after="0"/>
              <w:rPr>
                <w:sz w:val="24"/>
                <w:szCs w:val="24"/>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26,438</w:t>
            </w:r>
          </w:p>
        </w:tc>
        <w:tc>
          <w:tcPr>
            <w:tcW w:w="220" w:type="dxa"/>
            <w:vAlign w:val="bottom"/>
            <w:tcBorders>
              <w:bottom w:val="single" w:sz="8" w:color="CFF0FC"/>
            </w:tcBorders>
            <w:shd w:val="clear" w:color="auto" w:fill="CFF0FC"/>
          </w:tcPr>
          <w:p>
            <w:pPr>
              <w:spacing w:after="0"/>
              <w:rPr>
                <w:sz w:val="24"/>
                <w:szCs w:val="24"/>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89,056</w:t>
            </w:r>
          </w:p>
        </w:tc>
        <w:tc>
          <w:tcPr>
            <w:tcW w:w="220" w:type="dxa"/>
            <w:vAlign w:val="bottom"/>
            <w:tcBorders>
              <w:bottom w:val="single" w:sz="8" w:color="CFF0FC"/>
            </w:tcBorders>
            <w:shd w:val="clear" w:color="auto" w:fill="CFF0FC"/>
          </w:tcPr>
          <w:p>
            <w:pPr>
              <w:spacing w:after="0"/>
              <w:rPr>
                <w:sz w:val="24"/>
                <w:szCs w:val="24"/>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77,997</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4072255</wp:posOffset>
            </wp:positionH>
            <wp:positionV relativeFrom="paragraph">
              <wp:posOffset>-24765</wp:posOffset>
            </wp:positionV>
            <wp:extent cx="76835"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4072255</wp:posOffset>
            </wp:positionH>
            <wp:positionV relativeFrom="paragraph">
              <wp:posOffset>-7620</wp:posOffset>
            </wp:positionV>
            <wp:extent cx="76835"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5116830</wp:posOffset>
            </wp:positionH>
            <wp:positionV relativeFrom="paragraph">
              <wp:posOffset>-24765</wp:posOffset>
            </wp:positionV>
            <wp:extent cx="6858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5116830</wp:posOffset>
            </wp:positionH>
            <wp:positionV relativeFrom="paragraph">
              <wp:posOffset>-7620</wp:posOffset>
            </wp:positionV>
            <wp:extent cx="6858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6127115</wp:posOffset>
            </wp:positionH>
            <wp:positionV relativeFrom="paragraph">
              <wp:posOffset>-24765</wp:posOffset>
            </wp:positionV>
            <wp:extent cx="6858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6127115</wp:posOffset>
            </wp:positionH>
            <wp:positionV relativeFrom="paragraph">
              <wp:posOffset>-7620</wp:posOffset>
            </wp:positionV>
            <wp:extent cx="6858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69" w:lineRule="exact"/>
        <w:rPr>
          <w:sz w:val="20"/>
          <w:szCs w:val="20"/>
          <w:color w:val="auto"/>
        </w:rPr>
      </w:pPr>
    </w:p>
    <w:p>
      <w:pPr>
        <w:ind w:left="520" w:right="880" w:hanging="512"/>
        <w:spacing w:after="0" w:line="252" w:lineRule="auto"/>
        <w:tabs>
          <w:tab w:leader="none" w:pos="520" w:val="left"/>
        </w:tabs>
        <w:numPr>
          <w:ilvl w:val="0"/>
          <w:numId w:val="4"/>
        </w:numPr>
        <w:rPr>
          <w:rFonts w:ascii="Arial" w:cs="Arial" w:eastAsia="Arial" w:hAnsi="Arial"/>
          <w:sz w:val="14"/>
          <w:szCs w:val="14"/>
          <w:color w:val="231F20"/>
        </w:rPr>
      </w:pPr>
      <w:r>
        <w:rPr>
          <w:rFonts w:ascii="Arial" w:cs="Arial" w:eastAsia="Arial" w:hAnsi="Arial"/>
          <w:sz w:val="14"/>
          <w:szCs w:val="14"/>
          <w:color w:val="231F20"/>
        </w:rPr>
        <w:t>Operating lease expense includes an immaterial amount of sublease income and is included in other store operating expenses and general and administrative expenses in the accompanying unaudited condensed consolidated statements of operations and comprehensive income.</w:t>
      </w:r>
    </w:p>
    <w:p>
      <w:pPr>
        <w:spacing w:after="0" w:line="66" w:lineRule="exact"/>
        <w:rPr>
          <w:rFonts w:ascii="Arial" w:cs="Arial" w:eastAsia="Arial" w:hAnsi="Arial"/>
          <w:sz w:val="14"/>
          <w:szCs w:val="14"/>
          <w:color w:val="231F20"/>
        </w:rPr>
      </w:pPr>
    </w:p>
    <w:p>
      <w:pPr>
        <w:ind w:left="520" w:right="60" w:hanging="512"/>
        <w:spacing w:after="0" w:line="252" w:lineRule="auto"/>
        <w:tabs>
          <w:tab w:leader="none" w:pos="520" w:val="left"/>
        </w:tabs>
        <w:numPr>
          <w:ilvl w:val="0"/>
          <w:numId w:val="4"/>
        </w:numPr>
        <w:rPr>
          <w:rFonts w:ascii="Arial" w:cs="Arial" w:eastAsia="Arial" w:hAnsi="Arial"/>
          <w:sz w:val="14"/>
          <w:szCs w:val="14"/>
          <w:color w:val="231F20"/>
        </w:rPr>
      </w:pPr>
      <w:r>
        <w:rPr>
          <w:rFonts w:ascii="Arial" w:cs="Arial" w:eastAsia="Arial" w:hAnsi="Arial"/>
          <w:sz w:val="14"/>
          <w:szCs w:val="14"/>
          <w:color w:val="231F20"/>
        </w:rPr>
        <w:t>Variable lease costs consist of property taxes, property insurance, and common area or other maintenance costs for our leases of land and buildings and is included in other store operating expenses in the accompanying unaudited condensed consolidated statements of operations and comprehensive income.</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color w:val="231F20"/>
        </w:rPr>
        <w:t>The following includes supplemental information for the periods presented:</w:t>
      </w:r>
    </w:p>
    <w:p>
      <w:pPr>
        <w:spacing w:after="0" w:line="140" w:lineRule="exact"/>
        <w:rPr>
          <w:sz w:val="20"/>
          <w:szCs w:val="20"/>
          <w:color w:val="auto"/>
        </w:rPr>
      </w:pPr>
    </w:p>
    <w:tbl>
      <w:tblPr>
        <w:tblLayout w:type="fixed"/>
        <w:tblInd w:w="5060" w:type="dxa"/>
        <w:tblCellMar>
          <w:top w:w="0" w:type="dxa"/>
          <w:left w:w="0" w:type="dxa"/>
          <w:bottom w:w="0" w:type="dxa"/>
          <w:right w:w="0" w:type="dxa"/>
        </w:tblCellMar>
      </w:tblPr>
      <w:tr>
        <w:trPr>
          <w:trHeight w:val="241"/>
        </w:trPr>
        <w:tc>
          <w:tcPr>
            <w:tcW w:w="29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2"/>
              </w:rPr>
              <w:t>Three Months Ended September 30,</w:t>
            </w:r>
          </w:p>
        </w:tc>
        <w:tc>
          <w:tcPr>
            <w:tcW w:w="240" w:type="dxa"/>
            <w:vAlign w:val="bottom"/>
          </w:tcPr>
          <w:p>
            <w:pPr>
              <w:spacing w:after="0"/>
              <w:rPr>
                <w:sz w:val="20"/>
                <w:szCs w:val="20"/>
                <w:color w:val="auto"/>
              </w:rPr>
            </w:pPr>
          </w:p>
        </w:tc>
        <w:tc>
          <w:tcPr>
            <w:tcW w:w="290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8"/>
                <w:szCs w:val="18"/>
                <w:b w:val="1"/>
                <w:bCs w:val="1"/>
                <w:color w:val="auto"/>
                <w:w w:val="93"/>
              </w:rPr>
              <w:t>Nine Months Ended September 30,</w:t>
            </w:r>
          </w:p>
        </w:tc>
      </w:tr>
      <w:tr>
        <w:trPr>
          <w:trHeight w:val="234"/>
        </w:trPr>
        <w:tc>
          <w:tcPr>
            <w:tcW w:w="1440" w:type="dxa"/>
            <w:vAlign w:val="bottom"/>
          </w:tcPr>
          <w:p>
            <w:pPr>
              <w:jc w:val="right"/>
              <w:ind w:right="510"/>
              <w:spacing w:after="0"/>
              <w:rPr>
                <w:sz w:val="20"/>
                <w:szCs w:val="20"/>
                <w:color w:val="auto"/>
              </w:rPr>
            </w:pPr>
            <w:r>
              <w:rPr>
                <w:rFonts w:ascii="Arial" w:cs="Arial" w:eastAsia="Arial" w:hAnsi="Arial"/>
                <w:sz w:val="18"/>
                <w:szCs w:val="18"/>
                <w:b w:val="1"/>
                <w:bCs w:val="1"/>
                <w:color w:val="auto"/>
              </w:rPr>
              <w:t>2023</w:t>
            </w:r>
          </w:p>
        </w:tc>
        <w:tc>
          <w:tcPr>
            <w:tcW w:w="1500" w:type="dxa"/>
            <w:vAlign w:val="bottom"/>
          </w:tcPr>
          <w:p>
            <w:pPr>
              <w:jc w:val="right"/>
              <w:ind w:right="430"/>
              <w:spacing w:after="0"/>
              <w:rPr>
                <w:sz w:val="20"/>
                <w:szCs w:val="20"/>
                <w:color w:val="auto"/>
              </w:rPr>
            </w:pPr>
            <w:r>
              <w:rPr>
                <w:rFonts w:ascii="Arial" w:cs="Arial" w:eastAsia="Arial" w:hAnsi="Arial"/>
                <w:sz w:val="18"/>
                <w:szCs w:val="18"/>
                <w:b w:val="1"/>
                <w:bCs w:val="1"/>
                <w:color w:val="auto"/>
              </w:rPr>
              <w:t>2022</w:t>
            </w:r>
          </w:p>
        </w:tc>
        <w:tc>
          <w:tcPr>
            <w:tcW w:w="240" w:type="dxa"/>
            <w:vAlign w:val="bottom"/>
          </w:tcPr>
          <w:p>
            <w:pPr>
              <w:spacing w:after="0"/>
              <w:rPr>
                <w:sz w:val="20"/>
                <w:szCs w:val="20"/>
                <w:color w:val="auto"/>
              </w:rPr>
            </w:pPr>
          </w:p>
        </w:tc>
        <w:tc>
          <w:tcPr>
            <w:tcW w:w="1420" w:type="dxa"/>
            <w:vAlign w:val="bottom"/>
          </w:tcPr>
          <w:p>
            <w:pPr>
              <w:jc w:val="right"/>
              <w:ind w:right="510"/>
              <w:spacing w:after="0"/>
              <w:rPr>
                <w:sz w:val="20"/>
                <w:szCs w:val="20"/>
                <w:color w:val="auto"/>
              </w:rPr>
            </w:pPr>
            <w:r>
              <w:rPr>
                <w:rFonts w:ascii="Arial" w:cs="Arial" w:eastAsia="Arial" w:hAnsi="Arial"/>
                <w:sz w:val="18"/>
                <w:szCs w:val="18"/>
                <w:b w:val="1"/>
                <w:bCs w:val="1"/>
                <w:color w:val="auto"/>
              </w:rPr>
              <w:t>2023</w:t>
            </w:r>
          </w:p>
        </w:tc>
        <w:tc>
          <w:tcPr>
            <w:tcW w:w="1480" w:type="dxa"/>
            <w:vAlign w:val="bottom"/>
          </w:tcPr>
          <w:p>
            <w:pPr>
              <w:jc w:val="right"/>
              <w:ind w:right="430"/>
              <w:spacing w:after="0"/>
              <w:rPr>
                <w:sz w:val="20"/>
                <w:szCs w:val="20"/>
                <w:color w:val="auto"/>
              </w:rPr>
            </w:pPr>
            <w:r>
              <w:rPr>
                <w:rFonts w:ascii="Arial" w:cs="Arial" w:eastAsia="Arial" w:hAnsi="Arial"/>
                <w:sz w:val="18"/>
                <w:szCs w:val="18"/>
                <w:b w:val="1"/>
                <w:bCs w:val="1"/>
                <w:color w:val="auto"/>
              </w:rPr>
              <w:t>2022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3215640</wp:posOffset>
            </wp:positionH>
            <wp:positionV relativeFrom="paragraph">
              <wp:posOffset>5715</wp:posOffset>
            </wp:positionV>
            <wp:extent cx="82169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821690" cy="8255"/>
                    </a:xfrm>
                    <a:prstGeom prst="rect">
                      <a:avLst/>
                    </a:prstGeom>
                    <a:noFill/>
                  </pic:spPr>
                </pic:pic>
              </a:graphicData>
            </a:graphic>
          </wp:anchor>
        </w:drawing>
      </w:r>
    </w:p>
    <w:p>
      <w:pPr>
        <w:sectPr>
          <w:pgSz w:w="11900" w:h="16838" w:orient="portrait"/>
          <w:cols w:equalWidth="0" w:num="1">
            <w:col w:w="11300"/>
          </w:cols>
          <w:pgMar w:left="320" w:top="462" w:right="279" w:bottom="1440" w:gutter="0" w:footer="0" w:header="0"/>
        </w:sectPr>
      </w:pPr>
    </w:p>
    <w:p>
      <w:pPr>
        <w:spacing w:after="0" w:line="21"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4940" w:type="dxa"/>
            <w:vAlign w:val="bottom"/>
          </w:tcPr>
          <w:p>
            <w:pPr>
              <w:spacing w:after="0"/>
              <w:rPr>
                <w:sz w:val="20"/>
                <w:szCs w:val="20"/>
                <w:color w:val="auto"/>
              </w:rPr>
            </w:pPr>
            <w:r>
              <w:rPr>
                <w:rFonts w:ascii="Arial" w:cs="Arial" w:eastAsia="Arial" w:hAnsi="Arial"/>
                <w:sz w:val="18"/>
                <w:szCs w:val="18"/>
                <w:color w:val="auto"/>
              </w:rPr>
              <w:t>Operating cash flows from operating leases</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940" w:type="dxa"/>
            <w:vAlign w:val="bottom"/>
          </w:tcPr>
          <w:p>
            <w:pPr>
              <w:spacing w:after="0"/>
              <w:rPr>
                <w:sz w:val="20"/>
                <w:szCs w:val="20"/>
                <w:color w:val="auto"/>
              </w:rPr>
            </w:pPr>
            <w:r>
              <w:rPr>
                <w:rFonts w:ascii="Arial" w:cs="Arial" w:eastAsia="Arial" w:hAnsi="Arial"/>
                <w:sz w:val="18"/>
                <w:szCs w:val="18"/>
                <w:color w:val="auto"/>
              </w:rPr>
              <w:t>Operating cash flows from finance leases</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940" w:type="dxa"/>
            <w:vAlign w:val="bottom"/>
          </w:tcPr>
          <w:p>
            <w:pPr>
              <w:spacing w:after="0"/>
              <w:rPr>
                <w:sz w:val="20"/>
                <w:szCs w:val="20"/>
                <w:color w:val="auto"/>
              </w:rPr>
            </w:pPr>
            <w:r>
              <w:rPr>
                <w:rFonts w:ascii="Arial" w:cs="Arial" w:eastAsia="Arial" w:hAnsi="Arial"/>
                <w:sz w:val="18"/>
                <w:szCs w:val="18"/>
                <w:color w:val="auto"/>
              </w:rPr>
              <w:t>Financing cash flows from finance leases</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71"/>
        </w:trPr>
        <w:tc>
          <w:tcPr>
            <w:tcW w:w="4940" w:type="dxa"/>
            <w:vAlign w:val="bottom"/>
          </w:tcPr>
          <w:p>
            <w:pPr>
              <w:spacing w:after="0"/>
              <w:rPr>
                <w:sz w:val="20"/>
                <w:szCs w:val="20"/>
                <w:color w:val="auto"/>
              </w:rPr>
            </w:pPr>
            <w:r>
              <w:rPr>
                <w:rFonts w:ascii="Arial" w:cs="Arial" w:eastAsia="Arial" w:hAnsi="Arial"/>
                <w:sz w:val="18"/>
                <w:szCs w:val="18"/>
                <w:color w:val="auto"/>
              </w:rPr>
              <w:t>Operating lease ROU assets obtained in exchange for lease</w:t>
            </w:r>
          </w:p>
        </w:tc>
        <w:tc>
          <w:tcPr>
            <w:tcW w:w="2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22"/>
        </w:trPr>
        <w:tc>
          <w:tcPr>
            <w:tcW w:w="4940" w:type="dxa"/>
            <w:vAlign w:val="bottom"/>
            <w:vMerge w:val="restart"/>
          </w:tcPr>
          <w:p>
            <w:pPr>
              <w:spacing w:after="0"/>
              <w:rPr>
                <w:sz w:val="20"/>
                <w:szCs w:val="20"/>
                <w:color w:val="auto"/>
              </w:rPr>
            </w:pPr>
            <w:r>
              <w:rPr>
                <w:rFonts w:ascii="Arial" w:cs="Arial" w:eastAsia="Arial" w:hAnsi="Arial"/>
                <w:sz w:val="18"/>
                <w:szCs w:val="18"/>
                <w:color w:val="auto"/>
              </w:rPr>
              <w:t>liabilities</w:t>
            </w:r>
          </w:p>
        </w:tc>
        <w:tc>
          <w:tcPr>
            <w:tcW w:w="2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4940" w:type="dxa"/>
            <w:vAlign w:val="bottom"/>
            <w:vMerge w:val="continue"/>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4940" w:type="dxa"/>
            <w:vAlign w:val="bottom"/>
          </w:tcPr>
          <w:p>
            <w:pPr>
              <w:spacing w:after="0"/>
              <w:rPr>
                <w:sz w:val="20"/>
                <w:szCs w:val="20"/>
                <w:color w:val="auto"/>
              </w:rPr>
            </w:pPr>
            <w:r>
              <w:rPr>
                <w:rFonts w:ascii="Arial" w:cs="Arial" w:eastAsia="Arial" w:hAnsi="Arial"/>
                <w:sz w:val="18"/>
                <w:szCs w:val="18"/>
                <w:color w:val="auto"/>
                <w:w w:val="91"/>
              </w:rPr>
              <w:t>Finance lease ROU assets obtained in exchange for lease liabilities</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85"/>
        </w:trPr>
        <w:tc>
          <w:tcPr>
            <w:tcW w:w="4940" w:type="dxa"/>
            <w:vAlign w:val="bottom"/>
          </w:tcPr>
          <w:p>
            <w:pPr>
              <w:spacing w:after="0"/>
              <w:rPr>
                <w:sz w:val="20"/>
                <w:szCs w:val="20"/>
                <w:color w:val="auto"/>
              </w:rPr>
            </w:pPr>
            <w:r>
              <w:rPr>
                <w:rFonts w:ascii="Arial" w:cs="Arial" w:eastAsia="Arial" w:hAnsi="Arial"/>
                <w:sz w:val="18"/>
                <w:szCs w:val="18"/>
                <w:color w:val="auto"/>
              </w:rPr>
              <w:t>Weighted-average remaining operating lease term</w:t>
            </w: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940" w:type="dxa"/>
            <w:vAlign w:val="bottom"/>
          </w:tcPr>
          <w:p>
            <w:pPr>
              <w:spacing w:after="0"/>
              <w:rPr>
                <w:sz w:val="20"/>
                <w:szCs w:val="20"/>
                <w:color w:val="auto"/>
              </w:rPr>
            </w:pPr>
            <w:r>
              <w:rPr>
                <w:rFonts w:ascii="Arial" w:cs="Arial" w:eastAsia="Arial" w:hAnsi="Arial"/>
                <w:sz w:val="18"/>
                <w:szCs w:val="18"/>
                <w:color w:val="auto"/>
              </w:rPr>
              <w:t>Weighted-average remaining finance lease term</w:t>
            </w:r>
          </w:p>
        </w:tc>
        <w:tc>
          <w:tcPr>
            <w:tcW w:w="20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55" w:lineRule="exact"/>
        <w:rPr>
          <w:sz w:val="20"/>
          <w:szCs w:val="20"/>
          <w:color w:val="auto"/>
        </w:rPr>
      </w:pPr>
    </w:p>
    <w:p>
      <w:pPr>
        <w:ind w:left="20" w:right="1740"/>
        <w:spacing w:after="0" w:line="412" w:lineRule="auto"/>
        <w:rPr>
          <w:sz w:val="20"/>
          <w:szCs w:val="20"/>
          <w:color w:val="auto"/>
        </w:rPr>
      </w:pPr>
      <w:r>
        <w:rPr>
          <w:rFonts w:ascii="Arial" w:cs="Arial" w:eastAsia="Arial" w:hAnsi="Arial"/>
          <w:sz w:val="15"/>
          <w:szCs w:val="15"/>
          <w:color w:val="auto"/>
        </w:rPr>
        <w:t>Weighted-average operating lease discount rate Weighted-average finance lease discount rate</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231F20"/>
        </w:rPr>
        <w:t>As of September 30, 2023, lease obligation maturities were as follows: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2"/>
        </w:trPr>
        <w:tc>
          <w:tcPr>
            <w:tcW w:w="740" w:type="dxa"/>
            <w:vAlign w:val="bottom"/>
          </w:tcPr>
          <w:p>
            <w:pPr>
              <w:jc w:val="right"/>
              <w:ind w:right="170"/>
              <w:spacing w:after="0"/>
              <w:rPr>
                <w:sz w:val="20"/>
                <w:szCs w:val="20"/>
                <w:color w:val="auto"/>
              </w:rPr>
            </w:pPr>
            <w:r>
              <w:rPr>
                <w:rFonts w:ascii="Arial" w:cs="Arial" w:eastAsia="Arial" w:hAnsi="Arial"/>
                <w:sz w:val="18"/>
                <w:szCs w:val="18"/>
                <w:color w:val="auto"/>
                <w:w w:val="83"/>
              </w:rPr>
              <w:t>25,758</w:t>
            </w:r>
          </w:p>
        </w:tc>
        <w:tc>
          <w:tcPr>
            <w:tcW w:w="500" w:type="dxa"/>
            <w:vAlign w:val="bottom"/>
            <w:tcBorders>
              <w:top w:val="single" w:sz="8" w:color="auto"/>
            </w:tcBorders>
          </w:tcPr>
          <w:p>
            <w:pPr>
              <w:jc w:val="right"/>
              <w:ind w:right="31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22,820</w:t>
            </w:r>
          </w:p>
        </w:tc>
        <w:tc>
          <w:tcPr>
            <w:tcW w:w="240" w:type="dxa"/>
            <w:vAlign w:val="bottom"/>
          </w:tcPr>
          <w:p>
            <w:pPr>
              <w:spacing w:after="0"/>
              <w:rPr>
                <w:sz w:val="20"/>
                <w:szCs w:val="20"/>
                <w:color w:val="auto"/>
              </w:rPr>
            </w:pPr>
          </w:p>
        </w:tc>
        <w:tc>
          <w:tcPr>
            <w:tcW w:w="44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74,458</w:t>
            </w:r>
          </w:p>
        </w:tc>
        <w:tc>
          <w:tcPr>
            <w:tcW w:w="220" w:type="dxa"/>
            <w:vAlign w:val="bottom"/>
          </w:tcPr>
          <w:p>
            <w:pPr>
              <w:spacing w:after="0"/>
              <w:rPr>
                <w:sz w:val="20"/>
                <w:szCs w:val="20"/>
                <w:color w:val="auto"/>
              </w:rPr>
            </w:pPr>
          </w:p>
        </w:tc>
        <w:tc>
          <w:tcPr>
            <w:tcW w:w="500" w:type="dxa"/>
            <w:vAlign w:val="bottom"/>
            <w:tcBorders>
              <w:top w:val="single" w:sz="8" w:color="auto"/>
            </w:tcBorders>
          </w:tcPr>
          <w:p>
            <w:pPr>
              <w:jc w:val="right"/>
              <w:ind w:right="31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66,162</w:t>
            </w:r>
          </w:p>
        </w:tc>
        <w:tc>
          <w:tcPr>
            <w:tcW w:w="160" w:type="dxa"/>
            <w:vAlign w:val="bottom"/>
          </w:tcPr>
          <w:p>
            <w:pPr>
              <w:spacing w:after="0"/>
              <w:rPr>
                <w:sz w:val="20"/>
                <w:szCs w:val="20"/>
                <w:color w:val="auto"/>
              </w:rPr>
            </w:pPr>
          </w:p>
        </w:tc>
      </w:tr>
      <w:tr>
        <w:trPr>
          <w:trHeight w:val="242"/>
        </w:trPr>
        <w:tc>
          <w:tcPr>
            <w:tcW w:w="740" w:type="dxa"/>
            <w:vAlign w:val="bottom"/>
          </w:tcPr>
          <w:p>
            <w:pPr>
              <w:jc w:val="right"/>
              <w:ind w:right="170"/>
              <w:spacing w:after="0"/>
              <w:rPr>
                <w:sz w:val="20"/>
                <w:szCs w:val="20"/>
                <w:color w:val="auto"/>
              </w:rPr>
            </w:pPr>
            <w:r>
              <w:rPr>
                <w:rFonts w:ascii="Arial" w:cs="Arial" w:eastAsia="Arial" w:hAnsi="Arial"/>
                <w:sz w:val="18"/>
                <w:szCs w:val="18"/>
                <w:color w:val="auto"/>
              </w:rPr>
              <w:t>271</w:t>
            </w:r>
          </w:p>
        </w:tc>
        <w:tc>
          <w:tcPr>
            <w:tcW w:w="500" w:type="dxa"/>
            <w:vAlign w:val="bottom"/>
          </w:tcPr>
          <w:p>
            <w:pPr>
              <w:jc w:val="right"/>
              <w:ind w:right="31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282</w:t>
            </w:r>
          </w:p>
        </w:tc>
        <w:tc>
          <w:tcPr>
            <w:tcW w:w="240" w:type="dxa"/>
            <w:vAlign w:val="bottom"/>
          </w:tcPr>
          <w:p>
            <w:pPr>
              <w:spacing w:after="0"/>
              <w:rPr>
                <w:sz w:val="21"/>
                <w:szCs w:val="21"/>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820</w:t>
            </w:r>
          </w:p>
        </w:tc>
        <w:tc>
          <w:tcPr>
            <w:tcW w:w="220" w:type="dxa"/>
            <w:vAlign w:val="bottom"/>
          </w:tcPr>
          <w:p>
            <w:pPr>
              <w:spacing w:after="0"/>
              <w:rPr>
                <w:sz w:val="21"/>
                <w:szCs w:val="21"/>
                <w:color w:val="auto"/>
              </w:rPr>
            </w:pPr>
          </w:p>
        </w:tc>
        <w:tc>
          <w:tcPr>
            <w:tcW w:w="500" w:type="dxa"/>
            <w:vAlign w:val="bottom"/>
          </w:tcPr>
          <w:p>
            <w:pPr>
              <w:jc w:val="right"/>
              <w:ind w:right="31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850</w:t>
            </w:r>
          </w:p>
        </w:tc>
        <w:tc>
          <w:tcPr>
            <w:tcW w:w="160" w:type="dxa"/>
            <w:vAlign w:val="bottom"/>
          </w:tcPr>
          <w:p>
            <w:pPr>
              <w:spacing w:after="0"/>
              <w:rPr>
                <w:sz w:val="21"/>
                <w:szCs w:val="21"/>
                <w:color w:val="auto"/>
              </w:rPr>
            </w:pPr>
          </w:p>
        </w:tc>
      </w:tr>
      <w:tr>
        <w:trPr>
          <w:trHeight w:val="243"/>
        </w:trPr>
        <w:tc>
          <w:tcPr>
            <w:tcW w:w="740" w:type="dxa"/>
            <w:vAlign w:val="bottom"/>
          </w:tcPr>
          <w:p>
            <w:pPr>
              <w:jc w:val="right"/>
              <w:ind w:right="170"/>
              <w:spacing w:after="0"/>
              <w:rPr>
                <w:sz w:val="20"/>
                <w:szCs w:val="20"/>
                <w:color w:val="auto"/>
              </w:rPr>
            </w:pPr>
            <w:r>
              <w:rPr>
                <w:rFonts w:ascii="Arial" w:cs="Arial" w:eastAsia="Arial" w:hAnsi="Arial"/>
                <w:sz w:val="18"/>
                <w:szCs w:val="18"/>
                <w:color w:val="auto"/>
              </w:rPr>
              <w:t>168</w:t>
            </w:r>
          </w:p>
        </w:tc>
        <w:tc>
          <w:tcPr>
            <w:tcW w:w="500" w:type="dxa"/>
            <w:vAlign w:val="bottom"/>
          </w:tcPr>
          <w:p>
            <w:pPr>
              <w:jc w:val="right"/>
              <w:ind w:right="31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147</w:t>
            </w:r>
          </w:p>
        </w:tc>
        <w:tc>
          <w:tcPr>
            <w:tcW w:w="240" w:type="dxa"/>
            <w:vAlign w:val="bottom"/>
          </w:tcPr>
          <w:p>
            <w:pPr>
              <w:spacing w:after="0"/>
              <w:rPr>
                <w:sz w:val="21"/>
                <w:szCs w:val="21"/>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492</w:t>
            </w:r>
          </w:p>
        </w:tc>
        <w:tc>
          <w:tcPr>
            <w:tcW w:w="220" w:type="dxa"/>
            <w:vAlign w:val="bottom"/>
          </w:tcPr>
          <w:p>
            <w:pPr>
              <w:spacing w:after="0"/>
              <w:rPr>
                <w:sz w:val="21"/>
                <w:szCs w:val="21"/>
                <w:color w:val="auto"/>
              </w:rPr>
            </w:pPr>
          </w:p>
        </w:tc>
        <w:tc>
          <w:tcPr>
            <w:tcW w:w="500" w:type="dxa"/>
            <w:vAlign w:val="bottom"/>
          </w:tcPr>
          <w:p>
            <w:pPr>
              <w:jc w:val="right"/>
              <w:ind w:right="31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421</w:t>
            </w:r>
          </w:p>
        </w:tc>
        <w:tc>
          <w:tcPr>
            <w:tcW w:w="160" w:type="dxa"/>
            <w:vAlign w:val="bottom"/>
          </w:tcPr>
          <w:p>
            <w:pPr>
              <w:spacing w:after="0"/>
              <w:rPr>
                <w:sz w:val="21"/>
                <w:szCs w:val="21"/>
                <w:color w:val="auto"/>
              </w:rPr>
            </w:pPr>
          </w:p>
        </w:tc>
      </w:tr>
      <w:tr>
        <w:trPr>
          <w:trHeight w:val="593"/>
        </w:trPr>
        <w:tc>
          <w:tcPr>
            <w:tcW w:w="740" w:type="dxa"/>
            <w:vAlign w:val="bottom"/>
          </w:tcPr>
          <w:p>
            <w:pPr>
              <w:jc w:val="right"/>
              <w:ind w:right="170"/>
              <w:spacing w:after="0"/>
              <w:rPr>
                <w:sz w:val="20"/>
                <w:szCs w:val="20"/>
                <w:color w:val="auto"/>
              </w:rPr>
            </w:pPr>
            <w:r>
              <w:rPr>
                <w:rFonts w:ascii="Arial" w:cs="Arial" w:eastAsia="Arial" w:hAnsi="Arial"/>
                <w:sz w:val="18"/>
                <w:szCs w:val="18"/>
                <w:color w:val="auto"/>
                <w:w w:val="83"/>
              </w:rPr>
              <w:t>27,365</w:t>
            </w:r>
          </w:p>
        </w:tc>
        <w:tc>
          <w:tcPr>
            <w:tcW w:w="500" w:type="dxa"/>
            <w:vAlign w:val="bottom"/>
          </w:tcPr>
          <w:p>
            <w:pPr>
              <w:jc w:val="right"/>
              <w:ind w:right="31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44,471</w:t>
            </w:r>
          </w:p>
        </w:tc>
        <w:tc>
          <w:tcPr>
            <w:tcW w:w="240" w:type="dxa"/>
            <w:vAlign w:val="bottom"/>
          </w:tcPr>
          <w:p>
            <w:pPr>
              <w:spacing w:after="0"/>
              <w:rPr>
                <w:sz w:val="24"/>
                <w:szCs w:val="24"/>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86,420</w:t>
            </w:r>
          </w:p>
        </w:tc>
        <w:tc>
          <w:tcPr>
            <w:tcW w:w="220" w:type="dxa"/>
            <w:vAlign w:val="bottom"/>
          </w:tcPr>
          <w:p>
            <w:pPr>
              <w:spacing w:after="0"/>
              <w:rPr>
                <w:sz w:val="24"/>
                <w:szCs w:val="24"/>
                <w:color w:val="auto"/>
              </w:rPr>
            </w:pPr>
          </w:p>
        </w:tc>
        <w:tc>
          <w:tcPr>
            <w:tcW w:w="500" w:type="dxa"/>
            <w:vAlign w:val="bottom"/>
          </w:tcPr>
          <w:p>
            <w:pPr>
              <w:jc w:val="right"/>
              <w:ind w:right="31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72,482</w:t>
            </w:r>
          </w:p>
        </w:tc>
        <w:tc>
          <w:tcPr>
            <w:tcW w:w="160" w:type="dxa"/>
            <w:vAlign w:val="bottom"/>
          </w:tcPr>
          <w:p>
            <w:pPr>
              <w:spacing w:after="0"/>
              <w:rPr>
                <w:sz w:val="24"/>
                <w:szCs w:val="24"/>
                <w:color w:val="auto"/>
              </w:rPr>
            </w:pPr>
          </w:p>
        </w:tc>
      </w:tr>
      <w:tr>
        <w:trPr>
          <w:trHeight w:val="351"/>
        </w:trPr>
        <w:tc>
          <w:tcPr>
            <w:tcW w:w="74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500" w:type="dxa"/>
            <w:vAlign w:val="bottom"/>
          </w:tcPr>
          <w:p>
            <w:pPr>
              <w:jc w:val="right"/>
              <w:ind w:right="31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4"/>
                <w:szCs w:val="24"/>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4"/>
                <w:szCs w:val="24"/>
                <w:color w:val="auto"/>
              </w:rPr>
            </w:pPr>
          </w:p>
        </w:tc>
        <w:tc>
          <w:tcPr>
            <w:tcW w:w="500" w:type="dxa"/>
            <w:vAlign w:val="bottom"/>
          </w:tcPr>
          <w:p>
            <w:pPr>
              <w:jc w:val="right"/>
              <w:ind w:right="31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103</w:t>
            </w:r>
          </w:p>
        </w:tc>
        <w:tc>
          <w:tcPr>
            <w:tcW w:w="160" w:type="dxa"/>
            <w:vAlign w:val="bottom"/>
          </w:tcPr>
          <w:p>
            <w:pPr>
              <w:spacing w:after="0"/>
              <w:rPr>
                <w:sz w:val="24"/>
                <w:szCs w:val="24"/>
                <w:color w:val="auto"/>
              </w:rPr>
            </w:pPr>
          </w:p>
        </w:tc>
      </w:tr>
      <w:tr>
        <w:trPr>
          <w:trHeight w:val="485"/>
        </w:trPr>
        <w:tc>
          <w:tcPr>
            <w:tcW w:w="740" w:type="dxa"/>
            <w:vAlign w:val="bottom"/>
          </w:tcPr>
          <w:p>
            <w:pPr>
              <w:jc w:val="right"/>
              <w:ind w:right="170"/>
              <w:spacing w:after="0"/>
              <w:rPr>
                <w:sz w:val="20"/>
                <w:szCs w:val="20"/>
                <w:color w:val="auto"/>
              </w:rPr>
            </w:pPr>
            <w:r>
              <w:rPr>
                <w:rFonts w:ascii="Arial" w:cs="Arial" w:eastAsia="Arial" w:hAnsi="Arial"/>
                <w:sz w:val="18"/>
                <w:szCs w:val="18"/>
                <w:color w:val="auto"/>
              </w:rPr>
              <w:t>13.97</w:t>
            </w:r>
          </w:p>
        </w:tc>
        <w:tc>
          <w:tcPr>
            <w:tcW w:w="5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14.22</w:t>
            </w: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13.97</w:t>
            </w:r>
          </w:p>
        </w:tc>
        <w:tc>
          <w:tcPr>
            <w:tcW w:w="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14.22</w:t>
            </w:r>
          </w:p>
        </w:tc>
        <w:tc>
          <w:tcPr>
            <w:tcW w:w="160" w:type="dxa"/>
            <w:vAlign w:val="bottom"/>
          </w:tcPr>
          <w:p>
            <w:pPr>
              <w:spacing w:after="0"/>
              <w:rPr>
                <w:sz w:val="24"/>
                <w:szCs w:val="24"/>
                <w:color w:val="auto"/>
              </w:rPr>
            </w:pPr>
          </w:p>
        </w:tc>
      </w:tr>
      <w:tr>
        <w:trPr>
          <w:trHeight w:val="243"/>
        </w:trPr>
        <w:tc>
          <w:tcPr>
            <w:tcW w:w="740" w:type="dxa"/>
            <w:vAlign w:val="bottom"/>
          </w:tcPr>
          <w:p>
            <w:pPr>
              <w:jc w:val="right"/>
              <w:ind w:right="170"/>
              <w:spacing w:after="0"/>
              <w:rPr>
                <w:sz w:val="20"/>
                <w:szCs w:val="20"/>
                <w:color w:val="auto"/>
              </w:rPr>
            </w:pPr>
            <w:r>
              <w:rPr>
                <w:rFonts w:ascii="Arial" w:cs="Arial" w:eastAsia="Arial" w:hAnsi="Arial"/>
                <w:sz w:val="18"/>
                <w:szCs w:val="18"/>
                <w:color w:val="auto"/>
              </w:rPr>
              <w:t>15.77</w:t>
            </w:r>
          </w:p>
        </w:tc>
        <w:tc>
          <w:tcPr>
            <w:tcW w:w="5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16.57</w:t>
            </w:r>
          </w:p>
        </w:tc>
        <w:tc>
          <w:tcPr>
            <w:tcW w:w="2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15.77</w:t>
            </w:r>
          </w:p>
        </w:tc>
        <w:tc>
          <w:tcPr>
            <w:tcW w:w="2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16.57</w:t>
            </w:r>
          </w:p>
        </w:tc>
        <w:tc>
          <w:tcPr>
            <w:tcW w:w="160" w:type="dxa"/>
            <w:vAlign w:val="bottom"/>
          </w:tcPr>
          <w:p>
            <w:pPr>
              <w:spacing w:after="0"/>
              <w:rPr>
                <w:sz w:val="21"/>
                <w:szCs w:val="21"/>
                <w:color w:val="auto"/>
              </w:rPr>
            </w:pPr>
          </w:p>
        </w:tc>
      </w:tr>
      <w:tr>
        <w:trPr>
          <w:trHeight w:val="485"/>
        </w:trPr>
        <w:tc>
          <w:tcPr>
            <w:tcW w:w="740" w:type="dxa"/>
            <w:vAlign w:val="bottom"/>
          </w:tcPr>
          <w:p>
            <w:pPr>
              <w:jc w:val="right"/>
              <w:spacing w:after="0"/>
              <w:rPr>
                <w:sz w:val="20"/>
                <w:szCs w:val="20"/>
                <w:color w:val="auto"/>
              </w:rPr>
            </w:pPr>
            <w:r>
              <w:rPr>
                <w:rFonts w:ascii="Arial" w:cs="Arial" w:eastAsia="Arial" w:hAnsi="Arial"/>
                <w:sz w:val="18"/>
                <w:szCs w:val="18"/>
                <w:color w:val="auto"/>
              </w:rPr>
              <w:t>7.98 %</w:t>
            </w:r>
          </w:p>
        </w:tc>
        <w:tc>
          <w:tcPr>
            <w:tcW w:w="500" w:type="dxa"/>
            <w:vAlign w:val="bottom"/>
          </w:tcPr>
          <w:p>
            <w:pPr>
              <w:spacing w:after="0"/>
              <w:rPr>
                <w:sz w:val="24"/>
                <w:szCs w:val="24"/>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7.18 %</w:t>
            </w:r>
          </w:p>
        </w:tc>
        <w:tc>
          <w:tcPr>
            <w:tcW w:w="440" w:type="dxa"/>
            <w:vAlign w:val="bottom"/>
          </w:tcPr>
          <w:p>
            <w:pPr>
              <w:spacing w:after="0"/>
              <w:rPr>
                <w:sz w:val="24"/>
                <w:szCs w:val="24"/>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7.98 %</w:t>
            </w:r>
          </w:p>
        </w:tc>
        <w:tc>
          <w:tcPr>
            <w:tcW w:w="500" w:type="dxa"/>
            <w:vAlign w:val="bottom"/>
          </w:tcPr>
          <w:p>
            <w:pPr>
              <w:spacing w:after="0"/>
              <w:rPr>
                <w:sz w:val="24"/>
                <w:szCs w:val="24"/>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7.18 %</w:t>
            </w:r>
          </w:p>
        </w:tc>
      </w:tr>
      <w:tr>
        <w:trPr>
          <w:trHeight w:val="243"/>
        </w:trPr>
        <w:tc>
          <w:tcPr>
            <w:tcW w:w="740" w:type="dxa"/>
            <w:vAlign w:val="bottom"/>
          </w:tcPr>
          <w:p>
            <w:pPr>
              <w:jc w:val="right"/>
              <w:spacing w:after="0"/>
              <w:rPr>
                <w:sz w:val="20"/>
                <w:szCs w:val="20"/>
                <w:color w:val="auto"/>
              </w:rPr>
            </w:pPr>
            <w:r>
              <w:rPr>
                <w:rFonts w:ascii="Arial" w:cs="Arial" w:eastAsia="Arial" w:hAnsi="Arial"/>
                <w:sz w:val="18"/>
                <w:szCs w:val="18"/>
                <w:color w:val="auto"/>
              </w:rPr>
              <w:t>7.33 %</w:t>
            </w:r>
          </w:p>
        </w:tc>
        <w:tc>
          <w:tcPr>
            <w:tcW w:w="500" w:type="dxa"/>
            <w:vAlign w:val="bottom"/>
          </w:tcPr>
          <w:p>
            <w:pPr>
              <w:spacing w:after="0"/>
              <w:rPr>
                <w:sz w:val="21"/>
                <w:szCs w:val="21"/>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7.33 %</w:t>
            </w:r>
          </w:p>
        </w:tc>
        <w:tc>
          <w:tcPr>
            <w:tcW w:w="440" w:type="dxa"/>
            <w:vAlign w:val="bottom"/>
          </w:tcPr>
          <w:p>
            <w:pPr>
              <w:spacing w:after="0"/>
              <w:rPr>
                <w:sz w:val="21"/>
                <w:szCs w:val="21"/>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7.33 %</w:t>
            </w:r>
          </w:p>
        </w:tc>
        <w:tc>
          <w:tcPr>
            <w:tcW w:w="500" w:type="dxa"/>
            <w:vAlign w:val="bottom"/>
          </w:tcPr>
          <w:p>
            <w:pPr>
              <w:spacing w:after="0"/>
              <w:rPr>
                <w:sz w:val="21"/>
                <w:szCs w:val="21"/>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7.33 %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-3715385</wp:posOffset>
            </wp:positionH>
            <wp:positionV relativeFrom="paragraph">
              <wp:posOffset>-1977390</wp:posOffset>
            </wp:positionV>
            <wp:extent cx="7132320" cy="15430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-3715385</wp:posOffset>
            </wp:positionH>
            <wp:positionV relativeFrom="paragraph">
              <wp:posOffset>-1668780</wp:posOffset>
            </wp:positionV>
            <wp:extent cx="7132320" cy="15430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-3715385</wp:posOffset>
            </wp:positionH>
            <wp:positionV relativeFrom="paragraph">
              <wp:posOffset>-1069975</wp:posOffset>
            </wp:positionV>
            <wp:extent cx="7132320" cy="15430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-3715385</wp:posOffset>
            </wp:positionH>
            <wp:positionV relativeFrom="paragraph">
              <wp:posOffset>-607060</wp:posOffset>
            </wp:positionV>
            <wp:extent cx="7132320" cy="15430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-3715385</wp:posOffset>
            </wp:positionH>
            <wp:positionV relativeFrom="paragraph">
              <wp:posOffset>-144780</wp:posOffset>
            </wp:positionV>
            <wp:extent cx="7132320" cy="15430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467" w:lineRule="exact"/>
        <w:rPr>
          <w:sz w:val="20"/>
          <w:szCs w:val="20"/>
          <w:color w:val="auto"/>
        </w:rPr>
      </w:pPr>
    </w:p>
    <w:p>
      <w:pPr>
        <w:sectPr>
          <w:pgSz w:w="11900" w:h="16838" w:orient="portrait"/>
          <w:cols w:equalWidth="0" w:num="2">
            <w:col w:w="5160" w:space="700"/>
            <w:col w:w="5440"/>
          </w:cols>
          <w:pgMar w:left="320" w:top="462" w:right="279" w:bottom="1440" w:gutter="0" w:footer="0" w:header="0"/>
          <w:type w:val="continuous"/>
        </w:sectPr>
      </w:pPr>
    </w:p>
    <w:tbl>
      <w:tblPr>
        <w:tblLayout w:type="fixed"/>
        <w:tblInd w:w="0" w:type="dxa"/>
        <w:tblCellMar>
          <w:top w:w="0" w:type="dxa"/>
          <w:left w:w="0" w:type="dxa"/>
          <w:bottom w:w="0" w:type="dxa"/>
          <w:right w:w="0" w:type="dxa"/>
        </w:tblCellMar>
      </w:tblPr>
      <w:tr>
        <w:trPr>
          <w:trHeight w:val="241"/>
        </w:trPr>
        <w:tc>
          <w:tcPr>
            <w:tcW w:w="6500" w:type="dxa"/>
            <w:vAlign w:val="bottom"/>
          </w:tcPr>
          <w:p>
            <w:pPr>
              <w:ind w:left="20"/>
              <w:spacing w:after="0"/>
              <w:rPr>
                <w:sz w:val="20"/>
                <w:szCs w:val="20"/>
                <w:color w:val="auto"/>
              </w:rPr>
            </w:pPr>
            <w:r>
              <w:rPr>
                <w:rFonts w:ascii="Arial" w:cs="Arial" w:eastAsia="Arial" w:hAnsi="Arial"/>
                <w:sz w:val="18"/>
                <w:szCs w:val="18"/>
                <w:b w:val="1"/>
                <w:bCs w:val="1"/>
                <w:color w:val="auto"/>
              </w:rPr>
              <w:t>Fiscal Year Ending:</w:t>
            </w: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140" w:type="dxa"/>
            <w:vAlign w:val="bottom"/>
            <w:gridSpan w:val="2"/>
          </w:tcPr>
          <w:p>
            <w:pPr>
              <w:jc w:val="right"/>
              <w:ind w:right="660"/>
              <w:spacing w:after="0"/>
              <w:rPr>
                <w:sz w:val="20"/>
                <w:szCs w:val="20"/>
                <w:color w:val="auto"/>
              </w:rPr>
            </w:pPr>
            <w:r>
              <w:rPr>
                <w:rFonts w:ascii="Arial" w:cs="Arial" w:eastAsia="Arial" w:hAnsi="Arial"/>
                <w:sz w:val="18"/>
                <w:szCs w:val="18"/>
                <w:b w:val="1"/>
                <w:bCs w:val="1"/>
                <w:color w:val="auto"/>
                <w:w w:val="96"/>
              </w:rPr>
              <w:t>Operating Leases</w:t>
            </w:r>
          </w:p>
        </w:tc>
        <w:tc>
          <w:tcPr>
            <w:tcW w:w="280" w:type="dxa"/>
            <w:vAlign w:val="bottom"/>
          </w:tcPr>
          <w:p>
            <w:pPr>
              <w:spacing w:after="0"/>
              <w:rPr>
                <w:sz w:val="20"/>
                <w:szCs w:val="20"/>
                <w:color w:val="auto"/>
              </w:rPr>
            </w:pPr>
          </w:p>
        </w:tc>
        <w:tc>
          <w:tcPr>
            <w:tcW w:w="186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w w:val="96"/>
              </w:rPr>
              <w:t>Finance Leases</w:t>
            </w:r>
          </w:p>
        </w:tc>
      </w:tr>
      <w:tr>
        <w:trPr>
          <w:trHeight w:val="243"/>
        </w:trPr>
        <w:tc>
          <w:tcPr>
            <w:tcW w:w="6500" w:type="dxa"/>
            <w:vAlign w:val="bottom"/>
            <w:tcBorders>
              <w:top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rPr>
              <w:t>2023 (remaining three months)</w:t>
            </w:r>
          </w:p>
        </w:tc>
        <w:tc>
          <w:tcPr>
            <w:tcW w:w="240" w:type="dxa"/>
            <w:vAlign w:val="bottom"/>
            <w:shd w:val="clear" w:color="auto" w:fill="CFF0FC"/>
          </w:tcPr>
          <w:p>
            <w:pPr>
              <w:spacing w:after="0"/>
              <w:rPr>
                <w:sz w:val="21"/>
                <w:szCs w:val="21"/>
                <w:color w:val="auto"/>
              </w:rPr>
            </w:pPr>
          </w:p>
        </w:tc>
        <w:tc>
          <w:tcPr>
            <w:tcW w:w="22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26,073</w:t>
            </w:r>
          </w:p>
        </w:tc>
        <w:tc>
          <w:tcPr>
            <w:tcW w:w="320" w:type="dxa"/>
            <w:vAlign w:val="bottom"/>
            <w:shd w:val="clear" w:color="auto" w:fill="CFF0FC"/>
          </w:tcPr>
          <w:p>
            <w:pPr>
              <w:spacing w:after="0"/>
              <w:rPr>
                <w:sz w:val="21"/>
                <w:szCs w:val="21"/>
                <w:color w:val="auto"/>
              </w:rPr>
            </w:pPr>
          </w:p>
        </w:tc>
        <w:tc>
          <w:tcPr>
            <w:tcW w:w="280" w:type="dxa"/>
            <w:vAlign w:val="bottom"/>
            <w:tcBorders>
              <w:top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99"/>
              </w:rPr>
              <w:t>$</w:t>
            </w:r>
          </w:p>
        </w:tc>
        <w:tc>
          <w:tcPr>
            <w:tcW w:w="1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443</w:t>
            </w:r>
          </w:p>
        </w:tc>
        <w:tc>
          <w:tcPr>
            <w:tcW w:w="100" w:type="dxa"/>
            <w:vAlign w:val="bottom"/>
            <w:shd w:val="clear" w:color="auto" w:fill="CFF0FC"/>
          </w:tcPr>
          <w:p>
            <w:pPr>
              <w:spacing w:after="0"/>
              <w:rPr>
                <w:sz w:val="21"/>
                <w:szCs w:val="21"/>
                <w:color w:val="auto"/>
              </w:rPr>
            </w:pPr>
          </w:p>
        </w:tc>
      </w:tr>
      <w:tr>
        <w:trPr>
          <w:trHeight w:val="236"/>
        </w:trPr>
        <w:tc>
          <w:tcPr>
            <w:tcW w:w="6500" w:type="dxa"/>
            <w:vAlign w:val="bottom"/>
          </w:tcPr>
          <w:p>
            <w:pPr>
              <w:ind w:left="20"/>
              <w:spacing w:after="0"/>
              <w:rPr>
                <w:sz w:val="20"/>
                <w:szCs w:val="20"/>
                <w:color w:val="auto"/>
              </w:rPr>
            </w:pPr>
            <w:r>
              <w:rPr>
                <w:rFonts w:ascii="Arial" w:cs="Arial" w:eastAsia="Arial" w:hAnsi="Arial"/>
                <w:sz w:val="18"/>
                <w:szCs w:val="18"/>
                <w:color w:val="auto"/>
              </w:rPr>
              <w:t>2024</w:t>
            </w: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105,065</w:t>
            </w:r>
          </w:p>
        </w:tc>
        <w:tc>
          <w:tcPr>
            <w:tcW w:w="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1,780</w:t>
            </w:r>
          </w:p>
        </w:tc>
        <w:tc>
          <w:tcPr>
            <w:tcW w:w="100" w:type="dxa"/>
            <w:vAlign w:val="bottom"/>
          </w:tcPr>
          <w:p>
            <w:pPr>
              <w:spacing w:after="0"/>
              <w:rPr>
                <w:sz w:val="20"/>
                <w:szCs w:val="20"/>
                <w:color w:val="auto"/>
              </w:rPr>
            </w:pPr>
          </w:p>
        </w:tc>
      </w:tr>
      <w:tr>
        <w:trPr>
          <w:trHeight w:val="249"/>
        </w:trPr>
        <w:tc>
          <w:tcPr>
            <w:tcW w:w="6500" w:type="dxa"/>
            <w:vAlign w:val="bottom"/>
            <w:shd w:val="clear" w:color="auto" w:fill="CFF0FC"/>
          </w:tcPr>
          <w:p>
            <w:pPr>
              <w:ind w:left="20"/>
              <w:spacing w:after="0"/>
              <w:rPr>
                <w:sz w:val="20"/>
                <w:szCs w:val="20"/>
                <w:color w:val="auto"/>
              </w:rPr>
            </w:pPr>
            <w:r>
              <w:rPr>
                <w:rFonts w:ascii="Arial" w:cs="Arial" w:eastAsia="Arial" w:hAnsi="Arial"/>
                <w:sz w:val="18"/>
                <w:szCs w:val="18"/>
                <w:color w:val="auto"/>
              </w:rPr>
              <w:t>2025</w:t>
            </w:r>
          </w:p>
        </w:tc>
        <w:tc>
          <w:tcPr>
            <w:tcW w:w="2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105,249</w:t>
            </w:r>
          </w:p>
        </w:tc>
        <w:tc>
          <w:tcPr>
            <w:tcW w:w="3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1,786</w:t>
            </w:r>
          </w:p>
        </w:tc>
        <w:tc>
          <w:tcPr>
            <w:tcW w:w="100" w:type="dxa"/>
            <w:vAlign w:val="bottom"/>
            <w:shd w:val="clear" w:color="auto" w:fill="CFF0FC"/>
          </w:tcPr>
          <w:p>
            <w:pPr>
              <w:spacing w:after="0"/>
              <w:rPr>
                <w:sz w:val="21"/>
                <w:szCs w:val="21"/>
                <w:color w:val="auto"/>
              </w:rPr>
            </w:pPr>
          </w:p>
        </w:tc>
      </w:tr>
      <w:tr>
        <w:trPr>
          <w:trHeight w:val="236"/>
        </w:trPr>
        <w:tc>
          <w:tcPr>
            <w:tcW w:w="6500" w:type="dxa"/>
            <w:vAlign w:val="bottom"/>
          </w:tcPr>
          <w:p>
            <w:pPr>
              <w:ind w:left="20"/>
              <w:spacing w:after="0"/>
              <w:rPr>
                <w:sz w:val="20"/>
                <w:szCs w:val="20"/>
                <w:color w:val="auto"/>
              </w:rPr>
            </w:pPr>
            <w:r>
              <w:rPr>
                <w:rFonts w:ascii="Arial" w:cs="Arial" w:eastAsia="Arial" w:hAnsi="Arial"/>
                <w:sz w:val="18"/>
                <w:szCs w:val="18"/>
                <w:color w:val="auto"/>
              </w:rPr>
              <w:t>2026</w:t>
            </w: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104,287</w:t>
            </w:r>
          </w:p>
        </w:tc>
        <w:tc>
          <w:tcPr>
            <w:tcW w:w="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1,792</w:t>
            </w:r>
          </w:p>
        </w:tc>
        <w:tc>
          <w:tcPr>
            <w:tcW w:w="100" w:type="dxa"/>
            <w:vAlign w:val="bottom"/>
          </w:tcPr>
          <w:p>
            <w:pPr>
              <w:spacing w:after="0"/>
              <w:rPr>
                <w:sz w:val="20"/>
                <w:szCs w:val="20"/>
                <w:color w:val="auto"/>
              </w:rPr>
            </w:pPr>
          </w:p>
        </w:tc>
      </w:tr>
      <w:tr>
        <w:trPr>
          <w:trHeight w:val="249"/>
        </w:trPr>
        <w:tc>
          <w:tcPr>
            <w:tcW w:w="6500" w:type="dxa"/>
            <w:vAlign w:val="bottom"/>
            <w:shd w:val="clear" w:color="auto" w:fill="CFF0FC"/>
          </w:tcPr>
          <w:p>
            <w:pPr>
              <w:ind w:left="20"/>
              <w:spacing w:after="0"/>
              <w:rPr>
                <w:sz w:val="20"/>
                <w:szCs w:val="20"/>
                <w:color w:val="auto"/>
              </w:rPr>
            </w:pPr>
            <w:r>
              <w:rPr>
                <w:rFonts w:ascii="Arial" w:cs="Arial" w:eastAsia="Arial" w:hAnsi="Arial"/>
                <w:sz w:val="18"/>
                <w:szCs w:val="18"/>
                <w:color w:val="auto"/>
              </w:rPr>
              <w:t>2027</w:t>
            </w:r>
          </w:p>
        </w:tc>
        <w:tc>
          <w:tcPr>
            <w:tcW w:w="2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100,695</w:t>
            </w:r>
          </w:p>
        </w:tc>
        <w:tc>
          <w:tcPr>
            <w:tcW w:w="3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1,819</w:t>
            </w:r>
          </w:p>
        </w:tc>
        <w:tc>
          <w:tcPr>
            <w:tcW w:w="100" w:type="dxa"/>
            <w:vAlign w:val="bottom"/>
            <w:shd w:val="clear" w:color="auto" w:fill="CFF0FC"/>
          </w:tcPr>
          <w:p>
            <w:pPr>
              <w:spacing w:after="0"/>
              <w:rPr>
                <w:sz w:val="21"/>
                <w:szCs w:val="21"/>
                <w:color w:val="auto"/>
              </w:rPr>
            </w:pPr>
          </w:p>
        </w:tc>
      </w:tr>
      <w:tr>
        <w:trPr>
          <w:trHeight w:val="236"/>
        </w:trPr>
        <w:tc>
          <w:tcPr>
            <w:tcW w:w="6500" w:type="dxa"/>
            <w:vAlign w:val="bottom"/>
          </w:tcPr>
          <w:p>
            <w:pPr>
              <w:ind w:left="20"/>
              <w:spacing w:after="0"/>
              <w:rPr>
                <w:sz w:val="20"/>
                <w:szCs w:val="20"/>
                <w:color w:val="auto"/>
              </w:rPr>
            </w:pPr>
            <w:r>
              <w:rPr>
                <w:rFonts w:ascii="Arial" w:cs="Arial" w:eastAsia="Arial" w:hAnsi="Arial"/>
                <w:sz w:val="18"/>
                <w:szCs w:val="18"/>
                <w:color w:val="auto"/>
              </w:rPr>
              <w:t>2028</w:t>
            </w: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94,837</w:t>
            </w:r>
          </w:p>
        </w:tc>
        <w:tc>
          <w:tcPr>
            <w:tcW w:w="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1,846</w:t>
            </w:r>
          </w:p>
        </w:tc>
        <w:tc>
          <w:tcPr>
            <w:tcW w:w="100" w:type="dxa"/>
            <w:vAlign w:val="bottom"/>
          </w:tcPr>
          <w:p>
            <w:pPr>
              <w:spacing w:after="0"/>
              <w:rPr>
                <w:sz w:val="20"/>
                <w:szCs w:val="20"/>
                <w:color w:val="auto"/>
              </w:rPr>
            </w:pPr>
          </w:p>
        </w:tc>
      </w:tr>
      <w:tr>
        <w:trPr>
          <w:trHeight w:val="243"/>
        </w:trPr>
        <w:tc>
          <w:tcPr>
            <w:tcW w:w="65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Thereafter</w:t>
            </w:r>
          </w:p>
        </w:tc>
        <w:tc>
          <w:tcPr>
            <w:tcW w:w="24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1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910,458</w:t>
            </w:r>
          </w:p>
        </w:tc>
        <w:tc>
          <w:tcPr>
            <w:tcW w:w="32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spacing w:after="0"/>
              <w:rPr>
                <w:sz w:val="21"/>
                <w:szCs w:val="21"/>
                <w:color w:val="auto"/>
              </w:rPr>
            </w:pPr>
          </w:p>
        </w:tc>
        <w:tc>
          <w:tcPr>
            <w:tcW w:w="1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18,426</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6500" w:type="dxa"/>
            <w:vAlign w:val="bottom"/>
          </w:tcPr>
          <w:p>
            <w:pPr>
              <w:ind w:left="20"/>
              <w:spacing w:after="0"/>
              <w:rPr>
                <w:sz w:val="20"/>
                <w:szCs w:val="20"/>
                <w:color w:val="auto"/>
              </w:rPr>
            </w:pPr>
            <w:r>
              <w:rPr>
                <w:rFonts w:ascii="Arial" w:cs="Arial" w:eastAsia="Arial" w:hAnsi="Arial"/>
                <w:sz w:val="18"/>
                <w:szCs w:val="18"/>
                <w:color w:val="auto"/>
              </w:rPr>
              <w:t>Total future minimum obligations</w:t>
            </w:r>
          </w:p>
        </w:tc>
        <w:tc>
          <w:tcPr>
            <w:tcW w:w="46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820" w:type="dxa"/>
            <w:vAlign w:val="bottom"/>
          </w:tcPr>
          <w:p>
            <w:pPr>
              <w:jc w:val="right"/>
              <w:spacing w:after="0"/>
              <w:rPr>
                <w:sz w:val="20"/>
                <w:szCs w:val="20"/>
                <w:color w:val="auto"/>
              </w:rPr>
            </w:pPr>
            <w:r>
              <w:rPr>
                <w:rFonts w:ascii="Arial" w:cs="Arial" w:eastAsia="Arial" w:hAnsi="Arial"/>
                <w:sz w:val="18"/>
                <w:szCs w:val="18"/>
                <w:color w:val="auto"/>
              </w:rPr>
              <w:t>1,446,664</w:t>
            </w:r>
          </w:p>
        </w:tc>
        <w:tc>
          <w:tcPr>
            <w:tcW w:w="320" w:type="dxa"/>
            <w:vAlign w:val="bottom"/>
          </w:tcPr>
          <w:p>
            <w:pPr>
              <w:spacing w:after="0"/>
              <w:rPr>
                <w:sz w:val="20"/>
                <w:szCs w:val="20"/>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760" w:type="dxa"/>
            <w:vAlign w:val="bottom"/>
          </w:tcPr>
          <w:p>
            <w:pPr>
              <w:jc w:val="right"/>
              <w:spacing w:after="0"/>
              <w:rPr>
                <w:sz w:val="20"/>
                <w:szCs w:val="20"/>
                <w:color w:val="auto"/>
              </w:rPr>
            </w:pPr>
            <w:r>
              <w:rPr>
                <w:rFonts w:ascii="Arial" w:cs="Arial" w:eastAsia="Arial" w:hAnsi="Arial"/>
                <w:sz w:val="18"/>
                <w:szCs w:val="18"/>
                <w:color w:val="auto"/>
              </w:rPr>
              <w:t>27,892</w:t>
            </w:r>
          </w:p>
        </w:tc>
        <w:tc>
          <w:tcPr>
            <w:tcW w:w="100" w:type="dxa"/>
            <w:vAlign w:val="bottom"/>
          </w:tcPr>
          <w:p>
            <w:pPr>
              <w:spacing w:after="0"/>
              <w:rPr>
                <w:sz w:val="20"/>
                <w:szCs w:val="20"/>
                <w:color w:val="auto"/>
              </w:rPr>
            </w:pPr>
          </w:p>
        </w:tc>
      </w:tr>
      <w:tr>
        <w:trPr>
          <w:trHeight w:val="243"/>
        </w:trPr>
        <w:tc>
          <w:tcPr>
            <w:tcW w:w="6500" w:type="dxa"/>
            <w:vAlign w:val="bottom"/>
            <w:shd w:val="clear" w:color="auto" w:fill="CFF0FC"/>
          </w:tcPr>
          <w:p>
            <w:pPr>
              <w:ind w:left="20"/>
              <w:spacing w:after="0"/>
              <w:rPr>
                <w:sz w:val="20"/>
                <w:szCs w:val="20"/>
                <w:color w:val="auto"/>
              </w:rPr>
            </w:pPr>
            <w:r>
              <w:rPr>
                <w:rFonts w:ascii="Arial" w:cs="Arial" w:eastAsia="Arial" w:hAnsi="Arial"/>
                <w:sz w:val="18"/>
                <w:szCs w:val="18"/>
                <w:color w:val="auto"/>
              </w:rPr>
              <w:t>Less: Present value discount</w:t>
            </w:r>
          </w:p>
        </w:tc>
        <w:tc>
          <w:tcPr>
            <w:tcW w:w="2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21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(597,318 )</w:t>
            </w:r>
          </w:p>
        </w:tc>
        <w:tc>
          <w:tcPr>
            <w:tcW w:w="280" w:type="dxa"/>
            <w:vAlign w:val="bottom"/>
            <w:shd w:val="clear" w:color="auto" w:fill="CFF0FC"/>
          </w:tcPr>
          <w:p>
            <w:pPr>
              <w:spacing w:after="0"/>
              <w:rPr>
                <w:sz w:val="21"/>
                <w:szCs w:val="21"/>
                <w:color w:val="auto"/>
              </w:rPr>
            </w:pPr>
          </w:p>
        </w:tc>
        <w:tc>
          <w:tcPr>
            <w:tcW w:w="18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(12,936 )</w:t>
            </w:r>
          </w:p>
        </w:tc>
      </w:tr>
      <w:tr>
        <w:trPr>
          <w:trHeight w:val="236"/>
        </w:trPr>
        <w:tc>
          <w:tcPr>
            <w:tcW w:w="6500" w:type="dxa"/>
            <w:vAlign w:val="bottom"/>
            <w:tcBorders>
              <w:top w:val="single" w:sz="8" w:color="CFF0FC"/>
            </w:tcBorders>
          </w:tcPr>
          <w:p>
            <w:pPr>
              <w:ind w:left="20"/>
              <w:spacing w:after="0"/>
              <w:rPr>
                <w:sz w:val="20"/>
                <w:szCs w:val="20"/>
                <w:color w:val="auto"/>
              </w:rPr>
            </w:pPr>
            <w:r>
              <w:rPr>
                <w:rFonts w:ascii="Arial" w:cs="Arial" w:eastAsia="Arial" w:hAnsi="Arial"/>
                <w:sz w:val="18"/>
                <w:szCs w:val="18"/>
                <w:color w:val="auto"/>
              </w:rPr>
              <w:t>Present value of net future minimum lease obligations</w:t>
            </w:r>
          </w:p>
        </w:tc>
        <w:tc>
          <w:tcPr>
            <w:tcW w:w="240" w:type="dxa"/>
            <w:vAlign w:val="bottom"/>
            <w:tcBorders>
              <w:top w:val="single" w:sz="8" w:color="CFF0FC"/>
            </w:tcBorders>
          </w:tcPr>
          <w:p>
            <w:pPr>
              <w:spacing w:after="0"/>
              <w:rPr>
                <w:sz w:val="20"/>
                <w:szCs w:val="20"/>
                <w:color w:val="auto"/>
              </w:rPr>
            </w:pPr>
          </w:p>
        </w:tc>
        <w:tc>
          <w:tcPr>
            <w:tcW w:w="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849,346</w:t>
            </w:r>
          </w:p>
        </w:tc>
        <w:tc>
          <w:tcPr>
            <w:tcW w:w="320" w:type="dxa"/>
            <w:vAlign w:val="bottom"/>
            <w:tcBorders>
              <w:top w:val="single" w:sz="8" w:color="CFF0FC"/>
            </w:tcBorders>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14,956</w:t>
            </w:r>
          </w:p>
        </w:tc>
        <w:tc>
          <w:tcPr>
            <w:tcW w:w="100" w:type="dxa"/>
            <w:vAlign w:val="bottom"/>
            <w:tcBorders>
              <w:top w:val="single" w:sz="8" w:color="CFF0FC"/>
            </w:tcBorders>
          </w:tcPr>
          <w:p>
            <w:pPr>
              <w:spacing w:after="0"/>
              <w:rPr>
                <w:sz w:val="20"/>
                <w:szCs w:val="20"/>
                <w:color w:val="auto"/>
              </w:rPr>
            </w:pPr>
          </w:p>
        </w:tc>
      </w:tr>
      <w:tr>
        <w:trPr>
          <w:trHeight w:val="243"/>
        </w:trPr>
        <w:tc>
          <w:tcPr>
            <w:tcW w:w="6500" w:type="dxa"/>
            <w:vAlign w:val="bottom"/>
            <w:shd w:val="clear" w:color="auto" w:fill="CFF0FC"/>
          </w:tcPr>
          <w:p>
            <w:pPr>
              <w:ind w:left="20"/>
              <w:spacing w:after="0"/>
              <w:rPr>
                <w:sz w:val="20"/>
                <w:szCs w:val="20"/>
                <w:color w:val="auto"/>
              </w:rPr>
            </w:pPr>
            <w:r>
              <w:rPr>
                <w:rFonts w:ascii="Arial" w:cs="Arial" w:eastAsia="Arial" w:hAnsi="Arial"/>
                <w:sz w:val="18"/>
                <w:szCs w:val="18"/>
                <w:color w:val="auto"/>
              </w:rPr>
              <w:t>Less: current portion</w:t>
            </w:r>
          </w:p>
        </w:tc>
        <w:tc>
          <w:tcPr>
            <w:tcW w:w="2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21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(42,898 )</w:t>
            </w:r>
          </w:p>
        </w:tc>
        <w:tc>
          <w:tcPr>
            <w:tcW w:w="280" w:type="dxa"/>
            <w:vAlign w:val="bottom"/>
            <w:shd w:val="clear" w:color="auto" w:fill="CFF0FC"/>
          </w:tcPr>
          <w:p>
            <w:pPr>
              <w:spacing w:after="0"/>
              <w:rPr>
                <w:sz w:val="21"/>
                <w:szCs w:val="21"/>
                <w:color w:val="auto"/>
              </w:rPr>
            </w:pPr>
          </w:p>
        </w:tc>
        <w:tc>
          <w:tcPr>
            <w:tcW w:w="18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(726 )</w:t>
            </w:r>
          </w:p>
        </w:tc>
      </w:tr>
      <w:tr>
        <w:trPr>
          <w:trHeight w:val="242"/>
        </w:trPr>
        <w:tc>
          <w:tcPr>
            <w:tcW w:w="6500" w:type="dxa"/>
            <w:vAlign w:val="bottom"/>
            <w:tcBorders>
              <w:top w:val="single" w:sz="8" w:color="CFF0FC"/>
            </w:tcBorders>
          </w:tcPr>
          <w:p>
            <w:pPr>
              <w:ind w:left="20"/>
              <w:spacing w:after="0"/>
              <w:rPr>
                <w:sz w:val="20"/>
                <w:szCs w:val="20"/>
                <w:color w:val="auto"/>
              </w:rPr>
            </w:pPr>
            <w:r>
              <w:rPr>
                <w:rFonts w:ascii="Arial" w:cs="Arial" w:eastAsia="Arial" w:hAnsi="Arial"/>
                <w:sz w:val="18"/>
                <w:szCs w:val="18"/>
                <w:color w:val="auto"/>
              </w:rPr>
              <w:t>Long-term obligations</w:t>
            </w:r>
          </w:p>
        </w:tc>
        <w:tc>
          <w:tcPr>
            <w:tcW w:w="240" w:type="dxa"/>
            <w:vAlign w:val="bottom"/>
            <w:tcBorders>
              <w:top w:val="single" w:sz="8" w:color="CFF0FC"/>
            </w:tcBorders>
          </w:tcPr>
          <w:p>
            <w:pPr>
              <w:spacing w:after="0"/>
              <w:rPr>
                <w:sz w:val="21"/>
                <w:szCs w:val="21"/>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806,448</w:t>
            </w:r>
          </w:p>
        </w:tc>
        <w:tc>
          <w:tcPr>
            <w:tcW w:w="320" w:type="dxa"/>
            <w:vAlign w:val="bottom"/>
            <w:tcBorders>
              <w:top w:val="single" w:sz="8" w:color="CFF0FC"/>
            </w:tcBorders>
          </w:tcPr>
          <w:p>
            <w:pPr>
              <w:spacing w:after="0"/>
              <w:rPr>
                <w:sz w:val="21"/>
                <w:szCs w:val="21"/>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14,230</w:t>
            </w:r>
          </w:p>
        </w:tc>
        <w:tc>
          <w:tcPr>
            <w:tcW w:w="100" w:type="dxa"/>
            <w:vAlign w:val="bottom"/>
            <w:tcBorders>
              <w:top w:val="single" w:sz="8" w:color="CFF0FC"/>
            </w:tcBorders>
          </w:tcPr>
          <w:p>
            <w:pPr>
              <w:spacing w:after="0"/>
              <w:rPr>
                <w:sz w:val="21"/>
                <w:szCs w:val="21"/>
                <w:color w:val="auto"/>
              </w:rPr>
            </w:pPr>
          </w:p>
        </w:tc>
      </w:tr>
      <w:tr>
        <w:trPr>
          <w:trHeight w:val="20"/>
        </w:trPr>
        <w:tc>
          <w:tcPr>
            <w:tcW w:w="6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5579110</wp:posOffset>
            </wp:positionH>
            <wp:positionV relativeFrom="paragraph">
              <wp:posOffset>-821055</wp:posOffset>
            </wp:positionV>
            <wp:extent cx="68580" cy="16256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-821055</wp:posOffset>
            </wp:positionV>
            <wp:extent cx="68580" cy="16256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5579110</wp:posOffset>
            </wp:positionH>
            <wp:positionV relativeFrom="paragraph">
              <wp:posOffset>-504825</wp:posOffset>
            </wp:positionV>
            <wp:extent cx="68580" cy="16256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-504825</wp:posOffset>
            </wp:positionV>
            <wp:extent cx="68580" cy="16256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5579110</wp:posOffset>
            </wp:positionH>
            <wp:positionV relativeFrom="paragraph">
              <wp:posOffset>-187960</wp:posOffset>
            </wp:positionV>
            <wp:extent cx="68580" cy="18859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18859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8580" cy="188595"/>
                    </a:xfrm>
                    <a:prstGeom prst="rect">
                      <a:avLst/>
                    </a:prstGeom>
                    <a:noFill/>
                  </pic:spPr>
                </pic:pic>
              </a:graphicData>
            </a:graphic>
          </wp:anchor>
        </w:drawing>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Forward-Starting Leases</w:t>
      </w:r>
    </w:p>
    <w:p>
      <w:pPr>
        <w:spacing w:after="0" w:line="117"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231F20"/>
        </w:rPr>
        <w:t>As of September 30, 2023, we entered into 12 leases that had not yet commenced related to build-to-suit arrangements for car wash locations. These leases will commence in the remainder of 2023, or 2024 or 2025 with initial lease terms of 15 to 20 years.</w:t>
      </w:r>
    </w:p>
    <w:p>
      <w:pPr>
        <w:spacing w:after="0" w:line="62"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231F20"/>
        </w:rPr>
        <w:t>As of December 31, 2022, we entered into seven leases that had not yet commenced related to build-to-suit arrangements for car wash locations. These leases will commence in 2023, or 2024 or 2025 with initial lease terms of 15 to 20 years.</w:t>
      </w:r>
    </w:p>
    <w:p>
      <w:pPr>
        <w:spacing w:after="0" w:line="62"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320" w:top="462" w:right="279" w:bottom="1440" w:gutter="0" w:footer="0" w:header="0"/>
          <w:type w:val="continuous"/>
        </w:sectPr>
      </w:pPr>
    </w:p>
    <w:bookmarkStart w:id="16" w:name="page17"/>
    <w:bookmarkEnd w:id="16"/>
    <w:p>
      <w:pPr>
        <w:spacing w:after="0"/>
        <w:rPr>
          <w:sz w:val="20"/>
          <w:szCs w:val="20"/>
          <w:color w:val="auto"/>
        </w:rPr>
      </w:pPr>
      <w:r>
        <w:rPr>
          <w:rFonts w:ascii="Arial" w:cs="Arial" w:eastAsia="Arial" w:hAnsi="Arial"/>
          <w:sz w:val="18"/>
          <w:szCs w:val="18"/>
          <w:b w:val="1"/>
          <w:bCs w:val="1"/>
          <w:i w:val="1"/>
          <w:iCs w:val="1"/>
          <w:color w:val="231F20"/>
        </w:rPr>
        <w:t>Sale-Leaseback Transactions</w:t>
      </w:r>
    </w:p>
    <w:p>
      <w:pPr>
        <w:spacing w:after="0" w:line="117"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231F20"/>
        </w:rPr>
        <w:t>During the three months ended September 30, 2023 and 2022, we completed two sale-leaseback transactions related to car wash locations with aggregate consideration of $10,455 and $60,894, respectively, resulting in a net loss of $373 and net gain of $860, respectively, which are included in (Gain) loss on sale of assets, net in the accompanying unaudited condensed consolidated statements of operations and comprehensive income. Contemporaneously with the closing of the sales, we entered into lease agreements for the properties for initial 15- to 20-year terms. For the sale-leaseback transactions consummated in the three months ended September 30, 2023, the cumulative initial annual rent for the properties was approximately $640, subject to annual escalations. These leases are accounted for as operating leases. For the sale-leaseback transactions consummated the three months ended September 30, 2022, the cumulative initial annual rent for the properties was approximately $3,605, subject to annual escalations. These leases are accounted for as operating leases.</w:t>
      </w:r>
    </w:p>
    <w:p>
      <w:pPr>
        <w:spacing w:after="0" w:line="88"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231F20"/>
        </w:rPr>
        <w:t>During the nine months ended September 30, 2023 and 2022, we completed 14 and three sale-leaseback transactions related to car wash locations, respectively, with aggregate consideration of $99,710 and $64,694, respectively, resulting in a net gain of $4,893 and $4,063, respectively, which are included in (Gain) loss on sale of assets, net in the accompanying unaudited condensed consolidated statements of operations and comprehensive income. Contemporaneously with the closing of the sales, we entered into lease agreements for the properties for initial 15- to 20-year terms. For the sale-leaseback transactions consummated in the nine months ended September 30, 2023, the cumulative initial annual rent for the properties was approximately $6,227, subject to annual escalations. These leases are accounted for as operating leases. For the sale-leaseback transactions consummated in the nine months ended September 30, 2022, the cumulative initial annual rent for the properties was approximately $3,787, subject to annual escalations. These leases are accounted for as operating leases.</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12.  Stockholders’ Equity</w:t>
      </w:r>
    </w:p>
    <w:p>
      <w:pPr>
        <w:spacing w:after="0" w:line="121"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231F20"/>
        </w:rPr>
        <w:t>As of September 30, 2023, there were 1,000,000,000 shares of common stock authorized, 317,144,968 shares of common stock issued, and 313,970,741 shares of common stock outstanding.</w:t>
      </w:r>
    </w:p>
    <w:p>
      <w:pPr>
        <w:spacing w:after="0" w:line="62"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231F20"/>
        </w:rPr>
        <w:t>As of December 31, 2022, there were 1,000,000,000 shares of common stock authorized, 309,800,757 shares of common stock issued, and 306,626,530 shares of common stock outstanding.</w:t>
      </w:r>
    </w:p>
    <w:p>
      <w:pPr>
        <w:spacing w:after="0" w:line="62" w:lineRule="exact"/>
        <w:rPr>
          <w:sz w:val="20"/>
          <w:szCs w:val="20"/>
          <w:color w:val="auto"/>
        </w:rPr>
      </w:pPr>
    </w:p>
    <w:p>
      <w:pPr>
        <w:spacing w:after="0"/>
        <w:rPr>
          <w:sz w:val="20"/>
          <w:szCs w:val="20"/>
          <w:color w:val="auto"/>
        </w:rPr>
      </w:pPr>
      <w:r>
        <w:rPr>
          <w:rFonts w:ascii="Arial" w:cs="Arial" w:eastAsia="Arial" w:hAnsi="Arial"/>
          <w:sz w:val="17"/>
          <w:szCs w:val="17"/>
          <w:color w:val="231F20"/>
        </w:rPr>
        <w:t>As of September 30, 2023 and December 31, 2022, there were 5,000,000 shares of preferred stock authorized and none were issued or outstanding.</w:t>
      </w:r>
    </w:p>
    <w:p>
      <w:pPr>
        <w:spacing w:after="0" w:line="128"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231F20"/>
        </w:rPr>
        <w:t xml:space="preserve">We use the cost method to account for treasury stock. As of September 30, 2023, and December 31, 2022, we had 3,174,227 shares of treasury stock. As of September 30, 2023 and December 31, 2022, the cost of treasury stock included in additional paid-in capital in </w:t>
      </w:r>
      <w:r>
        <w:rPr>
          <w:rFonts w:ascii="Arial" w:cs="Arial" w:eastAsia="Arial" w:hAnsi="Arial"/>
          <w:sz w:val="18"/>
          <w:szCs w:val="18"/>
          <w:color w:val="000000"/>
        </w:rPr>
        <w:t>the accompanying unaudited condensed</w:t>
      </w:r>
      <w:r>
        <w:rPr>
          <w:rFonts w:ascii="Arial" w:cs="Arial" w:eastAsia="Arial" w:hAnsi="Arial"/>
          <w:sz w:val="18"/>
          <w:szCs w:val="18"/>
          <w:color w:val="231F20"/>
        </w:rPr>
        <w:t xml:space="preserve"> </w:t>
      </w:r>
      <w:r>
        <w:rPr>
          <w:rFonts w:ascii="Arial" w:cs="Arial" w:eastAsia="Arial" w:hAnsi="Arial"/>
          <w:sz w:val="18"/>
          <w:szCs w:val="18"/>
          <w:color w:val="000000"/>
        </w:rPr>
        <w:t>consolidated balance sheets was $6,091.</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13.  Stock-Based Compensation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The 2014 Plan</w:t>
      </w:r>
    </w:p>
    <w:p>
      <w:pPr>
        <w:spacing w:after="0" w:line="117" w:lineRule="exact"/>
        <w:rPr>
          <w:sz w:val="20"/>
          <w:szCs w:val="20"/>
          <w:color w:val="auto"/>
        </w:rPr>
      </w:pPr>
    </w:p>
    <w:p>
      <w:pPr>
        <w:ind w:right="380"/>
        <w:spacing w:after="0" w:line="307" w:lineRule="auto"/>
        <w:rPr>
          <w:sz w:val="20"/>
          <w:szCs w:val="20"/>
          <w:color w:val="auto"/>
        </w:rPr>
      </w:pPr>
      <w:r>
        <w:rPr>
          <w:rFonts w:ascii="Arial" w:cs="Arial" w:eastAsia="Arial" w:hAnsi="Arial"/>
          <w:sz w:val="17"/>
          <w:szCs w:val="17"/>
          <w:color w:val="231F20"/>
        </w:rPr>
        <w:t>Under the 2014 Stock Option Plan of Hotshine Holdings, Inc. (the “2014 Plan”), we may grant incentive stock options or nonqualified stock options to purchase shares of our common stock to our employees, directors, officers, outside advisors and non-employee consultants.</w:t>
      </w:r>
    </w:p>
    <w:p>
      <w:pPr>
        <w:spacing w:after="0" w:line="39" w:lineRule="exact"/>
        <w:rPr>
          <w:sz w:val="20"/>
          <w:szCs w:val="20"/>
          <w:color w:val="auto"/>
        </w:rPr>
      </w:pPr>
    </w:p>
    <w:p>
      <w:pPr>
        <w:ind w:right="120"/>
        <w:spacing w:after="0" w:line="287" w:lineRule="auto"/>
        <w:rPr>
          <w:sz w:val="20"/>
          <w:szCs w:val="20"/>
          <w:color w:val="auto"/>
        </w:rPr>
      </w:pPr>
      <w:r>
        <w:rPr>
          <w:rFonts w:ascii="Arial" w:cs="Arial" w:eastAsia="Arial" w:hAnsi="Arial"/>
          <w:sz w:val="16"/>
          <w:szCs w:val="16"/>
          <w:color w:val="231F20"/>
        </w:rPr>
        <w:t>All stock options granted under the 2014 Plan are equity-classified and have a contractual life of ten years. Under the 2014 Plan, 60% of the shares in a grant contain service-based vesting conditions and vest ratably over a five-year period and 40% of the shares in a grant contain performance-based vesting conditions (“Performance Vesting Options”). The condition for the Performance Vesting Options is a change in control or an initial public offering, where</w:t>
      </w:r>
    </w:p>
    <w:p>
      <w:pPr>
        <w:spacing w:after="0" w:line="2" w:lineRule="exact"/>
        <w:rPr>
          <w:sz w:val="20"/>
          <w:szCs w:val="20"/>
          <w:color w:val="auto"/>
        </w:rPr>
      </w:pPr>
    </w:p>
    <w:p>
      <w:pPr>
        <w:ind w:firstLine="8"/>
        <w:spacing w:after="0" w:line="288" w:lineRule="auto"/>
        <w:tabs>
          <w:tab w:leader="none" w:pos="215" w:val="left"/>
        </w:tabs>
        <w:numPr>
          <w:ilvl w:val="0"/>
          <w:numId w:val="5"/>
        </w:numPr>
        <w:rPr>
          <w:rFonts w:ascii="Arial" w:cs="Arial" w:eastAsia="Arial" w:hAnsi="Arial"/>
          <w:sz w:val="16"/>
          <w:szCs w:val="16"/>
          <w:color w:val="231F20"/>
        </w:rPr>
      </w:pPr>
      <w:r>
        <w:rPr>
          <w:rFonts w:ascii="Arial" w:cs="Arial" w:eastAsia="Arial" w:hAnsi="Arial"/>
          <w:sz w:val="16"/>
          <w:szCs w:val="16"/>
          <w:color w:val="231F20"/>
        </w:rPr>
        <w:t>50% of the Performance Vesting Options vest and become exercisable if the Principal Stockholders receive the Target Proceeds at the Measurement Date and (ii) the remaining 50% of the Performance Vesting Options vest and become exercisable if the Principal Stockholders receive the Maximum Amount at the Measurement Date. In June 2021, we modified all outstanding shares of Performance Vesting Options to remove, subject to the successful completion of the IPO, the requirement that the Principal Stockholders receive the Target Proceeds and the Maximum Amount as conditions for the Performance Vesting Options to vest. The exercise prices for stock options granted under the 2014 Plan were not less than the fair market value of the common stock of the Company on the date of grant. For the avoidance of doubt, the IPO constituted a performance measurement date under the applicable option agreements for the Performance Vesting Options and the Performance Vesting Options vested in full in connection with the IPO.</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The 2021 Plan</w:t>
      </w:r>
    </w:p>
    <w:p>
      <w:pPr>
        <w:spacing w:after="0" w:line="117"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 xml:space="preserve">In June 2021, the Board adopted the 2021 Incentive Award Plan (the “2021 Plan”), which was subsequently approved by our stockholders and became effective on June 25, 2021. Under the 2021 Plan, we </w:t>
      </w:r>
      <w:r>
        <w:rPr>
          <w:rFonts w:ascii="Arial" w:cs="Arial" w:eastAsia="Arial" w:hAnsi="Arial"/>
          <w:sz w:val="18"/>
          <w:szCs w:val="18"/>
          <w:color w:val="231F20"/>
        </w:rPr>
        <w:t>may grant incentive stock options, nonqualified stock options, restricted stock units ("RSUs"),</w:t>
      </w:r>
      <w:r>
        <w:rPr>
          <w:rFonts w:ascii="Arial" w:cs="Arial" w:eastAsia="Arial" w:hAnsi="Arial"/>
          <w:sz w:val="18"/>
          <w:szCs w:val="18"/>
          <w:color w:val="auto"/>
        </w:rPr>
        <w:t xml:space="preserve"> </w:t>
      </w:r>
      <w:r>
        <w:rPr>
          <w:rFonts w:ascii="Arial" w:cs="Arial" w:eastAsia="Arial" w:hAnsi="Arial"/>
          <w:sz w:val="18"/>
          <w:szCs w:val="18"/>
          <w:color w:val="231F20"/>
        </w:rPr>
        <w:t xml:space="preserve">restricted stock, and other stock- or cash-based awards to our employees, directors, officers, and non-employee consultants. </w:t>
      </w:r>
      <w:r>
        <w:rPr>
          <w:rFonts w:ascii="Arial" w:cs="Arial" w:eastAsia="Arial" w:hAnsi="Arial"/>
          <w:sz w:val="18"/>
          <w:szCs w:val="18"/>
          <w:color w:val="000000"/>
        </w:rPr>
        <w:t>Initially, the maximum number</w:t>
      </w:r>
      <w:r>
        <w:rPr>
          <w:rFonts w:ascii="Arial" w:cs="Arial" w:eastAsia="Arial" w:hAnsi="Arial"/>
          <w:sz w:val="18"/>
          <w:szCs w:val="18"/>
          <w:color w:val="231F20"/>
        </w:rPr>
        <w:t xml:space="preserve"> </w:t>
      </w:r>
      <w:r>
        <w:rPr>
          <w:rFonts w:ascii="Arial" w:cs="Arial" w:eastAsia="Arial" w:hAnsi="Arial"/>
          <w:sz w:val="18"/>
          <w:szCs w:val="18"/>
          <w:color w:val="000000"/>
        </w:rPr>
        <w:t>of shares of our common stock that may be issued under the 2021 Plan is 29,800,000 new shares of common stock, which includes 256,431 shares of common stock that remained available for issuance under the 2014 Plan at June 25, 2021. In connection with the IPO, stock option and RSU awards were granted with respect to</w:t>
      </w:r>
    </w:p>
    <w:p>
      <w:pPr>
        <w:spacing w:after="0" w:line="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52705</wp:posOffset>
            </wp:positionV>
            <wp:extent cx="7157720"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7" w:name="page18"/>
    <w:bookmarkEnd w:id="17"/>
    <w:p>
      <w:pPr>
        <w:ind w:right="200"/>
        <w:spacing w:after="0" w:line="277" w:lineRule="auto"/>
        <w:rPr>
          <w:sz w:val="20"/>
          <w:szCs w:val="20"/>
          <w:color w:val="auto"/>
        </w:rPr>
      </w:pPr>
      <w:r>
        <w:rPr>
          <w:rFonts w:ascii="Arial" w:cs="Arial" w:eastAsia="Arial" w:hAnsi="Arial"/>
          <w:sz w:val="18"/>
          <w:szCs w:val="18"/>
          <w:color w:val="auto"/>
        </w:rPr>
        <w:t>3,726,305 shares. Any shares of common stock subject to outstanding stock awards granted under the 2014 Plan and, following June 25, 2021, terminate, expire or are otherwise forfeited, reacquired or withheld will become available for issuance under the 2021 Plan.</w:t>
      </w:r>
    </w:p>
    <w:p>
      <w:pPr>
        <w:spacing w:after="0" w:line="62"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231F20"/>
        </w:rPr>
        <w:t>All stock options granted under the 2021 Plan are equity-classified and have a contractual life of ten years. Under the 2021 Plan, the stock options contain service-based vesting conditions and generally vest ratably over a three- or five-year period (collectively with stock options under the 2014 Plan, the “Time Vesting Options”). The exercise prices for stock options granted under the 2021 Plan were not less than the fair market value of the common stock of the Company on the date of grant.</w:t>
      </w:r>
    </w:p>
    <w:p>
      <w:pPr>
        <w:spacing w:after="0" w:line="77" w:lineRule="exact"/>
        <w:rPr>
          <w:sz w:val="20"/>
          <w:szCs w:val="20"/>
          <w:color w:val="auto"/>
        </w:rPr>
      </w:pPr>
    </w:p>
    <w:p>
      <w:pPr>
        <w:jc w:val="both"/>
        <w:ind w:right="20"/>
        <w:spacing w:after="0" w:line="311" w:lineRule="auto"/>
        <w:rPr>
          <w:sz w:val="20"/>
          <w:szCs w:val="20"/>
          <w:color w:val="auto"/>
        </w:rPr>
      </w:pPr>
      <w:r>
        <w:rPr>
          <w:rFonts w:ascii="Arial" w:cs="Arial" w:eastAsia="Arial" w:hAnsi="Arial"/>
          <w:sz w:val="16"/>
          <w:szCs w:val="16"/>
          <w:color w:val="auto"/>
        </w:rPr>
        <w:t xml:space="preserve">RSUs granted under the 2021 Plan </w:t>
      </w:r>
      <w:r>
        <w:rPr>
          <w:rFonts w:ascii="Arial" w:cs="Arial" w:eastAsia="Arial" w:hAnsi="Arial"/>
          <w:sz w:val="16"/>
          <w:szCs w:val="16"/>
          <w:color w:val="231F20"/>
        </w:rPr>
        <w:t>are equity-classified and</w:t>
      </w:r>
      <w:r>
        <w:rPr>
          <w:rFonts w:ascii="Arial" w:cs="Arial" w:eastAsia="Arial" w:hAnsi="Arial"/>
          <w:sz w:val="16"/>
          <w:szCs w:val="16"/>
          <w:color w:val="auto"/>
        </w:rPr>
        <w:t xml:space="preserve"> contain service-based conditions and generally vest ratably over one- to five-year periods. Each RSU represents the right to receive one share of our common stock upon vesting. The fair value is calculated based upon our closing stock price on the date of grant, and the stock-based compensation expense is recognized over the requisite service period, which is generally the vesting period.</w:t>
      </w:r>
    </w:p>
    <w:p>
      <w:pPr>
        <w:spacing w:after="0" w:line="5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231F20"/>
        </w:rPr>
        <w:t>The 2014 Plan and 2021 Plan are administered by the Board or, at the discretion of the Board, by a committee thereof. The exercise prices for stock options, the vesting of awards, and other restrictions are determined at the discretion of the Board, or its committee if so delegated.</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The 2021 ESPP</w:t>
      </w:r>
    </w:p>
    <w:p>
      <w:pPr>
        <w:spacing w:after="0" w:line="11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 June 2021, the Board adopted the 2021 Employee Stock Purchase Plan (“2021 ESPP”), which was subsequently approved by our stockholders and became effective in June 2021. The 2021 ESPP authorizes the initial issuance of up to 5,000,000 shares of our common stock to eligible employees of the Company or, as designated by the Board, employees of a related company. The 2021 ESPP provides for offering periods not to exceed 27 months, and each offering period will include purchase periods. We determined that offering periods would commence at approximately the six-month period beginning with an enrollment date and ending with the next exercise date, except that the first offering period commenced on the effective date of our registration statement and ended on November 9, 2021.</w:t>
      </w:r>
    </w:p>
    <w:p>
      <w:pPr>
        <w:spacing w:after="0" w:line="191"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The 2021 ESPP provides that the number of shares reserved and available for issuance under the 2021 ESPP will automatically increase on January 1 of each calendar year from January 1, 2022 through January 1, 2031 by an amount equal to the lesser of (i) 0.5% of the outstanding number of shares of common stock on the immediately preceding December 31 and (ii) such lesser number of shares of common stock as determined by the Board. The number of shares reserved and available for issuance under the 2021 ESPP as of January 1, 2023 is 7,322,350.</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Share-Based Payment Valuation</w:t>
      </w:r>
    </w:p>
    <w:p>
      <w:pPr>
        <w:spacing w:after="0" w:line="117" w:lineRule="exact"/>
        <w:rPr>
          <w:sz w:val="20"/>
          <w:szCs w:val="20"/>
          <w:color w:val="auto"/>
        </w:rPr>
      </w:pPr>
    </w:p>
    <w:p>
      <w:pPr>
        <w:ind w:right="240"/>
        <w:spacing w:after="0" w:line="286" w:lineRule="auto"/>
        <w:rPr>
          <w:sz w:val="20"/>
          <w:szCs w:val="20"/>
          <w:color w:val="auto"/>
        </w:rPr>
      </w:pPr>
      <w:r>
        <w:rPr>
          <w:rFonts w:ascii="Arial" w:cs="Arial" w:eastAsia="Arial" w:hAnsi="Arial"/>
          <w:sz w:val="17"/>
          <w:szCs w:val="17"/>
          <w:color w:val="231F20"/>
        </w:rPr>
        <w:t xml:space="preserve">The grant date fair value of Time Vesting Options granted is determined using the Black-Scholes option-pricing model. The grant date fair value of Performance Vesting Options is determined using a Monte Carlo simulation model and a barrier-adjusted Black-Scholes option-pricing model. The grant date fair value of </w:t>
      </w:r>
      <w:r>
        <w:rPr>
          <w:rFonts w:ascii="Arial" w:cs="Arial" w:eastAsia="Arial" w:hAnsi="Arial"/>
          <w:sz w:val="17"/>
          <w:szCs w:val="17"/>
          <w:color w:val="000000"/>
        </w:rPr>
        <w:t>stock purchase rights</w:t>
      </w:r>
      <w:r>
        <w:rPr>
          <w:rFonts w:ascii="Arial" w:cs="Arial" w:eastAsia="Arial" w:hAnsi="Arial"/>
          <w:sz w:val="17"/>
          <w:szCs w:val="17"/>
          <w:color w:val="231F20"/>
        </w:rPr>
        <w:t xml:space="preserve"> granted under the 2021 ESPP is determined using the Black-Scholes option-pricing model.</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i w:val="1"/>
          <w:iCs w:val="1"/>
          <w:color w:val="231F20"/>
        </w:rPr>
        <w:t>2021 ESPP Valuation</w:t>
      </w:r>
    </w:p>
    <w:p>
      <w:pPr>
        <w:spacing w:after="0" w:line="117"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231F20"/>
        </w:rPr>
        <w:t xml:space="preserve">The following table presents, on a weighted-average basis, the assumptions used in the Black-Scholes option-pricing model to determine the grant date fair value of </w:t>
      </w:r>
      <w:r>
        <w:rPr>
          <w:rFonts w:ascii="Arial" w:cs="Arial" w:eastAsia="Arial" w:hAnsi="Arial"/>
          <w:sz w:val="18"/>
          <w:szCs w:val="18"/>
          <w:color w:val="000000"/>
        </w:rPr>
        <w:t>stock purchase rights granted under the 2021 ESPP</w:t>
      </w:r>
      <w:r>
        <w:rPr>
          <w:rFonts w:ascii="Arial" w:cs="Arial" w:eastAsia="Arial" w:hAnsi="Arial"/>
          <w:sz w:val="18"/>
          <w:szCs w:val="18"/>
          <w:color w:val="231F20"/>
        </w:rPr>
        <w:t xml:space="preserve"> during the periods presented:</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6220" w:type="dxa"/>
            <w:vAlign w:val="bottom"/>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3880" w:type="dxa"/>
            <w:vAlign w:val="bottom"/>
            <w:tcBorders>
              <w:bottom w:val="single" w:sz="8" w:color="auto"/>
            </w:tcBorders>
            <w:gridSpan w:val="4"/>
          </w:tcPr>
          <w:p>
            <w:pPr>
              <w:ind w:left="40"/>
              <w:spacing w:after="0"/>
              <w:rPr>
                <w:sz w:val="20"/>
                <w:szCs w:val="20"/>
                <w:color w:val="auto"/>
              </w:rPr>
            </w:pPr>
            <w:r>
              <w:rPr>
                <w:rFonts w:ascii="Arial" w:cs="Arial" w:eastAsia="Arial" w:hAnsi="Arial"/>
                <w:sz w:val="18"/>
                <w:szCs w:val="18"/>
                <w:b w:val="1"/>
                <w:bCs w:val="1"/>
                <w:color w:val="auto"/>
              </w:rPr>
              <w:t>Nine Months Ended September 30,</w:t>
            </w:r>
          </w:p>
        </w:tc>
      </w:tr>
      <w:tr>
        <w:trPr>
          <w:trHeight w:val="238"/>
        </w:trPr>
        <w:tc>
          <w:tcPr>
            <w:tcW w:w="6220" w:type="dxa"/>
            <w:vAlign w:val="bottom"/>
          </w:tcPr>
          <w:p>
            <w:pPr>
              <w:spacing w:after="0"/>
              <w:rPr>
                <w:sz w:val="20"/>
                <w:szCs w:val="20"/>
                <w:color w:val="auto"/>
              </w:rPr>
            </w:pPr>
          </w:p>
        </w:tc>
        <w:tc>
          <w:tcPr>
            <w:tcW w:w="2400" w:type="dxa"/>
            <w:vAlign w:val="bottom"/>
            <w:gridSpan w:val="2"/>
          </w:tcPr>
          <w:p>
            <w:pPr>
              <w:jc w:val="right"/>
              <w:ind w:right="930"/>
              <w:spacing w:after="0"/>
              <w:rPr>
                <w:sz w:val="20"/>
                <w:szCs w:val="20"/>
                <w:color w:val="auto"/>
              </w:rPr>
            </w:pPr>
            <w:r>
              <w:rPr>
                <w:rFonts w:ascii="Arial" w:cs="Arial" w:eastAsia="Arial" w:hAnsi="Arial"/>
                <w:sz w:val="18"/>
                <w:szCs w:val="18"/>
                <w:b w:val="1"/>
                <w:bCs w:val="1"/>
                <w:color w:val="auto"/>
              </w:rPr>
              <w:t>2023</w:t>
            </w:r>
          </w:p>
        </w:tc>
        <w:tc>
          <w:tcPr>
            <w:tcW w:w="2620" w:type="dxa"/>
            <w:vAlign w:val="bottom"/>
            <w:gridSpan w:val="3"/>
          </w:tcPr>
          <w:p>
            <w:pPr>
              <w:ind w:left="1240"/>
              <w:spacing w:after="0"/>
              <w:rPr>
                <w:sz w:val="20"/>
                <w:szCs w:val="20"/>
                <w:color w:val="auto"/>
              </w:rPr>
            </w:pPr>
            <w:r>
              <w:rPr>
                <w:rFonts w:ascii="Arial" w:cs="Arial" w:eastAsia="Arial" w:hAnsi="Arial"/>
                <w:sz w:val="18"/>
                <w:szCs w:val="18"/>
                <w:b w:val="1"/>
                <w:bCs w:val="1"/>
                <w:color w:val="auto"/>
              </w:rPr>
              <w:t>2022</w:t>
            </w:r>
          </w:p>
        </w:tc>
      </w:tr>
      <w:tr>
        <w:trPr>
          <w:trHeight w:val="240"/>
        </w:trPr>
        <w:tc>
          <w:tcPr>
            <w:tcW w:w="6220" w:type="dxa"/>
            <w:vAlign w:val="bottom"/>
            <w:shd w:val="clear" w:color="auto" w:fill="CFF0FC"/>
          </w:tcPr>
          <w:p>
            <w:pPr>
              <w:ind w:left="20"/>
              <w:spacing w:after="0"/>
              <w:rPr>
                <w:sz w:val="20"/>
                <w:szCs w:val="20"/>
                <w:color w:val="auto"/>
              </w:rPr>
            </w:pPr>
            <w:r>
              <w:rPr>
                <w:rFonts w:ascii="Arial" w:cs="Arial" w:eastAsia="Arial" w:hAnsi="Arial"/>
                <w:sz w:val="18"/>
                <w:szCs w:val="18"/>
                <w:color w:val="auto"/>
              </w:rPr>
              <w:t>Expected volatility</w:t>
            </w:r>
          </w:p>
        </w:tc>
        <w:tc>
          <w:tcPr>
            <w:tcW w:w="2400" w:type="dxa"/>
            <w:vAlign w:val="bottom"/>
            <w:tcBorders>
              <w:top w:val="single" w:sz="8" w:color="auto"/>
            </w:tcBorders>
            <w:gridSpan w:val="2"/>
            <w:shd w:val="clear" w:color="auto" w:fill="CFF0FC"/>
          </w:tcPr>
          <w:p>
            <w:pPr>
              <w:jc w:val="right"/>
              <w:ind w:right="530"/>
              <w:spacing w:after="0"/>
              <w:rPr>
                <w:sz w:val="20"/>
                <w:szCs w:val="20"/>
                <w:color w:val="auto"/>
              </w:rPr>
            </w:pPr>
            <w:r>
              <w:rPr>
                <w:rFonts w:ascii="Arial" w:cs="Arial" w:eastAsia="Arial" w:hAnsi="Arial"/>
                <w:sz w:val="18"/>
                <w:szCs w:val="18"/>
                <w:color w:val="auto"/>
              </w:rPr>
              <w:t>36.30% - 53.9%</w:t>
            </w:r>
          </w:p>
        </w:tc>
        <w:tc>
          <w:tcPr>
            <w:tcW w:w="240" w:type="dxa"/>
            <w:vAlign w:val="bottom"/>
            <w:shd w:val="clear" w:color="auto" w:fill="CFF0FC"/>
          </w:tcPr>
          <w:p>
            <w:pPr>
              <w:spacing w:after="0"/>
              <w:rPr>
                <w:sz w:val="20"/>
                <w:szCs w:val="20"/>
                <w:color w:val="auto"/>
              </w:rPr>
            </w:pPr>
          </w:p>
        </w:tc>
        <w:tc>
          <w:tcPr>
            <w:tcW w:w="1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34.33%</w:t>
            </w:r>
          </w:p>
        </w:tc>
        <w:tc>
          <w:tcPr>
            <w:tcW w:w="1240" w:type="dxa"/>
            <w:vAlign w:val="bottom"/>
            <w:tcBorders>
              <w:top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rPr>
              <w:t>- 52.72%</w:t>
            </w:r>
          </w:p>
        </w:tc>
      </w:tr>
      <w:tr>
        <w:trPr>
          <w:trHeight w:val="236"/>
        </w:trPr>
        <w:tc>
          <w:tcPr>
            <w:tcW w:w="6220" w:type="dxa"/>
            <w:vAlign w:val="bottom"/>
          </w:tcPr>
          <w:p>
            <w:pPr>
              <w:ind w:left="20"/>
              <w:spacing w:after="0"/>
              <w:rPr>
                <w:sz w:val="20"/>
                <w:szCs w:val="20"/>
                <w:color w:val="auto"/>
              </w:rPr>
            </w:pPr>
            <w:r>
              <w:rPr>
                <w:rFonts w:ascii="Arial" w:cs="Arial" w:eastAsia="Arial" w:hAnsi="Arial"/>
                <w:sz w:val="18"/>
                <w:szCs w:val="18"/>
                <w:color w:val="auto"/>
              </w:rPr>
              <w:t>Risk-free interest rate</w:t>
            </w:r>
          </w:p>
        </w:tc>
        <w:tc>
          <w:tcPr>
            <w:tcW w:w="1140" w:type="dxa"/>
            <w:vAlign w:val="bottom"/>
          </w:tcPr>
          <w:p>
            <w:pPr>
              <w:jc w:val="right"/>
              <w:spacing w:after="0"/>
              <w:rPr>
                <w:sz w:val="20"/>
                <w:szCs w:val="20"/>
                <w:color w:val="auto"/>
              </w:rPr>
            </w:pPr>
            <w:r>
              <w:rPr>
                <w:rFonts w:ascii="Arial" w:cs="Arial" w:eastAsia="Arial" w:hAnsi="Arial"/>
                <w:sz w:val="18"/>
                <w:szCs w:val="18"/>
                <w:color w:val="auto"/>
              </w:rPr>
              <w:t>4.53%</w:t>
            </w:r>
          </w:p>
        </w:tc>
        <w:tc>
          <w:tcPr>
            <w:tcW w:w="1260" w:type="dxa"/>
            <w:vAlign w:val="bottom"/>
          </w:tcPr>
          <w:p>
            <w:pPr>
              <w:ind w:left="20"/>
              <w:spacing w:after="0"/>
              <w:rPr>
                <w:sz w:val="20"/>
                <w:szCs w:val="20"/>
                <w:color w:val="auto"/>
              </w:rPr>
            </w:pPr>
            <w:r>
              <w:rPr>
                <w:rFonts w:ascii="Arial" w:cs="Arial" w:eastAsia="Arial" w:hAnsi="Arial"/>
                <w:sz w:val="18"/>
                <w:szCs w:val="18"/>
                <w:color w:val="auto"/>
              </w:rPr>
              <w:t>- 5.26%</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0.07%</w:t>
            </w:r>
          </w:p>
        </w:tc>
        <w:tc>
          <w:tcPr>
            <w:tcW w:w="1240" w:type="dxa"/>
            <w:vAlign w:val="bottom"/>
          </w:tcPr>
          <w:p>
            <w:pPr>
              <w:ind w:left="20"/>
              <w:spacing w:after="0"/>
              <w:rPr>
                <w:sz w:val="20"/>
                <w:szCs w:val="20"/>
                <w:color w:val="auto"/>
              </w:rPr>
            </w:pPr>
            <w:r>
              <w:rPr>
                <w:rFonts w:ascii="Arial" w:cs="Arial" w:eastAsia="Arial" w:hAnsi="Arial"/>
                <w:sz w:val="18"/>
                <w:szCs w:val="18"/>
                <w:color w:val="auto"/>
              </w:rPr>
              <w:t>- 1.54%</w:t>
            </w:r>
          </w:p>
        </w:tc>
      </w:tr>
      <w:tr>
        <w:trPr>
          <w:trHeight w:val="249"/>
        </w:trPr>
        <w:tc>
          <w:tcPr>
            <w:tcW w:w="6220" w:type="dxa"/>
            <w:vAlign w:val="bottom"/>
            <w:shd w:val="clear" w:color="auto" w:fill="CFF0FC"/>
          </w:tcPr>
          <w:p>
            <w:pPr>
              <w:ind w:left="20"/>
              <w:spacing w:after="0"/>
              <w:rPr>
                <w:sz w:val="20"/>
                <w:szCs w:val="20"/>
                <w:color w:val="auto"/>
              </w:rPr>
            </w:pPr>
            <w:r>
              <w:rPr>
                <w:rFonts w:ascii="Arial" w:cs="Arial" w:eastAsia="Arial" w:hAnsi="Arial"/>
                <w:sz w:val="18"/>
                <w:szCs w:val="18"/>
                <w:color w:val="auto"/>
              </w:rPr>
              <w:t>Expected term (in years)</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0.49</w:t>
            </w:r>
          </w:p>
        </w:tc>
        <w:tc>
          <w:tcPr>
            <w:tcW w:w="1260" w:type="dxa"/>
            <w:vAlign w:val="bottom"/>
            <w:shd w:val="clear" w:color="auto" w:fill="CFF0FC"/>
          </w:tcPr>
          <w:p>
            <w:pPr>
              <w:ind w:left="20"/>
              <w:spacing w:after="0"/>
              <w:rPr>
                <w:sz w:val="20"/>
                <w:szCs w:val="20"/>
                <w:color w:val="auto"/>
              </w:rPr>
            </w:pPr>
            <w:r>
              <w:rPr>
                <w:rFonts w:ascii="Arial" w:cs="Arial" w:eastAsia="Arial" w:hAnsi="Arial"/>
                <w:sz w:val="18"/>
                <w:szCs w:val="18"/>
                <w:color w:val="auto"/>
              </w:rPr>
              <w:t>- 0.50</w:t>
            </w:r>
          </w:p>
        </w:tc>
        <w:tc>
          <w:tcPr>
            <w:tcW w:w="13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0.49</w:t>
            </w:r>
          </w:p>
        </w:tc>
        <w:tc>
          <w:tcPr>
            <w:tcW w:w="1240" w:type="dxa"/>
            <w:vAlign w:val="bottom"/>
            <w:shd w:val="clear" w:color="auto" w:fill="CFF0FC"/>
          </w:tcPr>
          <w:p>
            <w:pPr>
              <w:ind w:left="20"/>
              <w:spacing w:after="0"/>
              <w:rPr>
                <w:sz w:val="20"/>
                <w:szCs w:val="20"/>
                <w:color w:val="auto"/>
              </w:rPr>
            </w:pPr>
            <w:r>
              <w:rPr>
                <w:rFonts w:ascii="Arial" w:cs="Arial" w:eastAsia="Arial" w:hAnsi="Arial"/>
                <w:sz w:val="18"/>
                <w:szCs w:val="18"/>
                <w:color w:val="auto"/>
              </w:rPr>
              <w:t>- 0.50</w:t>
            </w:r>
          </w:p>
        </w:tc>
      </w:tr>
      <w:tr>
        <w:trPr>
          <w:trHeight w:val="230"/>
        </w:trPr>
        <w:tc>
          <w:tcPr>
            <w:tcW w:w="6220" w:type="dxa"/>
            <w:vAlign w:val="bottom"/>
          </w:tcPr>
          <w:p>
            <w:pPr>
              <w:ind w:left="20"/>
              <w:spacing w:after="0"/>
              <w:rPr>
                <w:sz w:val="20"/>
                <w:szCs w:val="20"/>
                <w:color w:val="auto"/>
              </w:rPr>
            </w:pPr>
            <w:r>
              <w:rPr>
                <w:rFonts w:ascii="Arial" w:cs="Arial" w:eastAsia="Arial" w:hAnsi="Arial"/>
                <w:sz w:val="18"/>
                <w:szCs w:val="18"/>
                <w:color w:val="auto"/>
              </w:rPr>
              <w:t>Expected dividend yield</w:t>
            </w:r>
          </w:p>
        </w:tc>
        <w:tc>
          <w:tcPr>
            <w:tcW w:w="2400" w:type="dxa"/>
            <w:vAlign w:val="bottom"/>
            <w:gridSpan w:val="2"/>
          </w:tcPr>
          <w:p>
            <w:pPr>
              <w:ind w:left="1000"/>
              <w:spacing w:after="0"/>
              <w:rPr>
                <w:sz w:val="20"/>
                <w:szCs w:val="20"/>
                <w:color w:val="auto"/>
              </w:rPr>
            </w:pPr>
            <w:r>
              <w:rPr>
                <w:rFonts w:ascii="Arial" w:cs="Arial" w:eastAsia="Arial" w:hAnsi="Arial"/>
                <w:sz w:val="18"/>
                <w:szCs w:val="18"/>
                <w:color w:val="auto"/>
              </w:rPr>
              <w:t>None</w:t>
            </w:r>
          </w:p>
        </w:tc>
        <w:tc>
          <w:tcPr>
            <w:tcW w:w="240" w:type="dxa"/>
            <w:vAlign w:val="bottom"/>
          </w:tcPr>
          <w:p>
            <w:pPr>
              <w:spacing w:after="0"/>
              <w:rPr>
                <w:sz w:val="20"/>
                <w:szCs w:val="20"/>
                <w:color w:val="auto"/>
              </w:rPr>
            </w:pPr>
          </w:p>
        </w:tc>
        <w:tc>
          <w:tcPr>
            <w:tcW w:w="2380" w:type="dxa"/>
            <w:vAlign w:val="bottom"/>
            <w:gridSpan w:val="2"/>
          </w:tcPr>
          <w:p>
            <w:pPr>
              <w:ind w:left="1000"/>
              <w:spacing w:after="0"/>
              <w:rPr>
                <w:sz w:val="20"/>
                <w:szCs w:val="20"/>
                <w:color w:val="auto"/>
              </w:rPr>
            </w:pPr>
            <w:r>
              <w:rPr>
                <w:rFonts w:ascii="Arial" w:cs="Arial" w:eastAsia="Arial" w:hAnsi="Arial"/>
                <w:sz w:val="18"/>
                <w:szCs w:val="18"/>
                <w:color w:val="auto"/>
              </w:rPr>
              <w:t>None</w:t>
            </w:r>
          </w:p>
        </w:tc>
      </w:tr>
    </w:tbl>
    <w:p>
      <w:pPr>
        <w:spacing w:after="0" w:line="322" w:lineRule="exact"/>
        <w:rPr>
          <w:sz w:val="20"/>
          <w:szCs w:val="20"/>
          <w:color w:val="auto"/>
        </w:rPr>
      </w:pPr>
    </w:p>
    <w:p>
      <w:pPr>
        <w:spacing w:after="0"/>
        <w:rPr>
          <w:sz w:val="20"/>
          <w:szCs w:val="20"/>
          <w:color w:val="auto"/>
        </w:rPr>
      </w:pPr>
      <w:r>
        <w:rPr>
          <w:rFonts w:ascii="Arial" w:cs="Arial" w:eastAsia="Arial" w:hAnsi="Arial"/>
          <w:sz w:val="18"/>
          <w:szCs w:val="18"/>
          <w:i w:val="1"/>
          <w:iCs w:val="1"/>
          <w:color w:val="231F20"/>
        </w:rPr>
        <w:t>Time Vesting Options</w:t>
      </w:r>
    </w:p>
    <w:p>
      <w:pPr>
        <w:spacing w:after="0" w:line="117"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231F20"/>
        </w:rPr>
        <w:t>The following table presents, on a weighted-average basis, the assumptions used in the Black-Scholes option-pricing model to determine the grant date fair value of Time Vesting Options granted under the 2014 Plan and 2021 Plan during the periods presented:</w:t>
      </w:r>
    </w:p>
    <w:p>
      <w:pPr>
        <w:spacing w:after="0" w:line="7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6220" w:type="dxa"/>
            <w:vAlign w:val="bottom"/>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3880" w:type="dxa"/>
            <w:vAlign w:val="bottom"/>
            <w:tcBorders>
              <w:bottom w:val="single" w:sz="8" w:color="auto"/>
            </w:tcBorders>
            <w:gridSpan w:val="4"/>
          </w:tcPr>
          <w:p>
            <w:pPr>
              <w:ind w:left="40"/>
              <w:spacing w:after="0"/>
              <w:rPr>
                <w:sz w:val="20"/>
                <w:szCs w:val="20"/>
                <w:color w:val="auto"/>
              </w:rPr>
            </w:pPr>
            <w:r>
              <w:rPr>
                <w:rFonts w:ascii="Arial" w:cs="Arial" w:eastAsia="Arial" w:hAnsi="Arial"/>
                <w:sz w:val="18"/>
                <w:szCs w:val="18"/>
                <w:b w:val="1"/>
                <w:bCs w:val="1"/>
                <w:color w:val="auto"/>
              </w:rPr>
              <w:t>Nine Months Ended September 30,</w:t>
            </w:r>
          </w:p>
        </w:tc>
      </w:tr>
      <w:tr>
        <w:trPr>
          <w:trHeight w:val="238"/>
        </w:trPr>
        <w:tc>
          <w:tcPr>
            <w:tcW w:w="6220" w:type="dxa"/>
            <w:vAlign w:val="bottom"/>
          </w:tcPr>
          <w:p>
            <w:pPr>
              <w:spacing w:after="0"/>
              <w:rPr>
                <w:sz w:val="20"/>
                <w:szCs w:val="20"/>
                <w:color w:val="auto"/>
              </w:rPr>
            </w:pPr>
          </w:p>
        </w:tc>
        <w:tc>
          <w:tcPr>
            <w:tcW w:w="2400" w:type="dxa"/>
            <w:vAlign w:val="bottom"/>
            <w:gridSpan w:val="2"/>
          </w:tcPr>
          <w:p>
            <w:pPr>
              <w:jc w:val="right"/>
              <w:ind w:right="930"/>
              <w:spacing w:after="0"/>
              <w:rPr>
                <w:sz w:val="20"/>
                <w:szCs w:val="20"/>
                <w:color w:val="auto"/>
              </w:rPr>
            </w:pPr>
            <w:r>
              <w:rPr>
                <w:rFonts w:ascii="Arial" w:cs="Arial" w:eastAsia="Arial" w:hAnsi="Arial"/>
                <w:sz w:val="18"/>
                <w:szCs w:val="18"/>
                <w:b w:val="1"/>
                <w:bCs w:val="1"/>
                <w:color w:val="auto"/>
              </w:rPr>
              <w:t>2023</w:t>
            </w:r>
          </w:p>
        </w:tc>
        <w:tc>
          <w:tcPr>
            <w:tcW w:w="2620" w:type="dxa"/>
            <w:vAlign w:val="bottom"/>
            <w:gridSpan w:val="3"/>
          </w:tcPr>
          <w:p>
            <w:pPr>
              <w:jc w:val="right"/>
              <w:ind w:right="930"/>
              <w:spacing w:after="0"/>
              <w:rPr>
                <w:sz w:val="20"/>
                <w:szCs w:val="20"/>
                <w:color w:val="auto"/>
              </w:rPr>
            </w:pPr>
            <w:r>
              <w:rPr>
                <w:rFonts w:ascii="Arial" w:cs="Arial" w:eastAsia="Arial" w:hAnsi="Arial"/>
                <w:sz w:val="18"/>
                <w:szCs w:val="18"/>
                <w:b w:val="1"/>
                <w:bCs w:val="1"/>
                <w:color w:val="auto"/>
              </w:rPr>
              <w:t>2022</w:t>
            </w:r>
          </w:p>
        </w:tc>
      </w:tr>
      <w:tr>
        <w:trPr>
          <w:trHeight w:val="240"/>
        </w:trPr>
        <w:tc>
          <w:tcPr>
            <w:tcW w:w="6220" w:type="dxa"/>
            <w:vAlign w:val="bottom"/>
            <w:shd w:val="clear" w:color="auto" w:fill="CFF0FC"/>
          </w:tcPr>
          <w:p>
            <w:pPr>
              <w:ind w:left="20"/>
              <w:spacing w:after="0"/>
              <w:rPr>
                <w:sz w:val="20"/>
                <w:szCs w:val="20"/>
                <w:color w:val="auto"/>
              </w:rPr>
            </w:pPr>
            <w:r>
              <w:rPr>
                <w:rFonts w:ascii="Arial" w:cs="Arial" w:eastAsia="Arial" w:hAnsi="Arial"/>
                <w:sz w:val="18"/>
                <w:szCs w:val="18"/>
                <w:color w:val="auto"/>
              </w:rPr>
              <w:t>Expected volatility</w:t>
            </w:r>
          </w:p>
        </w:tc>
        <w:tc>
          <w:tcPr>
            <w:tcW w:w="1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43.74%</w:t>
            </w:r>
          </w:p>
        </w:tc>
        <w:tc>
          <w:tcPr>
            <w:tcW w:w="1260" w:type="dxa"/>
            <w:vAlign w:val="bottom"/>
            <w:tcBorders>
              <w:top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rPr>
              <w:t>- 44.68%</w:t>
            </w:r>
          </w:p>
        </w:tc>
        <w:tc>
          <w:tcPr>
            <w:tcW w:w="240" w:type="dxa"/>
            <w:vAlign w:val="bottom"/>
            <w:shd w:val="clear" w:color="auto" w:fill="CFF0FC"/>
          </w:tcPr>
          <w:p>
            <w:pPr>
              <w:spacing w:after="0"/>
              <w:rPr>
                <w:sz w:val="20"/>
                <w:szCs w:val="20"/>
                <w:color w:val="auto"/>
              </w:rPr>
            </w:pPr>
          </w:p>
        </w:tc>
        <w:tc>
          <w:tcPr>
            <w:tcW w:w="1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35.63%</w:t>
            </w:r>
          </w:p>
        </w:tc>
        <w:tc>
          <w:tcPr>
            <w:tcW w:w="1240" w:type="dxa"/>
            <w:vAlign w:val="bottom"/>
            <w:tcBorders>
              <w:top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rPr>
              <w:t>- 35.87%</w:t>
            </w:r>
          </w:p>
        </w:tc>
      </w:tr>
      <w:tr>
        <w:trPr>
          <w:trHeight w:val="230"/>
        </w:trPr>
        <w:tc>
          <w:tcPr>
            <w:tcW w:w="6220" w:type="dxa"/>
            <w:vAlign w:val="bottom"/>
          </w:tcPr>
          <w:p>
            <w:pPr>
              <w:ind w:left="20"/>
              <w:spacing w:after="0"/>
              <w:rPr>
                <w:sz w:val="20"/>
                <w:szCs w:val="20"/>
                <w:color w:val="auto"/>
              </w:rPr>
            </w:pPr>
            <w:r>
              <w:rPr>
                <w:rFonts w:ascii="Arial" w:cs="Arial" w:eastAsia="Arial" w:hAnsi="Arial"/>
                <w:sz w:val="18"/>
                <w:szCs w:val="18"/>
                <w:color w:val="auto"/>
              </w:rPr>
              <w:t>Risk-free interest rate</w:t>
            </w:r>
          </w:p>
        </w:tc>
        <w:tc>
          <w:tcPr>
            <w:tcW w:w="1140" w:type="dxa"/>
            <w:vAlign w:val="bottom"/>
          </w:tcPr>
          <w:p>
            <w:pPr>
              <w:jc w:val="right"/>
              <w:spacing w:after="0"/>
              <w:rPr>
                <w:sz w:val="20"/>
                <w:szCs w:val="20"/>
                <w:color w:val="auto"/>
              </w:rPr>
            </w:pPr>
            <w:r>
              <w:rPr>
                <w:rFonts w:ascii="Arial" w:cs="Arial" w:eastAsia="Arial" w:hAnsi="Arial"/>
                <w:sz w:val="18"/>
                <w:szCs w:val="18"/>
                <w:color w:val="auto"/>
              </w:rPr>
              <w:t>3.68%</w:t>
            </w:r>
          </w:p>
        </w:tc>
        <w:tc>
          <w:tcPr>
            <w:tcW w:w="1260" w:type="dxa"/>
            <w:vAlign w:val="bottom"/>
          </w:tcPr>
          <w:p>
            <w:pPr>
              <w:ind w:left="20"/>
              <w:spacing w:after="0"/>
              <w:rPr>
                <w:sz w:val="20"/>
                <w:szCs w:val="20"/>
                <w:color w:val="auto"/>
              </w:rPr>
            </w:pPr>
            <w:r>
              <w:rPr>
                <w:rFonts w:ascii="Arial" w:cs="Arial" w:eastAsia="Arial" w:hAnsi="Arial"/>
                <w:sz w:val="18"/>
                <w:szCs w:val="18"/>
                <w:color w:val="auto"/>
              </w:rPr>
              <w:t>- 4.21%</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2.96%</w:t>
            </w:r>
          </w:p>
        </w:tc>
        <w:tc>
          <w:tcPr>
            <w:tcW w:w="1240" w:type="dxa"/>
            <w:vAlign w:val="bottom"/>
          </w:tcPr>
          <w:p>
            <w:pPr>
              <w:ind w:left="20"/>
              <w:spacing w:after="0"/>
              <w:rPr>
                <w:sz w:val="20"/>
                <w:szCs w:val="20"/>
                <w:color w:val="auto"/>
              </w:rPr>
            </w:pPr>
            <w:r>
              <w:rPr>
                <w:rFonts w:ascii="Arial" w:cs="Arial" w:eastAsia="Arial" w:hAnsi="Arial"/>
                <w:sz w:val="18"/>
                <w:szCs w:val="18"/>
                <w:color w:val="auto"/>
              </w:rPr>
              <w:t>- 3.34%</w:t>
            </w:r>
          </w:p>
        </w:tc>
      </w:tr>
    </w:tbl>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3660" w:type="dxa"/>
            <w:vAlign w:val="bottom"/>
            <w:shd w:val="clear" w:color="auto" w:fill="CFF0FC"/>
          </w:tcPr>
          <w:p>
            <w:pPr>
              <w:ind w:left="20"/>
              <w:spacing w:after="0"/>
              <w:rPr>
                <w:sz w:val="20"/>
                <w:szCs w:val="20"/>
                <w:color w:val="auto"/>
              </w:rPr>
            </w:pPr>
            <w:r>
              <w:rPr>
                <w:rFonts w:ascii="Arial" w:cs="Arial" w:eastAsia="Arial" w:hAnsi="Arial"/>
                <w:sz w:val="18"/>
                <w:szCs w:val="18"/>
                <w:color w:val="auto"/>
              </w:rPr>
              <w:t>Expected term (in years)</w:t>
            </w:r>
          </w:p>
        </w:tc>
        <w:tc>
          <w:tcPr>
            <w:tcW w:w="5140" w:type="dxa"/>
            <w:vAlign w:val="bottom"/>
            <w:shd w:val="clear" w:color="auto" w:fill="CFF0FC"/>
          </w:tcPr>
          <w:p>
            <w:pPr>
              <w:jc w:val="right"/>
              <w:ind w:right="950"/>
              <w:spacing w:after="0"/>
              <w:rPr>
                <w:sz w:val="20"/>
                <w:szCs w:val="20"/>
                <w:color w:val="auto"/>
              </w:rPr>
            </w:pPr>
            <w:r>
              <w:rPr>
                <w:rFonts w:ascii="Arial" w:cs="Arial" w:eastAsia="Arial" w:hAnsi="Arial"/>
                <w:sz w:val="18"/>
                <w:szCs w:val="18"/>
                <w:color w:val="auto"/>
              </w:rPr>
              <w:t>6.0 - 6.26</w:t>
            </w:r>
          </w:p>
        </w:tc>
        <w:tc>
          <w:tcPr>
            <w:tcW w:w="2440" w:type="dxa"/>
            <w:vAlign w:val="bottom"/>
            <w:shd w:val="clear" w:color="auto" w:fill="CFF0FC"/>
          </w:tcPr>
          <w:p>
            <w:pPr>
              <w:jc w:val="right"/>
              <w:ind w:right="990"/>
              <w:spacing w:after="0"/>
              <w:rPr>
                <w:sz w:val="20"/>
                <w:szCs w:val="20"/>
                <w:color w:val="auto"/>
              </w:rPr>
            </w:pPr>
            <w:r>
              <w:rPr>
                <w:rFonts w:ascii="Arial" w:cs="Arial" w:eastAsia="Arial" w:hAnsi="Arial"/>
                <w:sz w:val="18"/>
                <w:szCs w:val="18"/>
                <w:color w:val="auto"/>
              </w:rPr>
              <w:t>6.0</w:t>
            </w:r>
          </w:p>
        </w:tc>
      </w:tr>
      <w:tr>
        <w:trPr>
          <w:trHeight w:val="230"/>
        </w:trPr>
        <w:tc>
          <w:tcPr>
            <w:tcW w:w="3660" w:type="dxa"/>
            <w:vAlign w:val="bottom"/>
          </w:tcPr>
          <w:p>
            <w:pPr>
              <w:ind w:left="20"/>
              <w:spacing w:after="0"/>
              <w:rPr>
                <w:sz w:val="20"/>
                <w:szCs w:val="20"/>
                <w:color w:val="auto"/>
              </w:rPr>
            </w:pPr>
            <w:r>
              <w:rPr>
                <w:rFonts w:ascii="Arial" w:cs="Arial" w:eastAsia="Arial" w:hAnsi="Arial"/>
                <w:sz w:val="18"/>
                <w:szCs w:val="18"/>
                <w:color w:val="auto"/>
              </w:rPr>
              <w:t>Expected dividend yield</w:t>
            </w:r>
          </w:p>
        </w:tc>
        <w:tc>
          <w:tcPr>
            <w:tcW w:w="5140" w:type="dxa"/>
            <w:vAlign w:val="bottom"/>
          </w:tcPr>
          <w:p>
            <w:pPr>
              <w:jc w:val="center"/>
              <w:ind w:left="2290"/>
              <w:spacing w:after="0"/>
              <w:rPr>
                <w:sz w:val="20"/>
                <w:szCs w:val="20"/>
                <w:color w:val="auto"/>
              </w:rPr>
            </w:pPr>
            <w:r>
              <w:rPr>
                <w:rFonts w:ascii="Arial" w:cs="Arial" w:eastAsia="Arial" w:hAnsi="Arial"/>
                <w:sz w:val="18"/>
                <w:szCs w:val="18"/>
                <w:color w:val="auto"/>
                <w:w w:val="92"/>
              </w:rPr>
              <w:t>None</w:t>
            </w:r>
          </w:p>
        </w:tc>
        <w:tc>
          <w:tcPr>
            <w:tcW w:w="2440" w:type="dxa"/>
            <w:vAlign w:val="bottom"/>
          </w:tcPr>
          <w:p>
            <w:pPr>
              <w:jc w:val="center"/>
              <w:spacing w:after="0"/>
              <w:rPr>
                <w:sz w:val="20"/>
                <w:szCs w:val="20"/>
                <w:color w:val="auto"/>
              </w:rPr>
            </w:pPr>
            <w:r>
              <w:rPr>
                <w:rFonts w:ascii="Arial" w:cs="Arial" w:eastAsia="Arial" w:hAnsi="Arial"/>
                <w:sz w:val="18"/>
                <w:szCs w:val="18"/>
                <w:color w:val="auto"/>
                <w:w w:val="88"/>
              </w:rPr>
              <w:t>None</w:t>
            </w:r>
          </w:p>
        </w:tc>
      </w:tr>
      <w:tr>
        <w:trPr>
          <w:trHeight w:val="552"/>
        </w:trPr>
        <w:tc>
          <w:tcPr>
            <w:tcW w:w="3660" w:type="dxa"/>
            <w:vAlign w:val="bottom"/>
          </w:tcPr>
          <w:p>
            <w:pPr>
              <w:spacing w:after="0"/>
              <w:rPr>
                <w:sz w:val="24"/>
                <w:szCs w:val="24"/>
                <w:color w:val="auto"/>
              </w:rPr>
            </w:pPr>
          </w:p>
        </w:tc>
        <w:tc>
          <w:tcPr>
            <w:tcW w:w="5140" w:type="dxa"/>
            <w:vAlign w:val="bottom"/>
          </w:tcPr>
          <w:p>
            <w:pPr>
              <w:jc w:val="right"/>
              <w:ind w:right="2990"/>
              <w:spacing w:after="0"/>
              <w:rPr>
                <w:sz w:val="20"/>
                <w:szCs w:val="20"/>
                <w:color w:val="auto"/>
              </w:rPr>
            </w:pPr>
            <w:r>
              <w:rPr>
                <w:rFonts w:ascii="Arial" w:cs="Arial" w:eastAsia="Arial" w:hAnsi="Arial"/>
                <w:sz w:val="18"/>
                <w:szCs w:val="18"/>
                <w:color w:val="auto"/>
              </w:rPr>
              <w:t>17</w:t>
            </w:r>
          </w:p>
        </w:tc>
        <w:tc>
          <w:tcPr>
            <w:tcW w:w="2440" w:type="dxa"/>
            <w:vAlign w:val="bottom"/>
          </w:tcPr>
          <w:p>
            <w:pPr>
              <w:spacing w:after="0"/>
              <w:rPr>
                <w:sz w:val="24"/>
                <w:szCs w:val="24"/>
                <w:color w:val="auto"/>
              </w:rPr>
            </w:pPr>
          </w:p>
        </w:tc>
      </w:tr>
      <w:tr>
        <w:trPr>
          <w:trHeight w:val="101"/>
        </w:trPr>
        <w:tc>
          <w:tcPr>
            <w:tcW w:w="3660" w:type="dxa"/>
            <w:vAlign w:val="bottom"/>
            <w:tcBorders>
              <w:bottom w:val="single" w:sz="8" w:color="9A9A9A"/>
            </w:tcBorders>
          </w:tcPr>
          <w:p>
            <w:pPr>
              <w:spacing w:after="0"/>
              <w:rPr>
                <w:sz w:val="8"/>
                <w:szCs w:val="8"/>
                <w:color w:val="auto"/>
              </w:rPr>
            </w:pPr>
          </w:p>
        </w:tc>
        <w:tc>
          <w:tcPr>
            <w:tcW w:w="5140" w:type="dxa"/>
            <w:vAlign w:val="bottom"/>
            <w:tcBorders>
              <w:bottom w:val="single" w:sz="8" w:color="9A9A9A"/>
            </w:tcBorders>
          </w:tcPr>
          <w:p>
            <w:pPr>
              <w:spacing w:after="0"/>
              <w:rPr>
                <w:sz w:val="8"/>
                <w:szCs w:val="8"/>
                <w:color w:val="auto"/>
              </w:rPr>
            </w:pPr>
          </w:p>
        </w:tc>
        <w:tc>
          <w:tcPr>
            <w:tcW w:w="244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8" w:name="page19"/>
    <w:bookmarkEnd w:id="18"/>
    <w:tbl>
      <w:tblPr>
        <w:tblLayout w:type="fixed"/>
        <w:tblInd w:w="0" w:type="dxa"/>
        <w:tblCellMar>
          <w:top w:w="0" w:type="dxa"/>
          <w:left w:w="0" w:type="dxa"/>
          <w:bottom w:w="0" w:type="dxa"/>
          <w:right w:w="0" w:type="dxa"/>
        </w:tblCellMar>
      </w:tblPr>
      <w:tr>
        <w:trPr>
          <w:trHeight w:val="230"/>
        </w:trPr>
        <w:tc>
          <w:tcPr>
            <w:tcW w:w="418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Stock Options</w:t>
            </w:r>
          </w:p>
        </w:tc>
        <w:tc>
          <w:tcPr>
            <w:tcW w:w="15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6000" w:type="dxa"/>
            <w:vAlign w:val="bottom"/>
            <w:gridSpan w:val="4"/>
          </w:tcPr>
          <w:p>
            <w:pPr>
              <w:spacing w:after="0"/>
              <w:rPr>
                <w:sz w:val="20"/>
                <w:szCs w:val="20"/>
                <w:color w:val="auto"/>
              </w:rPr>
            </w:pPr>
            <w:r>
              <w:rPr>
                <w:rFonts w:ascii="Arial" w:cs="Arial" w:eastAsia="Arial" w:hAnsi="Arial"/>
                <w:sz w:val="18"/>
                <w:szCs w:val="18"/>
                <w:color w:val="231F20"/>
                <w:w w:val="94"/>
              </w:rPr>
              <w:t>A summary of our stock option activity during the period presented is as follows:</w:t>
            </w:r>
          </w:p>
        </w:tc>
        <w:tc>
          <w:tcPr>
            <w:tcW w:w="1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2"/>
        </w:trPr>
        <w:tc>
          <w:tcPr>
            <w:tcW w:w="20" w:type="dxa"/>
            <w:vAlign w:val="bottom"/>
          </w:tcPr>
          <w:p>
            <w:pPr>
              <w:spacing w:after="0"/>
              <w:rPr>
                <w:sz w:val="24"/>
                <w:szCs w:val="24"/>
                <w:color w:val="auto"/>
              </w:rPr>
            </w:pPr>
          </w:p>
        </w:tc>
        <w:tc>
          <w:tcPr>
            <w:tcW w:w="4160" w:type="dxa"/>
            <w:vAlign w:val="bottom"/>
          </w:tcPr>
          <w:p>
            <w:pPr>
              <w:spacing w:after="0"/>
              <w:rPr>
                <w:sz w:val="24"/>
                <w:szCs w:val="24"/>
                <w:color w:val="auto"/>
              </w:rPr>
            </w:pPr>
          </w:p>
        </w:tc>
        <w:tc>
          <w:tcPr>
            <w:tcW w:w="182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Time Vesting</w:t>
            </w:r>
          </w:p>
        </w:tc>
        <w:tc>
          <w:tcPr>
            <w:tcW w:w="182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Performance</w:t>
            </w:r>
          </w:p>
        </w:tc>
        <w:tc>
          <w:tcPr>
            <w:tcW w:w="182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w w:val="98"/>
              </w:rPr>
              <w:t>Total Number of</w:t>
            </w:r>
          </w:p>
        </w:tc>
        <w:tc>
          <w:tcPr>
            <w:tcW w:w="1500" w:type="dxa"/>
            <w:vAlign w:val="bottom"/>
            <w:gridSpan w:val="2"/>
          </w:tcPr>
          <w:p>
            <w:pPr>
              <w:ind w:left="20"/>
              <w:spacing w:after="0"/>
              <w:rPr>
                <w:sz w:val="20"/>
                <w:szCs w:val="20"/>
                <w:color w:val="auto"/>
              </w:rPr>
            </w:pPr>
            <w:r>
              <w:rPr>
                <w:rFonts w:ascii="Arial" w:cs="Arial" w:eastAsia="Arial" w:hAnsi="Arial"/>
                <w:sz w:val="18"/>
                <w:szCs w:val="18"/>
                <w:b w:val="1"/>
                <w:bCs w:val="1"/>
                <w:color w:val="auto"/>
                <w:w w:val="92"/>
              </w:rPr>
              <w:t>Weighted-Average</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4160" w:type="dxa"/>
            <w:vAlign w:val="bottom"/>
          </w:tcPr>
          <w:p>
            <w:pPr>
              <w:spacing w:after="0"/>
              <w:rPr>
                <w:sz w:val="20"/>
                <w:szCs w:val="20"/>
                <w:color w:val="auto"/>
              </w:rPr>
            </w:pPr>
          </w:p>
        </w:tc>
        <w:tc>
          <w:tcPr>
            <w:tcW w:w="1820" w:type="dxa"/>
            <w:vAlign w:val="bottom"/>
            <w:gridSpan w:val="2"/>
          </w:tcPr>
          <w:p>
            <w:pPr>
              <w:jc w:val="right"/>
              <w:ind w:right="720"/>
              <w:spacing w:after="0"/>
              <w:rPr>
                <w:sz w:val="20"/>
                <w:szCs w:val="20"/>
                <w:color w:val="auto"/>
              </w:rPr>
            </w:pPr>
            <w:r>
              <w:rPr>
                <w:rFonts w:ascii="Arial" w:cs="Arial" w:eastAsia="Arial" w:hAnsi="Arial"/>
                <w:sz w:val="18"/>
                <w:szCs w:val="18"/>
                <w:b w:val="1"/>
                <w:bCs w:val="1"/>
                <w:color w:val="auto"/>
              </w:rPr>
              <w:t>Options</w:t>
            </w:r>
          </w:p>
        </w:tc>
        <w:tc>
          <w:tcPr>
            <w:tcW w:w="182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w w:val="99"/>
              </w:rPr>
              <w:t>Vesting Options</w:t>
            </w:r>
          </w:p>
        </w:tc>
        <w:tc>
          <w:tcPr>
            <w:tcW w:w="182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Stock Options</w:t>
            </w:r>
          </w:p>
        </w:tc>
        <w:tc>
          <w:tcPr>
            <w:tcW w:w="140" w:type="dxa"/>
            <w:vAlign w:val="bottom"/>
          </w:tcPr>
          <w:p>
            <w:pPr>
              <w:spacing w:after="0"/>
              <w:rPr>
                <w:sz w:val="20"/>
                <w:szCs w:val="20"/>
                <w:color w:val="auto"/>
              </w:rPr>
            </w:pPr>
          </w:p>
        </w:tc>
        <w:tc>
          <w:tcPr>
            <w:tcW w:w="1360" w:type="dxa"/>
            <w:vAlign w:val="bottom"/>
          </w:tcPr>
          <w:p>
            <w:pPr>
              <w:jc w:val="right"/>
              <w:ind w:right="130"/>
              <w:spacing w:after="0"/>
              <w:rPr>
                <w:sz w:val="20"/>
                <w:szCs w:val="20"/>
                <w:color w:val="auto"/>
              </w:rPr>
            </w:pPr>
            <w:r>
              <w:rPr>
                <w:rFonts w:ascii="Arial" w:cs="Arial" w:eastAsia="Arial" w:hAnsi="Arial"/>
                <w:sz w:val="18"/>
                <w:szCs w:val="18"/>
                <w:b w:val="1"/>
                <w:bCs w:val="1"/>
                <w:color w:val="auto"/>
                <w:w w:val="90"/>
              </w:rPr>
              <w:t>Exercise Price</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160" w:type="dxa"/>
            <w:vAlign w:val="bottom"/>
            <w:shd w:val="clear" w:color="auto" w:fill="CFF0FC"/>
          </w:tcPr>
          <w:p>
            <w:pPr>
              <w:spacing w:after="0"/>
              <w:rPr>
                <w:sz w:val="20"/>
                <w:szCs w:val="20"/>
                <w:color w:val="auto"/>
              </w:rPr>
            </w:pPr>
            <w:r>
              <w:rPr>
                <w:rFonts w:ascii="Arial" w:cs="Arial" w:eastAsia="Arial" w:hAnsi="Arial"/>
                <w:sz w:val="18"/>
                <w:szCs w:val="18"/>
                <w:color w:val="auto"/>
              </w:rPr>
              <w:t>Outstanding as of December 31, 2022</w:t>
            </w:r>
          </w:p>
        </w:tc>
        <w:tc>
          <w:tcPr>
            <w:tcW w:w="15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15,651,622</w:t>
            </w:r>
          </w:p>
        </w:tc>
        <w:tc>
          <w:tcPr>
            <w:tcW w:w="240" w:type="dxa"/>
            <w:vAlign w:val="bottom"/>
            <w:shd w:val="clear" w:color="auto" w:fill="CFF0FC"/>
          </w:tcPr>
          <w:p>
            <w:pPr>
              <w:spacing w:after="0"/>
              <w:rPr>
                <w:sz w:val="21"/>
                <w:szCs w:val="21"/>
                <w:color w:val="auto"/>
              </w:rPr>
            </w:pPr>
          </w:p>
        </w:tc>
        <w:tc>
          <w:tcPr>
            <w:tcW w:w="15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9,882,278</w:t>
            </w:r>
          </w:p>
        </w:tc>
        <w:tc>
          <w:tcPr>
            <w:tcW w:w="240" w:type="dxa"/>
            <w:vAlign w:val="bottom"/>
            <w:shd w:val="clear" w:color="auto" w:fill="CFF0FC"/>
          </w:tcPr>
          <w:p>
            <w:pPr>
              <w:spacing w:after="0"/>
              <w:rPr>
                <w:sz w:val="21"/>
                <w:szCs w:val="21"/>
                <w:color w:val="auto"/>
              </w:rPr>
            </w:pPr>
          </w:p>
        </w:tc>
        <w:tc>
          <w:tcPr>
            <w:tcW w:w="15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25,533,900</w:t>
            </w:r>
          </w:p>
        </w:tc>
        <w:tc>
          <w:tcPr>
            <w:tcW w:w="280" w:type="dxa"/>
            <w:vAlign w:val="bottom"/>
            <w:shd w:val="clear" w:color="auto" w:fill="CFF0FC"/>
          </w:tcPr>
          <w:p>
            <w:pPr>
              <w:spacing w:after="0"/>
              <w:rPr>
                <w:sz w:val="21"/>
                <w:szCs w:val="21"/>
                <w:color w:val="auto"/>
              </w:rPr>
            </w:pPr>
          </w:p>
        </w:tc>
        <w:tc>
          <w:tcPr>
            <w:tcW w:w="1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13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2.31</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4160" w:type="dxa"/>
            <w:vAlign w:val="bottom"/>
          </w:tcPr>
          <w:p>
            <w:pPr>
              <w:ind w:left="100"/>
              <w:spacing w:after="0"/>
              <w:rPr>
                <w:sz w:val="20"/>
                <w:szCs w:val="20"/>
                <w:color w:val="auto"/>
              </w:rPr>
            </w:pPr>
            <w:r>
              <w:rPr>
                <w:rFonts w:ascii="Arial" w:cs="Arial" w:eastAsia="Arial" w:hAnsi="Arial"/>
                <w:sz w:val="18"/>
                <w:szCs w:val="18"/>
                <w:color w:val="auto"/>
              </w:rPr>
              <w:t>Granted</w:t>
            </w:r>
          </w:p>
        </w:tc>
        <w:tc>
          <w:tcPr>
            <w:tcW w:w="1580" w:type="dxa"/>
            <w:vAlign w:val="bottom"/>
          </w:tcPr>
          <w:p>
            <w:pPr>
              <w:jc w:val="right"/>
              <w:spacing w:after="0"/>
              <w:rPr>
                <w:sz w:val="20"/>
                <w:szCs w:val="20"/>
                <w:color w:val="auto"/>
              </w:rPr>
            </w:pPr>
            <w:r>
              <w:rPr>
                <w:rFonts w:ascii="Arial" w:cs="Arial" w:eastAsia="Arial" w:hAnsi="Arial"/>
                <w:sz w:val="18"/>
                <w:szCs w:val="18"/>
                <w:color w:val="auto"/>
              </w:rPr>
              <w:t>1,704,740</w:t>
            </w:r>
          </w:p>
        </w:tc>
        <w:tc>
          <w:tcPr>
            <w:tcW w:w="24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1,704,740</w:t>
            </w: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8.90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4160" w:type="dxa"/>
            <w:vAlign w:val="bottom"/>
            <w:shd w:val="clear" w:color="auto" w:fill="CFF0FC"/>
          </w:tcPr>
          <w:p>
            <w:pPr>
              <w:ind w:left="100"/>
              <w:spacing w:after="0"/>
              <w:rPr>
                <w:sz w:val="20"/>
                <w:szCs w:val="20"/>
                <w:color w:val="auto"/>
              </w:rPr>
            </w:pPr>
            <w:r>
              <w:rPr>
                <w:rFonts w:ascii="Arial" w:cs="Arial" w:eastAsia="Arial" w:hAnsi="Arial"/>
                <w:sz w:val="18"/>
                <w:szCs w:val="18"/>
                <w:color w:val="auto"/>
              </w:rPr>
              <w:t>Exercised</w:t>
            </w:r>
          </w:p>
        </w:tc>
        <w:tc>
          <w:tcPr>
            <w:tcW w:w="18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(4,585,715 )</w:t>
            </w:r>
          </w:p>
        </w:tc>
        <w:tc>
          <w:tcPr>
            <w:tcW w:w="18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(1,729,694 )</w:t>
            </w:r>
          </w:p>
        </w:tc>
        <w:tc>
          <w:tcPr>
            <w:tcW w:w="18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(6,315,409 )</w:t>
            </w:r>
          </w:p>
        </w:tc>
        <w:tc>
          <w:tcPr>
            <w:tcW w:w="14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0.72</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4160" w:type="dxa"/>
            <w:vAlign w:val="bottom"/>
          </w:tcPr>
          <w:p>
            <w:pPr>
              <w:ind w:left="100"/>
              <w:spacing w:after="0"/>
              <w:rPr>
                <w:sz w:val="20"/>
                <w:szCs w:val="20"/>
                <w:color w:val="auto"/>
              </w:rPr>
            </w:pPr>
            <w:r>
              <w:rPr>
                <w:rFonts w:ascii="Arial" w:cs="Arial" w:eastAsia="Arial" w:hAnsi="Arial"/>
                <w:sz w:val="18"/>
                <w:szCs w:val="18"/>
                <w:color w:val="auto"/>
              </w:rPr>
              <w:t>Forfeited</w:t>
            </w:r>
          </w:p>
        </w:tc>
        <w:tc>
          <w:tcPr>
            <w:tcW w:w="1820" w:type="dxa"/>
            <w:vAlign w:val="bottom"/>
            <w:gridSpan w:val="2"/>
          </w:tcPr>
          <w:p>
            <w:pPr>
              <w:jc w:val="right"/>
              <w:ind w:right="160"/>
              <w:spacing w:after="0"/>
              <w:rPr>
                <w:sz w:val="20"/>
                <w:szCs w:val="20"/>
                <w:color w:val="auto"/>
              </w:rPr>
            </w:pPr>
            <w:r>
              <w:rPr>
                <w:rFonts w:ascii="Arial" w:cs="Arial" w:eastAsia="Arial" w:hAnsi="Arial"/>
                <w:sz w:val="18"/>
                <w:szCs w:val="18"/>
                <w:color w:val="auto"/>
              </w:rPr>
              <w:t>(228,332 )</w:t>
            </w:r>
          </w:p>
        </w:tc>
        <w:tc>
          <w:tcPr>
            <w:tcW w:w="1820" w:type="dxa"/>
            <w:vAlign w:val="bottom"/>
            <w:gridSpan w:val="2"/>
          </w:tcPr>
          <w:p>
            <w:pPr>
              <w:jc w:val="right"/>
              <w:ind w:right="160"/>
              <w:spacing w:after="0"/>
              <w:rPr>
                <w:sz w:val="20"/>
                <w:szCs w:val="20"/>
                <w:color w:val="auto"/>
              </w:rPr>
            </w:pPr>
            <w:r>
              <w:rPr>
                <w:rFonts w:ascii="Arial" w:cs="Arial" w:eastAsia="Arial" w:hAnsi="Arial"/>
                <w:sz w:val="18"/>
                <w:szCs w:val="18"/>
                <w:color w:val="auto"/>
              </w:rPr>
              <w:t>(7,682 )</w:t>
            </w:r>
          </w:p>
        </w:tc>
        <w:tc>
          <w:tcPr>
            <w:tcW w:w="1820" w:type="dxa"/>
            <w:vAlign w:val="bottom"/>
            <w:gridSpan w:val="2"/>
          </w:tcPr>
          <w:p>
            <w:pPr>
              <w:jc w:val="right"/>
              <w:ind w:right="200"/>
              <w:spacing w:after="0"/>
              <w:rPr>
                <w:sz w:val="20"/>
                <w:szCs w:val="20"/>
                <w:color w:val="auto"/>
              </w:rPr>
            </w:pPr>
            <w:r>
              <w:rPr>
                <w:rFonts w:ascii="Arial" w:cs="Arial" w:eastAsia="Arial" w:hAnsi="Arial"/>
                <w:sz w:val="18"/>
                <w:szCs w:val="18"/>
                <w:color w:val="auto"/>
              </w:rPr>
              <w:t>(236,014 )</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11.34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41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Outstanding as of September 30, 2023</w:t>
            </w:r>
          </w:p>
        </w:tc>
        <w:tc>
          <w:tcPr>
            <w:tcW w:w="1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12,542,315</w:t>
            </w:r>
          </w:p>
        </w:tc>
        <w:tc>
          <w:tcPr>
            <w:tcW w:w="240" w:type="dxa"/>
            <w:vAlign w:val="bottom"/>
            <w:tcBorders>
              <w:bottom w:val="single" w:sz="8" w:color="CFF0FC"/>
            </w:tcBorders>
            <w:shd w:val="clear" w:color="auto" w:fill="CFF0FC"/>
          </w:tcPr>
          <w:p>
            <w:pPr>
              <w:spacing w:after="0"/>
              <w:rPr>
                <w:sz w:val="24"/>
                <w:szCs w:val="24"/>
                <w:color w:val="auto"/>
              </w:rPr>
            </w:pPr>
          </w:p>
        </w:tc>
        <w:tc>
          <w:tcPr>
            <w:tcW w:w="1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8,144,902</w:t>
            </w:r>
          </w:p>
        </w:tc>
        <w:tc>
          <w:tcPr>
            <w:tcW w:w="240" w:type="dxa"/>
            <w:vAlign w:val="bottom"/>
            <w:tcBorders>
              <w:bottom w:val="single" w:sz="8" w:color="CFF0FC"/>
            </w:tcBorders>
            <w:shd w:val="clear" w:color="auto" w:fill="CFF0FC"/>
          </w:tcPr>
          <w:p>
            <w:pPr>
              <w:spacing w:after="0"/>
              <w:rPr>
                <w:sz w:val="24"/>
                <w:szCs w:val="24"/>
                <w:color w:val="auto"/>
              </w:rPr>
            </w:pPr>
          </w:p>
        </w:tc>
        <w:tc>
          <w:tcPr>
            <w:tcW w:w="15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20,687,217</w:t>
            </w:r>
          </w:p>
        </w:tc>
        <w:tc>
          <w:tcPr>
            <w:tcW w:w="28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3.23</w:t>
            </w:r>
          </w:p>
        </w:tc>
        <w:tc>
          <w:tcPr>
            <w:tcW w:w="10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4160" w:type="dxa"/>
            <w:vAlign w:val="bottom"/>
          </w:tcPr>
          <w:p>
            <w:pPr>
              <w:spacing w:after="0" w:line="195" w:lineRule="exact"/>
              <w:rPr>
                <w:sz w:val="20"/>
                <w:szCs w:val="20"/>
                <w:color w:val="auto"/>
              </w:rPr>
            </w:pPr>
            <w:r>
              <w:rPr>
                <w:rFonts w:ascii="Arial" w:cs="Arial" w:eastAsia="Arial" w:hAnsi="Arial"/>
                <w:sz w:val="18"/>
                <w:szCs w:val="18"/>
                <w:color w:val="auto"/>
                <w:w w:val="93"/>
              </w:rPr>
              <w:t>Options vested or expected to vest as of September 30,</w:t>
            </w:r>
          </w:p>
        </w:tc>
        <w:tc>
          <w:tcPr>
            <w:tcW w:w="1580" w:type="dxa"/>
            <w:vAlign w:val="bottom"/>
            <w:vMerge w:val="restart"/>
          </w:tcPr>
          <w:p>
            <w:pPr>
              <w:jc w:val="right"/>
              <w:spacing w:after="0"/>
              <w:rPr>
                <w:sz w:val="20"/>
                <w:szCs w:val="20"/>
                <w:color w:val="auto"/>
              </w:rPr>
            </w:pPr>
            <w:r>
              <w:rPr>
                <w:rFonts w:ascii="Arial" w:cs="Arial" w:eastAsia="Arial" w:hAnsi="Arial"/>
                <w:sz w:val="18"/>
                <w:szCs w:val="18"/>
                <w:color w:val="auto"/>
              </w:rPr>
              <w:t>11,568,556</w:t>
            </w:r>
          </w:p>
        </w:tc>
        <w:tc>
          <w:tcPr>
            <w:tcW w:w="240" w:type="dxa"/>
            <w:vAlign w:val="bottom"/>
          </w:tcPr>
          <w:p>
            <w:pPr>
              <w:spacing w:after="0"/>
              <w:rPr>
                <w:sz w:val="16"/>
                <w:szCs w:val="16"/>
                <w:color w:val="auto"/>
              </w:rPr>
            </w:pPr>
          </w:p>
        </w:tc>
        <w:tc>
          <w:tcPr>
            <w:tcW w:w="1580" w:type="dxa"/>
            <w:vAlign w:val="bottom"/>
            <w:vMerge w:val="restart"/>
          </w:tcPr>
          <w:p>
            <w:pPr>
              <w:jc w:val="right"/>
              <w:spacing w:after="0"/>
              <w:rPr>
                <w:sz w:val="20"/>
                <w:szCs w:val="20"/>
                <w:color w:val="auto"/>
              </w:rPr>
            </w:pPr>
            <w:r>
              <w:rPr>
                <w:rFonts w:ascii="Arial" w:cs="Arial" w:eastAsia="Arial" w:hAnsi="Arial"/>
                <w:sz w:val="18"/>
                <w:szCs w:val="18"/>
                <w:color w:val="auto"/>
              </w:rPr>
              <w:t>8,144,902</w:t>
            </w:r>
          </w:p>
        </w:tc>
        <w:tc>
          <w:tcPr>
            <w:tcW w:w="240" w:type="dxa"/>
            <w:vAlign w:val="bottom"/>
          </w:tcPr>
          <w:p>
            <w:pPr>
              <w:spacing w:after="0"/>
              <w:rPr>
                <w:sz w:val="16"/>
                <w:szCs w:val="16"/>
                <w:color w:val="auto"/>
              </w:rPr>
            </w:pPr>
          </w:p>
        </w:tc>
        <w:tc>
          <w:tcPr>
            <w:tcW w:w="1540" w:type="dxa"/>
            <w:vAlign w:val="bottom"/>
            <w:vMerge w:val="restart"/>
          </w:tcPr>
          <w:p>
            <w:pPr>
              <w:jc w:val="right"/>
              <w:spacing w:after="0"/>
              <w:rPr>
                <w:sz w:val="20"/>
                <w:szCs w:val="20"/>
                <w:color w:val="auto"/>
              </w:rPr>
            </w:pPr>
            <w:r>
              <w:rPr>
                <w:rFonts w:ascii="Arial" w:cs="Arial" w:eastAsia="Arial" w:hAnsi="Arial"/>
                <w:sz w:val="18"/>
                <w:szCs w:val="18"/>
                <w:color w:val="auto"/>
              </w:rPr>
              <w:t>19,713,458</w:t>
            </w:r>
          </w:p>
        </w:tc>
        <w:tc>
          <w:tcPr>
            <w:tcW w:w="280" w:type="dxa"/>
            <w:vAlign w:val="bottom"/>
          </w:tcPr>
          <w:p>
            <w:pPr>
              <w:spacing w:after="0"/>
              <w:rPr>
                <w:sz w:val="16"/>
                <w:szCs w:val="16"/>
                <w:color w:val="auto"/>
              </w:rPr>
            </w:pPr>
          </w:p>
        </w:tc>
        <w:tc>
          <w:tcPr>
            <w:tcW w:w="140" w:type="dxa"/>
            <w:vAlign w:val="bottom"/>
            <w:vMerge w:val="restart"/>
          </w:tcPr>
          <w:p>
            <w:pPr>
              <w:spacing w:after="0"/>
              <w:rPr>
                <w:sz w:val="20"/>
                <w:szCs w:val="20"/>
                <w:color w:val="auto"/>
              </w:rPr>
            </w:pPr>
            <w:r>
              <w:rPr>
                <w:rFonts w:ascii="Arial" w:cs="Arial" w:eastAsia="Arial" w:hAnsi="Arial"/>
                <w:sz w:val="18"/>
                <w:szCs w:val="18"/>
                <w:color w:val="auto"/>
              </w:rPr>
              <w:t>$</w:t>
            </w:r>
          </w:p>
        </w:tc>
        <w:tc>
          <w:tcPr>
            <w:tcW w:w="1360" w:type="dxa"/>
            <w:vAlign w:val="bottom"/>
            <w:vMerge w:val="restart"/>
          </w:tcPr>
          <w:p>
            <w:pPr>
              <w:jc w:val="right"/>
              <w:spacing w:after="0"/>
              <w:rPr>
                <w:sz w:val="20"/>
                <w:szCs w:val="20"/>
                <w:color w:val="auto"/>
              </w:rPr>
            </w:pPr>
            <w:r>
              <w:rPr>
                <w:rFonts w:ascii="Arial" w:cs="Arial" w:eastAsia="Arial" w:hAnsi="Arial"/>
                <w:sz w:val="18"/>
                <w:szCs w:val="18"/>
                <w:color w:val="auto"/>
              </w:rPr>
              <w:t>7.26</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2"/>
        </w:trPr>
        <w:tc>
          <w:tcPr>
            <w:tcW w:w="4180" w:type="dxa"/>
            <w:vAlign w:val="bottom"/>
            <w:gridSpan w:val="2"/>
            <w:vMerge w:val="restart"/>
          </w:tcPr>
          <w:p>
            <w:pPr>
              <w:ind w:left="20"/>
              <w:spacing w:after="0" w:line="203" w:lineRule="exact"/>
              <w:rPr>
                <w:sz w:val="20"/>
                <w:szCs w:val="20"/>
                <w:color w:val="auto"/>
              </w:rPr>
            </w:pPr>
            <w:r>
              <w:rPr>
                <w:rFonts w:ascii="Arial" w:cs="Arial" w:eastAsia="Arial" w:hAnsi="Arial"/>
                <w:sz w:val="18"/>
                <w:szCs w:val="18"/>
                <w:color w:val="auto"/>
              </w:rPr>
              <w:t>2023</w:t>
            </w:r>
          </w:p>
        </w:tc>
        <w:tc>
          <w:tcPr>
            <w:tcW w:w="1580" w:type="dxa"/>
            <w:vAlign w:val="bottom"/>
            <w:vMerge w:val="continue"/>
          </w:tcPr>
          <w:p>
            <w:pPr>
              <w:spacing w:after="0"/>
              <w:rPr>
                <w:sz w:val="10"/>
                <w:szCs w:val="10"/>
                <w:color w:val="auto"/>
              </w:rPr>
            </w:pPr>
          </w:p>
        </w:tc>
        <w:tc>
          <w:tcPr>
            <w:tcW w:w="240" w:type="dxa"/>
            <w:vAlign w:val="bottom"/>
          </w:tcPr>
          <w:p>
            <w:pPr>
              <w:spacing w:after="0"/>
              <w:rPr>
                <w:sz w:val="10"/>
                <w:szCs w:val="10"/>
                <w:color w:val="auto"/>
              </w:rPr>
            </w:pPr>
          </w:p>
        </w:tc>
        <w:tc>
          <w:tcPr>
            <w:tcW w:w="1580" w:type="dxa"/>
            <w:vAlign w:val="bottom"/>
            <w:vMerge w:val="continue"/>
          </w:tcPr>
          <w:p>
            <w:pPr>
              <w:spacing w:after="0"/>
              <w:rPr>
                <w:sz w:val="10"/>
                <w:szCs w:val="10"/>
                <w:color w:val="auto"/>
              </w:rPr>
            </w:pPr>
          </w:p>
        </w:tc>
        <w:tc>
          <w:tcPr>
            <w:tcW w:w="240" w:type="dxa"/>
            <w:vAlign w:val="bottom"/>
          </w:tcPr>
          <w:p>
            <w:pPr>
              <w:spacing w:after="0"/>
              <w:rPr>
                <w:sz w:val="10"/>
                <w:szCs w:val="10"/>
                <w:color w:val="auto"/>
              </w:rPr>
            </w:pPr>
          </w:p>
        </w:tc>
        <w:tc>
          <w:tcPr>
            <w:tcW w:w="1540" w:type="dxa"/>
            <w:vAlign w:val="bottom"/>
            <w:vMerge w:val="continue"/>
          </w:tcPr>
          <w:p>
            <w:pPr>
              <w:spacing w:after="0"/>
              <w:rPr>
                <w:sz w:val="10"/>
                <w:szCs w:val="10"/>
                <w:color w:val="auto"/>
              </w:rPr>
            </w:pPr>
          </w:p>
        </w:tc>
        <w:tc>
          <w:tcPr>
            <w:tcW w:w="280" w:type="dxa"/>
            <w:vAlign w:val="bottom"/>
          </w:tcPr>
          <w:p>
            <w:pPr>
              <w:spacing w:after="0"/>
              <w:rPr>
                <w:sz w:val="10"/>
                <w:szCs w:val="10"/>
                <w:color w:val="auto"/>
              </w:rPr>
            </w:pPr>
          </w:p>
        </w:tc>
        <w:tc>
          <w:tcPr>
            <w:tcW w:w="140" w:type="dxa"/>
            <w:vAlign w:val="bottom"/>
            <w:vMerge w:val="continue"/>
          </w:tcPr>
          <w:p>
            <w:pPr>
              <w:spacing w:after="0"/>
              <w:rPr>
                <w:sz w:val="10"/>
                <w:szCs w:val="10"/>
                <w:color w:val="auto"/>
              </w:rPr>
            </w:pPr>
          </w:p>
        </w:tc>
        <w:tc>
          <w:tcPr>
            <w:tcW w:w="136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1"/>
        </w:trPr>
        <w:tc>
          <w:tcPr>
            <w:tcW w:w="4180" w:type="dxa"/>
            <w:vAlign w:val="bottom"/>
            <w:gridSpan w:val="2"/>
            <w:vMerge w:val="continue"/>
          </w:tcPr>
          <w:p>
            <w:pPr>
              <w:spacing w:after="0"/>
              <w:rPr>
                <w:sz w:val="7"/>
                <w:szCs w:val="7"/>
                <w:color w:val="auto"/>
              </w:rPr>
            </w:pPr>
          </w:p>
        </w:tc>
        <w:tc>
          <w:tcPr>
            <w:tcW w:w="1580" w:type="dxa"/>
            <w:vAlign w:val="bottom"/>
            <w:tcBorders>
              <w:bottom w:val="single" w:sz="8" w:color="auto"/>
            </w:tcBorders>
          </w:tcPr>
          <w:p>
            <w:pPr>
              <w:spacing w:after="0"/>
              <w:rPr>
                <w:sz w:val="7"/>
                <w:szCs w:val="7"/>
                <w:color w:val="auto"/>
              </w:rPr>
            </w:pPr>
          </w:p>
        </w:tc>
        <w:tc>
          <w:tcPr>
            <w:tcW w:w="240" w:type="dxa"/>
            <w:vAlign w:val="bottom"/>
          </w:tcPr>
          <w:p>
            <w:pPr>
              <w:spacing w:after="0"/>
              <w:rPr>
                <w:sz w:val="7"/>
                <w:szCs w:val="7"/>
                <w:color w:val="auto"/>
              </w:rPr>
            </w:pPr>
          </w:p>
        </w:tc>
        <w:tc>
          <w:tcPr>
            <w:tcW w:w="1580" w:type="dxa"/>
            <w:vAlign w:val="bottom"/>
            <w:tcBorders>
              <w:bottom w:val="single" w:sz="8" w:color="auto"/>
            </w:tcBorders>
          </w:tcPr>
          <w:p>
            <w:pPr>
              <w:spacing w:after="0"/>
              <w:rPr>
                <w:sz w:val="7"/>
                <w:szCs w:val="7"/>
                <w:color w:val="auto"/>
              </w:rPr>
            </w:pPr>
          </w:p>
        </w:tc>
        <w:tc>
          <w:tcPr>
            <w:tcW w:w="240" w:type="dxa"/>
            <w:vAlign w:val="bottom"/>
          </w:tcPr>
          <w:p>
            <w:pPr>
              <w:spacing w:after="0"/>
              <w:rPr>
                <w:sz w:val="7"/>
                <w:szCs w:val="7"/>
                <w:color w:val="auto"/>
              </w:rPr>
            </w:pPr>
          </w:p>
        </w:tc>
        <w:tc>
          <w:tcPr>
            <w:tcW w:w="1540" w:type="dxa"/>
            <w:vAlign w:val="bottom"/>
            <w:tcBorders>
              <w:bottom w:val="single" w:sz="8" w:color="auto"/>
            </w:tcBorders>
          </w:tcPr>
          <w:p>
            <w:pPr>
              <w:spacing w:after="0"/>
              <w:rPr>
                <w:sz w:val="7"/>
                <w:szCs w:val="7"/>
                <w:color w:val="auto"/>
              </w:rPr>
            </w:pPr>
          </w:p>
        </w:tc>
        <w:tc>
          <w:tcPr>
            <w:tcW w:w="280" w:type="dxa"/>
            <w:vAlign w:val="bottom"/>
          </w:tcPr>
          <w:p>
            <w:pPr>
              <w:spacing w:after="0"/>
              <w:rPr>
                <w:sz w:val="7"/>
                <w:szCs w:val="7"/>
                <w:color w:val="auto"/>
              </w:rPr>
            </w:pPr>
          </w:p>
        </w:tc>
        <w:tc>
          <w:tcPr>
            <w:tcW w:w="140" w:type="dxa"/>
            <w:vAlign w:val="bottom"/>
          </w:tcPr>
          <w:p>
            <w:pPr>
              <w:spacing w:after="0"/>
              <w:rPr>
                <w:sz w:val="7"/>
                <w:szCs w:val="7"/>
                <w:color w:val="auto"/>
              </w:rPr>
            </w:pPr>
          </w:p>
        </w:tc>
        <w:tc>
          <w:tcPr>
            <w:tcW w:w="136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20" w:type="dxa"/>
            <w:vAlign w:val="bottom"/>
          </w:tcPr>
          <w:p>
            <w:pPr>
              <w:spacing w:after="0"/>
              <w:rPr>
                <w:sz w:val="22"/>
                <w:szCs w:val="22"/>
                <w:color w:val="auto"/>
              </w:rPr>
            </w:pPr>
          </w:p>
        </w:tc>
        <w:tc>
          <w:tcPr>
            <w:tcW w:w="41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Options exercisable as of September 30, 2023</w:t>
            </w:r>
          </w:p>
        </w:tc>
        <w:tc>
          <w:tcPr>
            <w:tcW w:w="1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8,590,062</w:t>
            </w:r>
          </w:p>
        </w:tc>
        <w:tc>
          <w:tcPr>
            <w:tcW w:w="240" w:type="dxa"/>
            <w:vAlign w:val="bottom"/>
            <w:tcBorders>
              <w:bottom w:val="single" w:sz="8" w:color="CFF0FC"/>
            </w:tcBorders>
            <w:shd w:val="clear" w:color="auto" w:fill="CFF0FC"/>
          </w:tcPr>
          <w:p>
            <w:pPr>
              <w:spacing w:after="0"/>
              <w:rPr>
                <w:sz w:val="22"/>
                <w:szCs w:val="22"/>
                <w:color w:val="auto"/>
              </w:rPr>
            </w:pPr>
          </w:p>
        </w:tc>
        <w:tc>
          <w:tcPr>
            <w:tcW w:w="1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8,144,902</w:t>
            </w:r>
          </w:p>
        </w:tc>
        <w:tc>
          <w:tcPr>
            <w:tcW w:w="240" w:type="dxa"/>
            <w:vAlign w:val="bottom"/>
            <w:tcBorders>
              <w:bottom w:val="single" w:sz="8" w:color="CFF0FC"/>
            </w:tcBorders>
            <w:shd w:val="clear" w:color="auto" w:fill="CFF0FC"/>
          </w:tcPr>
          <w:p>
            <w:pPr>
              <w:spacing w:after="0"/>
              <w:rPr>
                <w:sz w:val="22"/>
                <w:szCs w:val="22"/>
                <w:color w:val="auto"/>
              </w:rPr>
            </w:pPr>
          </w:p>
        </w:tc>
        <w:tc>
          <w:tcPr>
            <w:tcW w:w="1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16,734,964</w:t>
            </w:r>
          </w:p>
        </w:tc>
        <w:tc>
          <w:tcPr>
            <w:tcW w:w="280" w:type="dxa"/>
            <w:vAlign w:val="bottom"/>
            <w:tcBorders>
              <w:bottom w:val="single" w:sz="8" w:color="CFF0FC"/>
            </w:tcBorders>
            <w:shd w:val="clear" w:color="auto" w:fill="CFF0FC"/>
          </w:tcPr>
          <w:p>
            <w:pPr>
              <w:spacing w:after="0"/>
              <w:rPr>
                <w:sz w:val="22"/>
                <w:szCs w:val="22"/>
                <w:color w:val="auto"/>
              </w:rPr>
            </w:pPr>
          </w:p>
        </w:tc>
        <w:tc>
          <w:tcPr>
            <w:tcW w:w="1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1.80</w:t>
            </w:r>
          </w:p>
        </w:tc>
        <w:tc>
          <w:tcPr>
            <w:tcW w:w="100" w:type="dxa"/>
            <w:vAlign w:val="bottom"/>
            <w:tcBorders>
              <w:bottom w:val="single" w:sz="8" w:color="CFF0FC"/>
            </w:tcBorders>
            <w:shd w:val="clear" w:color="auto" w:fill="CFF0FC"/>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3661410</wp:posOffset>
            </wp:positionH>
            <wp:positionV relativeFrom="paragraph">
              <wp:posOffset>-495935</wp:posOffset>
            </wp:positionV>
            <wp:extent cx="2354580" cy="31686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2354580" cy="316865"/>
                    </a:xfrm>
                    <a:prstGeom prst="rect">
                      <a:avLst/>
                    </a:prstGeom>
                    <a:noFill/>
                  </pic:spPr>
                </pic:pic>
              </a:graphicData>
            </a:graphic>
          </wp:anchor>
        </w:drawing>
        <w:drawing>
          <wp:anchor simplePos="0" relativeHeight="251657728" behindDoc="1" locked="0" layoutInCell="0" allowOverlap="1">
            <wp:simplePos x="0" y="0"/>
            <wp:positionH relativeFrom="column">
              <wp:posOffset>3661410</wp:posOffset>
            </wp:positionH>
            <wp:positionV relativeFrom="paragraph">
              <wp:posOffset>-24765</wp:posOffset>
            </wp:positionV>
            <wp:extent cx="76835"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3661410</wp:posOffset>
            </wp:positionH>
            <wp:positionV relativeFrom="paragraph">
              <wp:posOffset>-7620</wp:posOffset>
            </wp:positionV>
            <wp:extent cx="76835"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4817110</wp:posOffset>
            </wp:positionH>
            <wp:positionV relativeFrom="paragraph">
              <wp:posOffset>-24765</wp:posOffset>
            </wp:positionV>
            <wp:extent cx="76835"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4817110</wp:posOffset>
            </wp:positionH>
            <wp:positionV relativeFrom="paragraph">
              <wp:posOffset>-7620</wp:posOffset>
            </wp:positionV>
            <wp:extent cx="76835"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5947410</wp:posOffset>
            </wp:positionH>
            <wp:positionV relativeFrom="paragraph">
              <wp:posOffset>-24765</wp:posOffset>
            </wp:positionV>
            <wp:extent cx="6858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5947410</wp:posOffset>
            </wp:positionH>
            <wp:positionV relativeFrom="paragraph">
              <wp:posOffset>-7620</wp:posOffset>
            </wp:positionV>
            <wp:extent cx="68580"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color w:val="231F20"/>
        </w:rPr>
        <w:t>The number and weighted-average grant date fair value of stock options during the period presented are as follows:</w:t>
      </w:r>
    </w:p>
    <w:p>
      <w:pPr>
        <w:spacing w:after="0" w:line="140" w:lineRule="exact"/>
        <w:rPr>
          <w:sz w:val="20"/>
          <w:szCs w:val="20"/>
          <w:color w:val="auto"/>
        </w:rPr>
      </w:pPr>
    </w:p>
    <w:tbl>
      <w:tblPr>
        <w:tblLayout w:type="fixed"/>
        <w:tblInd w:w="80" w:type="dxa"/>
        <w:tblCellMar>
          <w:top w:w="0" w:type="dxa"/>
          <w:left w:w="0" w:type="dxa"/>
          <w:bottom w:w="0" w:type="dxa"/>
          <w:right w:w="0" w:type="dxa"/>
        </w:tblCellMar>
      </w:tblPr>
      <w:tr>
        <w:trPr>
          <w:trHeight w:val="216"/>
        </w:trPr>
        <w:tc>
          <w:tcPr>
            <w:tcW w:w="41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80" w:type="dxa"/>
            <w:vAlign w:val="bottom"/>
            <w:gridSpan w:val="4"/>
          </w:tcPr>
          <w:p>
            <w:pPr>
              <w:jc w:val="right"/>
              <w:ind w:right="830"/>
              <w:spacing w:after="0"/>
              <w:rPr>
                <w:sz w:val="20"/>
                <w:szCs w:val="20"/>
                <w:color w:val="auto"/>
              </w:rPr>
            </w:pPr>
            <w:r>
              <w:rPr>
                <w:rFonts w:ascii="Arial" w:cs="Arial" w:eastAsia="Arial" w:hAnsi="Arial"/>
                <w:sz w:val="18"/>
                <w:szCs w:val="18"/>
                <w:b w:val="1"/>
                <w:bCs w:val="1"/>
                <w:color w:val="auto"/>
              </w:rPr>
              <w:t>Weighted-Average</w:t>
            </w:r>
          </w:p>
        </w:tc>
        <w:tc>
          <w:tcPr>
            <w:tcW w:w="100" w:type="dxa"/>
            <w:vAlign w:val="bottom"/>
          </w:tcPr>
          <w:p>
            <w:pPr>
              <w:spacing w:after="0"/>
              <w:rPr>
                <w:sz w:val="18"/>
                <w:szCs w:val="18"/>
                <w:color w:val="auto"/>
              </w:rPr>
            </w:pPr>
          </w:p>
        </w:tc>
      </w:tr>
      <w:tr>
        <w:trPr>
          <w:trHeight w:val="241"/>
        </w:trPr>
        <w:tc>
          <w:tcPr>
            <w:tcW w:w="4140" w:type="dxa"/>
            <w:vAlign w:val="bottom"/>
          </w:tcPr>
          <w:p>
            <w:pPr>
              <w:spacing w:after="0"/>
              <w:rPr>
                <w:sz w:val="20"/>
                <w:szCs w:val="20"/>
                <w:color w:val="auto"/>
              </w:rPr>
            </w:pPr>
          </w:p>
        </w:tc>
        <w:tc>
          <w:tcPr>
            <w:tcW w:w="3220" w:type="dxa"/>
            <w:vAlign w:val="bottom"/>
            <w:tcBorders>
              <w:bottom w:val="single" w:sz="8" w:color="auto"/>
            </w:tcBorders>
            <w:gridSpan w:val="3"/>
          </w:tcPr>
          <w:p>
            <w:pPr>
              <w:ind w:left="680"/>
              <w:spacing w:after="0"/>
              <w:rPr>
                <w:sz w:val="20"/>
                <w:szCs w:val="20"/>
                <w:color w:val="auto"/>
              </w:rPr>
            </w:pPr>
            <w:r>
              <w:rPr>
                <w:rFonts w:ascii="Arial" w:cs="Arial" w:eastAsia="Arial" w:hAnsi="Arial"/>
                <w:sz w:val="18"/>
                <w:szCs w:val="18"/>
                <w:b w:val="1"/>
                <w:bCs w:val="1"/>
                <w:color w:val="auto"/>
              </w:rPr>
              <w:t>Number of Stock Options</w:t>
            </w:r>
          </w:p>
        </w:tc>
        <w:tc>
          <w:tcPr>
            <w:tcW w:w="14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3080" w:type="dxa"/>
            <w:vAlign w:val="bottom"/>
            <w:tcBorders>
              <w:bottom w:val="single" w:sz="8" w:color="auto"/>
            </w:tcBorders>
            <w:gridSpan w:val="4"/>
          </w:tcPr>
          <w:p>
            <w:pPr>
              <w:jc w:val="right"/>
              <w:ind w:right="670"/>
              <w:spacing w:after="0"/>
              <w:rPr>
                <w:sz w:val="20"/>
                <w:szCs w:val="20"/>
                <w:color w:val="auto"/>
              </w:rPr>
            </w:pPr>
            <w:r>
              <w:rPr>
                <w:rFonts w:ascii="Arial" w:cs="Arial" w:eastAsia="Arial" w:hAnsi="Arial"/>
                <w:sz w:val="18"/>
                <w:szCs w:val="18"/>
                <w:b w:val="1"/>
                <w:bCs w:val="1"/>
                <w:color w:val="auto"/>
              </w:rPr>
              <w:t>Grant Date Fair Value</w:t>
            </w:r>
          </w:p>
        </w:tc>
        <w:tc>
          <w:tcPr>
            <w:tcW w:w="100" w:type="dxa"/>
            <w:vAlign w:val="bottom"/>
          </w:tcPr>
          <w:p>
            <w:pPr>
              <w:spacing w:after="0"/>
              <w:rPr>
                <w:sz w:val="20"/>
                <w:szCs w:val="20"/>
                <w:color w:val="auto"/>
              </w:rPr>
            </w:pPr>
          </w:p>
        </w:tc>
      </w:tr>
      <w:tr>
        <w:trPr>
          <w:trHeight w:val="211"/>
        </w:trPr>
        <w:tc>
          <w:tcPr>
            <w:tcW w:w="4140" w:type="dxa"/>
            <w:vAlign w:val="bottom"/>
          </w:tcPr>
          <w:p>
            <w:pPr>
              <w:spacing w:after="0"/>
              <w:rPr>
                <w:sz w:val="18"/>
                <w:szCs w:val="18"/>
                <w:color w:val="auto"/>
              </w:rPr>
            </w:pPr>
          </w:p>
        </w:tc>
        <w:tc>
          <w:tcPr>
            <w:tcW w:w="1560" w:type="dxa"/>
            <w:vAlign w:val="bottom"/>
          </w:tcPr>
          <w:p>
            <w:pPr>
              <w:jc w:val="right"/>
              <w:ind w:right="230"/>
              <w:spacing w:after="0"/>
              <w:rPr>
                <w:sz w:val="20"/>
                <w:szCs w:val="20"/>
                <w:color w:val="auto"/>
              </w:rPr>
            </w:pPr>
            <w:r>
              <w:rPr>
                <w:rFonts w:ascii="Arial" w:cs="Arial" w:eastAsia="Arial" w:hAnsi="Arial"/>
                <w:sz w:val="18"/>
                <w:szCs w:val="18"/>
                <w:b w:val="1"/>
                <w:bCs w:val="1"/>
                <w:color w:val="auto"/>
              </w:rPr>
              <w:t>Time Vesting</w:t>
            </w:r>
          </w:p>
        </w:tc>
        <w:tc>
          <w:tcPr>
            <w:tcW w:w="240" w:type="dxa"/>
            <w:vAlign w:val="bottom"/>
          </w:tcPr>
          <w:p>
            <w:pPr>
              <w:spacing w:after="0"/>
              <w:rPr>
                <w:sz w:val="18"/>
                <w:szCs w:val="18"/>
                <w:color w:val="auto"/>
              </w:rPr>
            </w:pPr>
          </w:p>
        </w:tc>
        <w:tc>
          <w:tcPr>
            <w:tcW w:w="1420" w:type="dxa"/>
            <w:vAlign w:val="bottom"/>
          </w:tcPr>
          <w:p>
            <w:pPr>
              <w:jc w:val="center"/>
              <w:spacing w:after="0"/>
              <w:rPr>
                <w:sz w:val="20"/>
                <w:szCs w:val="20"/>
                <w:color w:val="auto"/>
              </w:rPr>
            </w:pPr>
            <w:r>
              <w:rPr>
                <w:rFonts w:ascii="Arial" w:cs="Arial" w:eastAsia="Arial" w:hAnsi="Arial"/>
                <w:sz w:val="18"/>
                <w:szCs w:val="18"/>
                <w:b w:val="1"/>
                <w:bCs w:val="1"/>
                <w:color w:val="auto"/>
                <w:w w:val="90"/>
              </w:rPr>
              <w:t>Performance</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jc w:val="right"/>
              <w:ind w:right="170"/>
              <w:spacing w:after="0"/>
              <w:rPr>
                <w:sz w:val="20"/>
                <w:szCs w:val="20"/>
                <w:color w:val="auto"/>
              </w:rPr>
            </w:pPr>
            <w:r>
              <w:rPr>
                <w:rFonts w:ascii="Arial" w:cs="Arial" w:eastAsia="Arial" w:hAnsi="Arial"/>
                <w:sz w:val="18"/>
                <w:szCs w:val="18"/>
                <w:b w:val="1"/>
                <w:bCs w:val="1"/>
                <w:color w:val="auto"/>
                <w:w w:val="92"/>
              </w:rPr>
              <w:t>Time Vesting</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jc w:val="right"/>
              <w:ind w:right="190"/>
              <w:spacing w:after="0"/>
              <w:rPr>
                <w:sz w:val="20"/>
                <w:szCs w:val="20"/>
                <w:color w:val="auto"/>
              </w:rPr>
            </w:pPr>
            <w:r>
              <w:rPr>
                <w:rFonts w:ascii="Arial" w:cs="Arial" w:eastAsia="Arial" w:hAnsi="Arial"/>
                <w:sz w:val="18"/>
                <w:szCs w:val="18"/>
                <w:b w:val="1"/>
                <w:bCs w:val="1"/>
                <w:color w:val="auto"/>
                <w:w w:val="98"/>
              </w:rPr>
              <w:t>Performance</w:t>
            </w:r>
          </w:p>
        </w:tc>
        <w:tc>
          <w:tcPr>
            <w:tcW w:w="100" w:type="dxa"/>
            <w:vAlign w:val="bottom"/>
          </w:tcPr>
          <w:p>
            <w:pPr>
              <w:spacing w:after="0"/>
              <w:rPr>
                <w:sz w:val="18"/>
                <w:szCs w:val="18"/>
                <w:color w:val="auto"/>
              </w:rPr>
            </w:pPr>
          </w:p>
        </w:tc>
      </w:tr>
      <w:tr>
        <w:trPr>
          <w:trHeight w:val="241"/>
        </w:trPr>
        <w:tc>
          <w:tcPr>
            <w:tcW w:w="4140" w:type="dxa"/>
            <w:vAlign w:val="bottom"/>
          </w:tcPr>
          <w:p>
            <w:pPr>
              <w:spacing w:after="0"/>
              <w:rPr>
                <w:sz w:val="20"/>
                <w:szCs w:val="20"/>
                <w:color w:val="auto"/>
              </w:rPr>
            </w:pPr>
          </w:p>
        </w:tc>
        <w:tc>
          <w:tcPr>
            <w:tcW w:w="156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Options</w:t>
            </w:r>
          </w:p>
        </w:tc>
        <w:tc>
          <w:tcPr>
            <w:tcW w:w="240" w:type="dxa"/>
            <w:vAlign w:val="bottom"/>
          </w:tcPr>
          <w:p>
            <w:pPr>
              <w:spacing w:after="0"/>
              <w:rPr>
                <w:sz w:val="20"/>
                <w:szCs w:val="20"/>
                <w:color w:val="auto"/>
              </w:rPr>
            </w:pPr>
          </w:p>
        </w:tc>
        <w:tc>
          <w:tcPr>
            <w:tcW w:w="1420" w:type="dxa"/>
            <w:vAlign w:val="bottom"/>
            <w:tcBorders>
              <w:bottom w:val="single" w:sz="8" w:color="auto"/>
            </w:tcBorders>
          </w:tcPr>
          <w:p>
            <w:pPr>
              <w:jc w:val="center"/>
              <w:ind w:left="30"/>
              <w:spacing w:after="0"/>
              <w:rPr>
                <w:sz w:val="20"/>
                <w:szCs w:val="20"/>
                <w:color w:val="auto"/>
              </w:rPr>
            </w:pPr>
            <w:r>
              <w:rPr>
                <w:rFonts w:ascii="Arial" w:cs="Arial" w:eastAsia="Arial" w:hAnsi="Arial"/>
                <w:sz w:val="18"/>
                <w:szCs w:val="18"/>
                <w:b w:val="1"/>
                <w:bCs w:val="1"/>
                <w:color w:val="auto"/>
                <w:w w:val="88"/>
              </w:rPr>
              <w:t>Vesting Options</w:t>
            </w:r>
          </w:p>
        </w:tc>
        <w:tc>
          <w:tcPr>
            <w:tcW w:w="14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Options</w:t>
            </w:r>
          </w:p>
        </w:tc>
        <w:tc>
          <w:tcPr>
            <w:tcW w:w="2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88"/>
              </w:rPr>
              <w:t>Vesting Options</w:t>
            </w:r>
          </w:p>
        </w:tc>
        <w:tc>
          <w:tcPr>
            <w:tcW w:w="100" w:type="dxa"/>
            <w:vAlign w:val="bottom"/>
          </w:tcPr>
          <w:p>
            <w:pPr>
              <w:spacing w:after="0"/>
              <w:rPr>
                <w:sz w:val="20"/>
                <w:szCs w:val="20"/>
                <w:color w:val="auto"/>
              </w:rPr>
            </w:pPr>
          </w:p>
        </w:tc>
      </w:tr>
      <w:tr>
        <w:trPr>
          <w:trHeight w:val="243"/>
        </w:trPr>
        <w:tc>
          <w:tcPr>
            <w:tcW w:w="4140" w:type="dxa"/>
            <w:vAlign w:val="bottom"/>
            <w:shd w:val="clear" w:color="auto" w:fill="CFF0FC"/>
          </w:tcPr>
          <w:p>
            <w:pPr>
              <w:spacing w:after="0"/>
              <w:rPr>
                <w:sz w:val="20"/>
                <w:szCs w:val="20"/>
                <w:color w:val="auto"/>
              </w:rPr>
            </w:pPr>
            <w:r>
              <w:rPr>
                <w:rFonts w:ascii="Arial" w:cs="Arial" w:eastAsia="Arial" w:hAnsi="Arial"/>
                <w:sz w:val="18"/>
                <w:szCs w:val="18"/>
                <w:color w:val="auto"/>
              </w:rPr>
              <w:t>Non-vested as of December 31, 2022</w:t>
            </w: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3,704,919</w:t>
            </w:r>
          </w:p>
        </w:tc>
        <w:tc>
          <w:tcPr>
            <w:tcW w:w="240" w:type="dxa"/>
            <w:vAlign w:val="bottom"/>
            <w:shd w:val="clear" w:color="auto" w:fill="CFF0FC"/>
          </w:tcPr>
          <w:p>
            <w:pPr>
              <w:spacing w:after="0"/>
              <w:rPr>
                <w:sz w:val="21"/>
                <w:szCs w:val="21"/>
                <w:color w:val="auto"/>
              </w:rPr>
            </w:pPr>
          </w:p>
        </w:tc>
        <w:tc>
          <w:tcPr>
            <w:tcW w:w="1420" w:type="dxa"/>
            <w:vAlign w:val="bottom"/>
            <w:shd w:val="clear" w:color="auto" w:fill="CFF0FC"/>
          </w:tcPr>
          <w:p>
            <w:pPr>
              <w:spacing w:after="0"/>
              <w:rPr>
                <w:sz w:val="21"/>
                <w:szCs w:val="21"/>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21"/>
                <w:szCs w:val="21"/>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3.90</w:t>
            </w:r>
          </w:p>
        </w:tc>
        <w:tc>
          <w:tcPr>
            <w:tcW w:w="280" w:type="dxa"/>
            <w:vAlign w:val="bottom"/>
            <w:shd w:val="clear" w:color="auto" w:fill="CFF0FC"/>
          </w:tcPr>
          <w:p>
            <w:pPr>
              <w:spacing w:after="0"/>
              <w:rPr>
                <w:sz w:val="21"/>
                <w:szCs w:val="21"/>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1"/>
                <w:szCs w:val="21"/>
                <w:color w:val="auto"/>
              </w:rPr>
            </w:pPr>
          </w:p>
        </w:tc>
      </w:tr>
      <w:tr>
        <w:trPr>
          <w:trHeight w:val="236"/>
        </w:trPr>
        <w:tc>
          <w:tcPr>
            <w:tcW w:w="4140" w:type="dxa"/>
            <w:vAlign w:val="bottom"/>
          </w:tcPr>
          <w:p>
            <w:pPr>
              <w:spacing w:after="0"/>
              <w:rPr>
                <w:sz w:val="20"/>
                <w:szCs w:val="20"/>
                <w:color w:val="auto"/>
              </w:rPr>
            </w:pPr>
            <w:r>
              <w:rPr>
                <w:rFonts w:ascii="Arial" w:cs="Arial" w:eastAsia="Arial" w:hAnsi="Arial"/>
                <w:sz w:val="18"/>
                <w:szCs w:val="18"/>
                <w:color w:val="auto"/>
              </w:rPr>
              <w:t>Non-vested as of September 30, 2023</w:t>
            </w:r>
          </w:p>
        </w:tc>
        <w:tc>
          <w:tcPr>
            <w:tcW w:w="1560" w:type="dxa"/>
            <w:vAlign w:val="bottom"/>
          </w:tcPr>
          <w:p>
            <w:pPr>
              <w:jc w:val="right"/>
              <w:spacing w:after="0"/>
              <w:rPr>
                <w:sz w:val="20"/>
                <w:szCs w:val="20"/>
                <w:color w:val="auto"/>
              </w:rPr>
            </w:pPr>
            <w:r>
              <w:rPr>
                <w:rFonts w:ascii="Arial" w:cs="Arial" w:eastAsia="Arial" w:hAnsi="Arial"/>
                <w:sz w:val="18"/>
                <w:szCs w:val="18"/>
                <w:color w:val="auto"/>
              </w:rPr>
              <w:t>3,952,253</w:t>
            </w:r>
          </w:p>
        </w:tc>
        <w:tc>
          <w:tcPr>
            <w:tcW w:w="24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4.26</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r>
      <w:tr>
        <w:trPr>
          <w:trHeight w:val="249"/>
        </w:trPr>
        <w:tc>
          <w:tcPr>
            <w:tcW w:w="4140" w:type="dxa"/>
            <w:vAlign w:val="bottom"/>
            <w:shd w:val="clear" w:color="auto" w:fill="CFF0FC"/>
          </w:tcPr>
          <w:p>
            <w:pPr>
              <w:spacing w:after="0"/>
              <w:rPr>
                <w:sz w:val="20"/>
                <w:szCs w:val="20"/>
                <w:color w:val="auto"/>
              </w:rPr>
            </w:pPr>
            <w:r>
              <w:rPr>
                <w:rFonts w:ascii="Arial" w:cs="Arial" w:eastAsia="Arial" w:hAnsi="Arial"/>
                <w:sz w:val="18"/>
                <w:szCs w:val="18"/>
                <w:color w:val="auto"/>
              </w:rPr>
              <w:t>Granted during the period</w:t>
            </w: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1,704,740</w:t>
            </w:r>
          </w:p>
        </w:tc>
        <w:tc>
          <w:tcPr>
            <w:tcW w:w="240" w:type="dxa"/>
            <w:vAlign w:val="bottom"/>
            <w:shd w:val="clear" w:color="auto" w:fill="CFF0FC"/>
          </w:tcPr>
          <w:p>
            <w:pPr>
              <w:spacing w:after="0"/>
              <w:rPr>
                <w:sz w:val="21"/>
                <w:szCs w:val="21"/>
                <w:color w:val="auto"/>
              </w:rPr>
            </w:pPr>
          </w:p>
        </w:tc>
        <w:tc>
          <w:tcPr>
            <w:tcW w:w="1420" w:type="dxa"/>
            <w:vAlign w:val="bottom"/>
            <w:shd w:val="clear" w:color="auto" w:fill="CFF0FC"/>
          </w:tcPr>
          <w:p>
            <w:pPr>
              <w:spacing w:after="0"/>
              <w:rPr>
                <w:sz w:val="21"/>
                <w:szCs w:val="21"/>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4.36</w:t>
            </w:r>
          </w:p>
        </w:tc>
        <w:tc>
          <w:tcPr>
            <w:tcW w:w="3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1"/>
                <w:szCs w:val="21"/>
                <w:color w:val="auto"/>
              </w:rPr>
            </w:pPr>
          </w:p>
        </w:tc>
      </w:tr>
      <w:tr>
        <w:trPr>
          <w:trHeight w:val="236"/>
        </w:trPr>
        <w:tc>
          <w:tcPr>
            <w:tcW w:w="4140" w:type="dxa"/>
            <w:vAlign w:val="bottom"/>
          </w:tcPr>
          <w:p>
            <w:pPr>
              <w:spacing w:after="0"/>
              <w:rPr>
                <w:sz w:val="20"/>
                <w:szCs w:val="20"/>
                <w:color w:val="auto"/>
              </w:rPr>
            </w:pPr>
            <w:r>
              <w:rPr>
                <w:rFonts w:ascii="Arial" w:cs="Arial" w:eastAsia="Arial" w:hAnsi="Arial"/>
                <w:sz w:val="18"/>
                <w:szCs w:val="18"/>
                <w:color w:val="auto"/>
              </w:rPr>
              <w:t>Vested during the period</w:t>
            </w:r>
          </w:p>
        </w:tc>
        <w:tc>
          <w:tcPr>
            <w:tcW w:w="1560" w:type="dxa"/>
            <w:vAlign w:val="bottom"/>
          </w:tcPr>
          <w:p>
            <w:pPr>
              <w:jc w:val="right"/>
              <w:spacing w:after="0"/>
              <w:rPr>
                <w:sz w:val="20"/>
                <w:szCs w:val="20"/>
                <w:color w:val="auto"/>
              </w:rPr>
            </w:pPr>
            <w:r>
              <w:rPr>
                <w:rFonts w:ascii="Arial" w:cs="Arial" w:eastAsia="Arial" w:hAnsi="Arial"/>
                <w:sz w:val="18"/>
                <w:szCs w:val="18"/>
                <w:color w:val="auto"/>
              </w:rPr>
              <w:t>1,266,754</w:t>
            </w:r>
          </w:p>
        </w:tc>
        <w:tc>
          <w:tcPr>
            <w:tcW w:w="24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3.24</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r>
      <w:tr>
        <w:trPr>
          <w:trHeight w:val="249"/>
        </w:trPr>
        <w:tc>
          <w:tcPr>
            <w:tcW w:w="4140" w:type="dxa"/>
            <w:vAlign w:val="bottom"/>
            <w:shd w:val="clear" w:color="auto" w:fill="CFF0FC"/>
          </w:tcPr>
          <w:p>
            <w:pPr>
              <w:spacing w:after="0"/>
              <w:rPr>
                <w:sz w:val="20"/>
                <w:szCs w:val="20"/>
                <w:color w:val="auto"/>
              </w:rPr>
            </w:pPr>
            <w:r>
              <w:rPr>
                <w:rFonts w:ascii="Arial" w:cs="Arial" w:eastAsia="Arial" w:hAnsi="Arial"/>
                <w:sz w:val="18"/>
                <w:szCs w:val="18"/>
                <w:color w:val="auto"/>
              </w:rPr>
              <w:t>Forfeited/canceled during the period</w:t>
            </w: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190,652</w:t>
            </w:r>
          </w:p>
        </w:tc>
        <w:tc>
          <w:tcPr>
            <w:tcW w:w="240" w:type="dxa"/>
            <w:vAlign w:val="bottom"/>
            <w:shd w:val="clear" w:color="auto" w:fill="CFF0FC"/>
          </w:tcPr>
          <w:p>
            <w:pPr>
              <w:spacing w:after="0"/>
              <w:rPr>
                <w:sz w:val="21"/>
                <w:szCs w:val="21"/>
                <w:color w:val="auto"/>
              </w:rPr>
            </w:pPr>
          </w:p>
        </w:tc>
        <w:tc>
          <w:tcPr>
            <w:tcW w:w="1420" w:type="dxa"/>
            <w:vAlign w:val="bottom"/>
            <w:shd w:val="clear" w:color="auto" w:fill="CFF0FC"/>
          </w:tcPr>
          <w:p>
            <w:pPr>
              <w:spacing w:after="0"/>
              <w:rPr>
                <w:sz w:val="21"/>
                <w:szCs w:val="21"/>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5.18</w:t>
            </w:r>
          </w:p>
        </w:tc>
        <w:tc>
          <w:tcPr>
            <w:tcW w:w="3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1"/>
                <w:szCs w:val="21"/>
                <w:color w:val="auto"/>
              </w:rPr>
            </w:pPr>
          </w:p>
        </w:tc>
      </w:tr>
    </w:tbl>
    <w:p>
      <w:pPr>
        <w:spacing w:after="0" w:line="107"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231F20"/>
        </w:rPr>
        <w:t>We granted 1,704,740 Time Vesting Options with a grant date fair value of $7,425 during the nine months ended September 30, 2023. There were no Performance Vesting Options granted during the nine months ended September 30, 2023.</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231F20"/>
        </w:rPr>
        <w:t xml:space="preserve">The fair value of shares attributable to stock options that vested during the nine months ended September 30, 2023 was </w:t>
      </w:r>
      <w:r>
        <w:rPr>
          <w:rFonts w:ascii="Arial" w:cs="Arial" w:eastAsia="Arial" w:hAnsi="Arial"/>
          <w:sz w:val="18"/>
          <w:szCs w:val="18"/>
          <w:color w:val="000000"/>
        </w:rPr>
        <w:t>$10,257</w:t>
      </w:r>
      <w:r>
        <w:rPr>
          <w:rFonts w:ascii="Arial" w:cs="Arial" w:eastAsia="Arial" w:hAnsi="Arial"/>
          <w:sz w:val="18"/>
          <w:szCs w:val="18"/>
          <w:color w:val="231F20"/>
        </w:rPr>
        <w: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231F20"/>
        </w:rPr>
        <w:t>As of September 30, 2023, the weighted-average remaining contractual life of outstanding stock options was approximately 3.9 years.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18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Restricted Stock Units</w:t>
            </w:r>
          </w:p>
        </w:tc>
        <w:tc>
          <w:tcPr>
            <w:tcW w:w="23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24"/>
        </w:trPr>
        <w:tc>
          <w:tcPr>
            <w:tcW w:w="6180" w:type="dxa"/>
            <w:vAlign w:val="bottom"/>
            <w:gridSpan w:val="2"/>
          </w:tcPr>
          <w:p>
            <w:pPr>
              <w:spacing w:after="0"/>
              <w:rPr>
                <w:sz w:val="20"/>
                <w:szCs w:val="20"/>
                <w:color w:val="auto"/>
              </w:rPr>
            </w:pPr>
            <w:r>
              <w:rPr>
                <w:rFonts w:ascii="Arial" w:cs="Arial" w:eastAsia="Arial" w:hAnsi="Arial"/>
                <w:sz w:val="18"/>
                <w:szCs w:val="18"/>
                <w:color w:val="231F20"/>
              </w:rPr>
              <w:t>The following table summarizes our RSU activity since December 31, 2022:</w:t>
            </w:r>
          </w:p>
        </w:tc>
        <w:tc>
          <w:tcPr>
            <w:tcW w:w="2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32"/>
        </w:trPr>
        <w:tc>
          <w:tcPr>
            <w:tcW w:w="20" w:type="dxa"/>
            <w:vAlign w:val="bottom"/>
          </w:tcPr>
          <w:p>
            <w:pPr>
              <w:spacing w:after="0"/>
              <w:rPr>
                <w:sz w:val="24"/>
                <w:szCs w:val="24"/>
                <w:color w:val="auto"/>
              </w:rPr>
            </w:pPr>
          </w:p>
        </w:tc>
        <w:tc>
          <w:tcPr>
            <w:tcW w:w="616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140" w:type="dxa"/>
            <w:vAlign w:val="bottom"/>
          </w:tcPr>
          <w:p>
            <w:pPr>
              <w:jc w:val="right"/>
              <w:ind w:right="110"/>
              <w:spacing w:after="0"/>
              <w:rPr>
                <w:sz w:val="20"/>
                <w:szCs w:val="20"/>
                <w:color w:val="auto"/>
              </w:rPr>
            </w:pPr>
            <w:r>
              <w:rPr>
                <w:rFonts w:ascii="Arial" w:cs="Arial" w:eastAsia="Arial" w:hAnsi="Arial"/>
                <w:sz w:val="18"/>
                <w:szCs w:val="18"/>
                <w:b w:val="1"/>
                <w:bCs w:val="1"/>
                <w:color w:val="auto"/>
                <w:w w:val="90"/>
              </w:rPr>
              <w:t>Weighted-Average Grant</w:t>
            </w:r>
          </w:p>
        </w:tc>
        <w:tc>
          <w:tcPr>
            <w:tcW w:w="100" w:type="dxa"/>
            <w:vAlign w:val="bottom"/>
          </w:tcPr>
          <w:p>
            <w:pPr>
              <w:spacing w:after="0"/>
              <w:rPr>
                <w:sz w:val="24"/>
                <w:szCs w:val="24"/>
                <w:color w:val="auto"/>
              </w:rPr>
            </w:pPr>
          </w:p>
        </w:tc>
      </w:tr>
      <w:tr>
        <w:trPr>
          <w:trHeight w:val="241"/>
        </w:trPr>
        <w:tc>
          <w:tcPr>
            <w:tcW w:w="20" w:type="dxa"/>
            <w:vAlign w:val="bottom"/>
          </w:tcPr>
          <w:p>
            <w:pPr>
              <w:spacing w:after="0"/>
              <w:rPr>
                <w:sz w:val="20"/>
                <w:szCs w:val="20"/>
                <w:color w:val="auto"/>
              </w:rPr>
            </w:pPr>
          </w:p>
        </w:tc>
        <w:tc>
          <w:tcPr>
            <w:tcW w:w="6160" w:type="dxa"/>
            <w:vAlign w:val="bottom"/>
          </w:tcPr>
          <w:p>
            <w:pPr>
              <w:spacing w:after="0"/>
              <w:rPr>
                <w:sz w:val="20"/>
                <w:szCs w:val="20"/>
                <w:color w:val="auto"/>
              </w:rPr>
            </w:pPr>
          </w:p>
        </w:tc>
        <w:tc>
          <w:tcPr>
            <w:tcW w:w="2680" w:type="dxa"/>
            <w:vAlign w:val="bottom"/>
            <w:gridSpan w:val="2"/>
          </w:tcPr>
          <w:p>
            <w:pPr>
              <w:jc w:val="right"/>
              <w:ind w:right="660"/>
              <w:spacing w:after="0"/>
              <w:rPr>
                <w:sz w:val="20"/>
                <w:szCs w:val="20"/>
                <w:color w:val="auto"/>
              </w:rPr>
            </w:pPr>
            <w:r>
              <w:rPr>
                <w:rFonts w:ascii="Arial" w:cs="Arial" w:eastAsia="Arial" w:hAnsi="Arial"/>
                <w:sz w:val="18"/>
                <w:szCs w:val="18"/>
                <w:b w:val="1"/>
                <w:bCs w:val="1"/>
                <w:color w:val="auto"/>
              </w:rPr>
              <w:t>Restricted Stock Units</w:t>
            </w:r>
          </w:p>
        </w:tc>
        <w:tc>
          <w:tcPr>
            <w:tcW w:w="140" w:type="dxa"/>
            <w:vAlign w:val="bottom"/>
          </w:tcPr>
          <w:p>
            <w:pPr>
              <w:spacing w:after="0"/>
              <w:rPr>
                <w:sz w:val="20"/>
                <w:szCs w:val="20"/>
                <w:color w:val="auto"/>
              </w:rPr>
            </w:pPr>
          </w:p>
        </w:tc>
        <w:tc>
          <w:tcPr>
            <w:tcW w:w="2140" w:type="dxa"/>
            <w:vAlign w:val="bottom"/>
          </w:tcPr>
          <w:p>
            <w:pPr>
              <w:jc w:val="right"/>
              <w:ind w:right="450"/>
              <w:spacing w:after="0"/>
              <w:rPr>
                <w:sz w:val="20"/>
                <w:szCs w:val="20"/>
                <w:color w:val="auto"/>
              </w:rPr>
            </w:pPr>
            <w:r>
              <w:rPr>
                <w:rFonts w:ascii="Arial" w:cs="Arial" w:eastAsia="Arial" w:hAnsi="Arial"/>
                <w:sz w:val="18"/>
                <w:szCs w:val="18"/>
                <w:b w:val="1"/>
                <w:bCs w:val="1"/>
                <w:color w:val="auto"/>
              </w:rPr>
              <w:t>Date Fair Value</w:t>
            </w:r>
          </w:p>
        </w:tc>
        <w:tc>
          <w:tcPr>
            <w:tcW w:w="100" w:type="dxa"/>
            <w:vAlign w:val="bottom"/>
          </w:tcPr>
          <w:p>
            <w:pPr>
              <w:spacing w:after="0"/>
              <w:rPr>
                <w:sz w:val="20"/>
                <w:szCs w:val="20"/>
                <w:color w:val="auto"/>
              </w:rPr>
            </w:pPr>
          </w:p>
        </w:tc>
      </w:tr>
      <w:tr>
        <w:trPr>
          <w:trHeight w:val="243"/>
        </w:trPr>
        <w:tc>
          <w:tcPr>
            <w:tcW w:w="20" w:type="dxa"/>
            <w:vAlign w:val="bottom"/>
          </w:tcPr>
          <w:p>
            <w:pPr>
              <w:spacing w:after="0"/>
              <w:rPr>
                <w:sz w:val="21"/>
                <w:szCs w:val="21"/>
                <w:color w:val="auto"/>
              </w:rPr>
            </w:pPr>
          </w:p>
        </w:tc>
        <w:tc>
          <w:tcPr>
            <w:tcW w:w="6160" w:type="dxa"/>
            <w:vAlign w:val="bottom"/>
            <w:shd w:val="clear" w:color="auto" w:fill="CFF0FC"/>
          </w:tcPr>
          <w:p>
            <w:pPr>
              <w:spacing w:after="0"/>
              <w:rPr>
                <w:sz w:val="20"/>
                <w:szCs w:val="20"/>
                <w:color w:val="auto"/>
              </w:rPr>
            </w:pPr>
            <w:r>
              <w:rPr>
                <w:rFonts w:ascii="Arial" w:cs="Arial" w:eastAsia="Arial" w:hAnsi="Arial"/>
                <w:sz w:val="18"/>
                <w:szCs w:val="18"/>
                <w:color w:val="auto"/>
              </w:rPr>
              <w:t>Unvested as of December 31, 2022</w:t>
            </w:r>
          </w:p>
        </w:tc>
        <w:tc>
          <w:tcPr>
            <w:tcW w:w="23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2,075,859</w:t>
            </w:r>
          </w:p>
        </w:tc>
        <w:tc>
          <w:tcPr>
            <w:tcW w:w="340" w:type="dxa"/>
            <w:vAlign w:val="bottom"/>
            <w:shd w:val="clear" w:color="auto" w:fill="CFF0FC"/>
          </w:tcPr>
          <w:p>
            <w:pPr>
              <w:spacing w:after="0"/>
              <w:rPr>
                <w:sz w:val="21"/>
                <w:szCs w:val="21"/>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2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13.55</w:t>
            </w:r>
          </w:p>
        </w:tc>
        <w:tc>
          <w:tcPr>
            <w:tcW w:w="100" w:type="dxa"/>
            <w:vAlign w:val="bottom"/>
            <w:shd w:val="clear" w:color="auto" w:fill="CFF0FC"/>
          </w:tcPr>
          <w:p>
            <w:pPr>
              <w:spacing w:after="0"/>
              <w:rPr>
                <w:sz w:val="21"/>
                <w:szCs w:val="21"/>
                <w:color w:val="auto"/>
              </w:rPr>
            </w:pPr>
          </w:p>
        </w:tc>
      </w:tr>
      <w:tr>
        <w:trPr>
          <w:trHeight w:val="236"/>
        </w:trPr>
        <w:tc>
          <w:tcPr>
            <w:tcW w:w="20" w:type="dxa"/>
            <w:vAlign w:val="bottom"/>
          </w:tcPr>
          <w:p>
            <w:pPr>
              <w:spacing w:after="0"/>
              <w:rPr>
                <w:sz w:val="20"/>
                <w:szCs w:val="20"/>
                <w:color w:val="auto"/>
              </w:rPr>
            </w:pPr>
          </w:p>
        </w:tc>
        <w:tc>
          <w:tcPr>
            <w:tcW w:w="6160" w:type="dxa"/>
            <w:vAlign w:val="bottom"/>
          </w:tcPr>
          <w:p>
            <w:pPr>
              <w:ind w:left="100"/>
              <w:spacing w:after="0"/>
              <w:rPr>
                <w:sz w:val="20"/>
                <w:szCs w:val="20"/>
                <w:color w:val="auto"/>
              </w:rPr>
            </w:pPr>
            <w:r>
              <w:rPr>
                <w:rFonts w:ascii="Arial" w:cs="Arial" w:eastAsia="Arial" w:hAnsi="Arial"/>
                <w:sz w:val="18"/>
                <w:szCs w:val="18"/>
                <w:color w:val="auto"/>
              </w:rPr>
              <w:t>Granted</w:t>
            </w:r>
          </w:p>
        </w:tc>
        <w:tc>
          <w:tcPr>
            <w:tcW w:w="2340" w:type="dxa"/>
            <w:vAlign w:val="bottom"/>
          </w:tcPr>
          <w:p>
            <w:pPr>
              <w:jc w:val="right"/>
              <w:spacing w:after="0"/>
              <w:rPr>
                <w:sz w:val="20"/>
                <w:szCs w:val="20"/>
                <w:color w:val="auto"/>
              </w:rPr>
            </w:pPr>
            <w:r>
              <w:rPr>
                <w:rFonts w:ascii="Arial" w:cs="Arial" w:eastAsia="Arial" w:hAnsi="Arial"/>
                <w:sz w:val="18"/>
                <w:szCs w:val="18"/>
                <w:color w:val="auto"/>
              </w:rPr>
              <w:t>2,488,793</w:t>
            </w:r>
          </w:p>
        </w:tc>
        <w:tc>
          <w:tcPr>
            <w:tcW w:w="34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140" w:type="dxa"/>
            <w:vAlign w:val="bottom"/>
          </w:tcPr>
          <w:p>
            <w:pPr>
              <w:jc w:val="right"/>
              <w:spacing w:after="0"/>
              <w:rPr>
                <w:sz w:val="20"/>
                <w:szCs w:val="20"/>
                <w:color w:val="auto"/>
              </w:rPr>
            </w:pPr>
            <w:r>
              <w:rPr>
                <w:rFonts w:ascii="Arial" w:cs="Arial" w:eastAsia="Arial" w:hAnsi="Arial"/>
                <w:sz w:val="18"/>
                <w:szCs w:val="18"/>
                <w:color w:val="auto"/>
              </w:rPr>
              <w:t>8.40</w:t>
            </w:r>
          </w:p>
        </w:tc>
        <w:tc>
          <w:tcPr>
            <w:tcW w:w="100" w:type="dxa"/>
            <w:vAlign w:val="bottom"/>
          </w:tcPr>
          <w:p>
            <w:pPr>
              <w:spacing w:after="0"/>
              <w:rPr>
                <w:sz w:val="20"/>
                <w:szCs w:val="20"/>
                <w:color w:val="auto"/>
              </w:rPr>
            </w:pPr>
          </w:p>
        </w:tc>
      </w:tr>
      <w:tr>
        <w:trPr>
          <w:trHeight w:val="249"/>
        </w:trPr>
        <w:tc>
          <w:tcPr>
            <w:tcW w:w="20" w:type="dxa"/>
            <w:vAlign w:val="bottom"/>
          </w:tcPr>
          <w:p>
            <w:pPr>
              <w:spacing w:after="0"/>
              <w:rPr>
                <w:sz w:val="21"/>
                <w:szCs w:val="21"/>
                <w:color w:val="auto"/>
              </w:rPr>
            </w:pPr>
          </w:p>
        </w:tc>
        <w:tc>
          <w:tcPr>
            <w:tcW w:w="6160" w:type="dxa"/>
            <w:vAlign w:val="bottom"/>
            <w:shd w:val="clear" w:color="auto" w:fill="CFF0FC"/>
          </w:tcPr>
          <w:p>
            <w:pPr>
              <w:ind w:left="100"/>
              <w:spacing w:after="0"/>
              <w:rPr>
                <w:sz w:val="20"/>
                <w:szCs w:val="20"/>
                <w:color w:val="auto"/>
              </w:rPr>
            </w:pPr>
            <w:r>
              <w:rPr>
                <w:rFonts w:ascii="Arial" w:cs="Arial" w:eastAsia="Arial" w:hAnsi="Arial"/>
                <w:sz w:val="18"/>
                <w:szCs w:val="18"/>
                <w:color w:val="auto"/>
              </w:rPr>
              <w:t>Vested</w:t>
            </w:r>
          </w:p>
        </w:tc>
        <w:tc>
          <w:tcPr>
            <w:tcW w:w="268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(638,365 )</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2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13.58</w:t>
            </w:r>
          </w:p>
        </w:tc>
        <w:tc>
          <w:tcPr>
            <w:tcW w:w="100" w:type="dxa"/>
            <w:vAlign w:val="bottom"/>
            <w:shd w:val="clear" w:color="auto" w:fill="CFF0FC"/>
          </w:tcPr>
          <w:p>
            <w:pPr>
              <w:spacing w:after="0"/>
              <w:rPr>
                <w:sz w:val="21"/>
                <w:szCs w:val="21"/>
                <w:color w:val="auto"/>
              </w:rPr>
            </w:pPr>
          </w:p>
        </w:tc>
      </w:tr>
      <w:tr>
        <w:trPr>
          <w:trHeight w:val="236"/>
        </w:trPr>
        <w:tc>
          <w:tcPr>
            <w:tcW w:w="20" w:type="dxa"/>
            <w:vAlign w:val="bottom"/>
          </w:tcPr>
          <w:p>
            <w:pPr>
              <w:spacing w:after="0"/>
              <w:rPr>
                <w:sz w:val="20"/>
                <w:szCs w:val="20"/>
                <w:color w:val="auto"/>
              </w:rPr>
            </w:pPr>
          </w:p>
        </w:tc>
        <w:tc>
          <w:tcPr>
            <w:tcW w:w="6160" w:type="dxa"/>
            <w:vAlign w:val="bottom"/>
          </w:tcPr>
          <w:p>
            <w:pPr>
              <w:ind w:left="100"/>
              <w:spacing w:after="0"/>
              <w:rPr>
                <w:sz w:val="20"/>
                <w:szCs w:val="20"/>
                <w:color w:val="auto"/>
              </w:rPr>
            </w:pPr>
            <w:r>
              <w:rPr>
                <w:rFonts w:ascii="Arial" w:cs="Arial" w:eastAsia="Arial" w:hAnsi="Arial"/>
                <w:sz w:val="18"/>
                <w:szCs w:val="18"/>
                <w:color w:val="auto"/>
              </w:rPr>
              <w:t>Forfeited</w:t>
            </w:r>
          </w:p>
        </w:tc>
        <w:tc>
          <w:tcPr>
            <w:tcW w:w="2680" w:type="dxa"/>
            <w:vAlign w:val="bottom"/>
            <w:gridSpan w:val="2"/>
          </w:tcPr>
          <w:p>
            <w:pPr>
              <w:jc w:val="right"/>
              <w:ind w:right="280"/>
              <w:spacing w:after="0"/>
              <w:rPr>
                <w:sz w:val="20"/>
                <w:szCs w:val="20"/>
                <w:color w:val="auto"/>
              </w:rPr>
            </w:pPr>
            <w:r>
              <w:rPr>
                <w:rFonts w:ascii="Arial" w:cs="Arial" w:eastAsia="Arial" w:hAnsi="Arial"/>
                <w:sz w:val="18"/>
                <w:szCs w:val="18"/>
                <w:color w:val="auto"/>
              </w:rPr>
              <w:t>(276,525 )</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140" w:type="dxa"/>
            <w:vAlign w:val="bottom"/>
          </w:tcPr>
          <w:p>
            <w:pPr>
              <w:jc w:val="right"/>
              <w:spacing w:after="0"/>
              <w:rPr>
                <w:sz w:val="20"/>
                <w:szCs w:val="20"/>
                <w:color w:val="auto"/>
              </w:rPr>
            </w:pPr>
            <w:r>
              <w:rPr>
                <w:rFonts w:ascii="Arial" w:cs="Arial" w:eastAsia="Arial" w:hAnsi="Arial"/>
                <w:sz w:val="18"/>
                <w:szCs w:val="18"/>
                <w:color w:val="auto"/>
              </w:rPr>
              <w:t>11.55</w:t>
            </w:r>
          </w:p>
        </w:tc>
        <w:tc>
          <w:tcPr>
            <w:tcW w:w="100" w:type="dxa"/>
            <w:vAlign w:val="bottom"/>
          </w:tcPr>
          <w:p>
            <w:pPr>
              <w:spacing w:after="0"/>
              <w:rPr>
                <w:sz w:val="20"/>
                <w:szCs w:val="20"/>
                <w:color w:val="auto"/>
              </w:rPr>
            </w:pPr>
          </w:p>
        </w:tc>
      </w:tr>
      <w:tr>
        <w:trPr>
          <w:trHeight w:val="282"/>
        </w:trPr>
        <w:tc>
          <w:tcPr>
            <w:tcW w:w="20" w:type="dxa"/>
            <w:vAlign w:val="bottom"/>
          </w:tcPr>
          <w:p>
            <w:pPr>
              <w:spacing w:after="0"/>
              <w:rPr>
                <w:sz w:val="24"/>
                <w:szCs w:val="24"/>
                <w:color w:val="auto"/>
              </w:rPr>
            </w:pPr>
          </w:p>
        </w:tc>
        <w:tc>
          <w:tcPr>
            <w:tcW w:w="61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Unvested as of September 30, 2023</w:t>
            </w:r>
          </w:p>
        </w:tc>
        <w:tc>
          <w:tcPr>
            <w:tcW w:w="2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3,649,762</w:t>
            </w:r>
          </w:p>
        </w:tc>
        <w:tc>
          <w:tcPr>
            <w:tcW w:w="34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21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10.18</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5407660</wp:posOffset>
            </wp:positionH>
            <wp:positionV relativeFrom="paragraph">
              <wp:posOffset>-24765</wp:posOffset>
            </wp:positionV>
            <wp:extent cx="6858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5407660</wp:posOffset>
            </wp:positionH>
            <wp:positionV relativeFrom="paragraph">
              <wp:posOffset>-7620</wp:posOffset>
            </wp:positionV>
            <wp:extent cx="68580"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color w:val="231F20"/>
        </w:rPr>
        <w:t>We granted 2,488,793 RSUs with a grant date fair value of $20,901 during the nine months ended September 30, 2023.</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231F20"/>
        </w:rPr>
        <w:t xml:space="preserve">The fair value of shares attributable to RSUs that vested during the </w:t>
      </w:r>
      <w:r>
        <w:rPr>
          <w:rFonts w:ascii="Arial" w:cs="Arial" w:eastAsia="Arial" w:hAnsi="Arial"/>
          <w:sz w:val="18"/>
          <w:szCs w:val="18"/>
          <w:color w:val="000000"/>
        </w:rPr>
        <w:t>nine months ended September 30, 2023 was $5,348.</w:t>
      </w:r>
    </w:p>
    <w:p>
      <w:pPr>
        <w:spacing w:after="0" w:line="117" w:lineRule="exact"/>
        <w:rPr>
          <w:sz w:val="20"/>
          <w:szCs w:val="20"/>
          <w:color w:val="auto"/>
        </w:rPr>
      </w:pPr>
    </w:p>
    <w:p>
      <w:pPr>
        <w:ind w:right="2040"/>
        <w:spacing w:after="0" w:line="375" w:lineRule="auto"/>
        <w:rPr>
          <w:sz w:val="20"/>
          <w:szCs w:val="20"/>
          <w:color w:val="auto"/>
        </w:rPr>
      </w:pPr>
      <w:r>
        <w:rPr>
          <w:rFonts w:ascii="Arial" w:cs="Arial" w:eastAsia="Arial" w:hAnsi="Arial"/>
          <w:sz w:val="18"/>
          <w:szCs w:val="18"/>
          <w:color w:val="auto"/>
        </w:rPr>
        <w:t xml:space="preserve">As of September 30, 2023, the weighted-average remaining contractual life of outstanding RSUs was approximately 9.15 years. </w:t>
      </w:r>
      <w:r>
        <w:rPr>
          <w:rFonts w:ascii="Arial" w:cs="Arial" w:eastAsia="Arial" w:hAnsi="Arial"/>
          <w:sz w:val="18"/>
          <w:szCs w:val="18"/>
          <w:b w:val="1"/>
          <w:bCs w:val="1"/>
          <w:i w:val="1"/>
          <w:iCs w:val="1"/>
          <w:color w:val="auto"/>
        </w:rPr>
        <w:t>Stock-Based Compensation Expense</w:t>
      </w:r>
    </w:p>
    <w:p>
      <w:pPr>
        <w:jc w:val="both"/>
        <w:ind w:right="400"/>
        <w:spacing w:after="0" w:line="263" w:lineRule="auto"/>
        <w:rPr>
          <w:sz w:val="20"/>
          <w:szCs w:val="20"/>
          <w:color w:val="auto"/>
        </w:rPr>
      </w:pPr>
      <w:r>
        <w:rPr>
          <w:rFonts w:ascii="Arial" w:cs="Arial" w:eastAsia="Arial" w:hAnsi="Arial"/>
          <w:sz w:val="18"/>
          <w:szCs w:val="18"/>
          <w:color w:val="231F20"/>
        </w:rPr>
        <w:t>We estimated a forfeiture rate of 8.82% for awards with service-based vesting conditions based on historical experience and future expectations of the vesting of these share-based payments. We used this rate as an assumption in calculating stock-based compensation expense for Time Vesting Options, RSUs, and stock purchase rights granted under the 2021 ESPP.</w:t>
      </w:r>
    </w:p>
    <w:p>
      <w:pPr>
        <w:spacing w:after="0" w:line="75"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231F20"/>
        </w:rPr>
        <w:t>Total stock-based compensation expense, by caption, recorded in the unaudited condensed consolidated statements of operations and comprehensive income for the periods presented is as follows:</w:t>
      </w: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9" w:name="page20"/>
    <w:bookmarkEnd w:id="19"/>
    <w:tbl>
      <w:tblPr>
        <w:tblLayout w:type="fixed"/>
        <w:tblInd w:w="0" w:type="dxa"/>
        <w:tblCellMar>
          <w:top w:w="0" w:type="dxa"/>
          <w:left w:w="0" w:type="dxa"/>
          <w:bottom w:w="0" w:type="dxa"/>
          <w:right w:w="0" w:type="dxa"/>
        </w:tblCellMar>
      </w:tblPr>
      <w:tr>
        <w:trPr>
          <w:trHeight w:val="241"/>
        </w:trPr>
        <w:tc>
          <w:tcPr>
            <w:tcW w:w="4260" w:type="dxa"/>
            <w:vAlign w:val="bottom"/>
          </w:tcPr>
          <w:p>
            <w:pPr>
              <w:spacing w:after="0"/>
              <w:rPr>
                <w:sz w:val="20"/>
                <w:szCs w:val="20"/>
                <w:color w:val="auto"/>
              </w:rPr>
            </w:pPr>
          </w:p>
        </w:tc>
        <w:tc>
          <w:tcPr>
            <w:tcW w:w="3340" w:type="dxa"/>
            <w:vAlign w:val="bottom"/>
            <w:tcBorders>
              <w:bottom w:val="single" w:sz="8" w:color="auto"/>
            </w:tcBorders>
            <w:gridSpan w:val="5"/>
          </w:tcPr>
          <w:p>
            <w:pPr>
              <w:jc w:val="right"/>
              <w:ind w:right="190"/>
              <w:spacing w:after="0"/>
              <w:rPr>
                <w:sz w:val="20"/>
                <w:szCs w:val="20"/>
                <w:color w:val="auto"/>
              </w:rPr>
            </w:pPr>
            <w:r>
              <w:rPr>
                <w:rFonts w:ascii="Arial" w:cs="Arial" w:eastAsia="Arial" w:hAnsi="Arial"/>
                <w:sz w:val="18"/>
                <w:szCs w:val="18"/>
                <w:b w:val="1"/>
                <w:bCs w:val="1"/>
                <w:color w:val="auto"/>
                <w:w w:val="99"/>
              </w:rPr>
              <w:t>Three Months Ended September 30,</w:t>
            </w:r>
          </w:p>
        </w:tc>
        <w:tc>
          <w:tcPr>
            <w:tcW w:w="2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3080" w:type="dxa"/>
            <w:vAlign w:val="bottom"/>
            <w:tcBorders>
              <w:bottom w:val="single" w:sz="8" w:color="auto"/>
            </w:tcBorders>
            <w:gridSpan w:val="4"/>
          </w:tcPr>
          <w:p>
            <w:pPr>
              <w:jc w:val="right"/>
              <w:ind w:right="210"/>
              <w:spacing w:after="0"/>
              <w:rPr>
                <w:sz w:val="20"/>
                <w:szCs w:val="20"/>
                <w:color w:val="auto"/>
              </w:rPr>
            </w:pPr>
            <w:r>
              <w:rPr>
                <w:rFonts w:ascii="Arial" w:cs="Arial" w:eastAsia="Arial" w:hAnsi="Arial"/>
                <w:sz w:val="18"/>
                <w:szCs w:val="18"/>
                <w:b w:val="1"/>
                <w:bCs w:val="1"/>
                <w:color w:val="auto"/>
                <w:w w:val="93"/>
              </w:rPr>
              <w:t>Nine Months Ended September 30,</w:t>
            </w:r>
          </w:p>
        </w:tc>
        <w:tc>
          <w:tcPr>
            <w:tcW w:w="100" w:type="dxa"/>
            <w:vAlign w:val="bottom"/>
          </w:tcPr>
          <w:p>
            <w:pPr>
              <w:spacing w:after="0"/>
              <w:rPr>
                <w:sz w:val="20"/>
                <w:szCs w:val="20"/>
                <w:color w:val="auto"/>
              </w:rPr>
            </w:pPr>
          </w:p>
        </w:tc>
      </w:tr>
      <w:tr>
        <w:trPr>
          <w:trHeight w:val="238"/>
        </w:trPr>
        <w:tc>
          <w:tcPr>
            <w:tcW w:w="4260" w:type="dxa"/>
            <w:vAlign w:val="bottom"/>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2023</w:t>
            </w:r>
          </w:p>
        </w:tc>
        <w:tc>
          <w:tcPr>
            <w:tcW w:w="500" w:type="dxa"/>
            <w:vAlign w:val="bottom"/>
            <w:tcBorders>
              <w:bottom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2022</w:t>
            </w:r>
          </w:p>
        </w:tc>
        <w:tc>
          <w:tcPr>
            <w:tcW w:w="2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2023</w:t>
            </w:r>
          </w:p>
        </w:tc>
        <w:tc>
          <w:tcPr>
            <w:tcW w:w="2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20"/>
                <w:szCs w:val="20"/>
                <w:color w:val="auto"/>
              </w:rPr>
            </w:pPr>
          </w:p>
        </w:tc>
      </w:tr>
      <w:tr>
        <w:trPr>
          <w:trHeight w:val="240"/>
        </w:trPr>
        <w:tc>
          <w:tcPr>
            <w:tcW w:w="426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Cost of labor and chemicals</w:t>
            </w:r>
          </w:p>
        </w:tc>
        <w:tc>
          <w:tcPr>
            <w:tcW w:w="1020" w:type="dxa"/>
            <w:vAlign w:val="bottom"/>
            <w:shd w:val="clear" w:color="auto" w:fill="CFF0FC"/>
          </w:tcPr>
          <w:p>
            <w:pPr>
              <w:jc w:val="right"/>
              <w:ind w:right="830"/>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2,330</w:t>
            </w:r>
          </w:p>
        </w:tc>
        <w:tc>
          <w:tcPr>
            <w:tcW w:w="300" w:type="dxa"/>
            <w:vAlign w:val="bottom"/>
            <w:shd w:val="clear" w:color="auto" w:fill="CFF0FC"/>
          </w:tcPr>
          <w:p>
            <w:pPr>
              <w:spacing w:after="0"/>
              <w:rPr>
                <w:sz w:val="20"/>
                <w:szCs w:val="20"/>
                <w:color w:val="auto"/>
              </w:rPr>
            </w:pPr>
          </w:p>
        </w:tc>
        <w:tc>
          <w:tcPr>
            <w:tcW w:w="34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2,268</w:t>
            </w:r>
          </w:p>
        </w:tc>
        <w:tc>
          <w:tcPr>
            <w:tcW w:w="260" w:type="dxa"/>
            <w:vAlign w:val="bottom"/>
            <w:shd w:val="clear" w:color="auto" w:fill="CFF0FC"/>
          </w:tcPr>
          <w:p>
            <w:pPr>
              <w:spacing w:after="0"/>
              <w:rPr>
                <w:sz w:val="20"/>
                <w:szCs w:val="20"/>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6,474</w:t>
            </w:r>
          </w:p>
        </w:tc>
        <w:tc>
          <w:tcPr>
            <w:tcW w:w="280" w:type="dxa"/>
            <w:vAlign w:val="bottom"/>
            <w:shd w:val="clear" w:color="auto" w:fill="CFF0FC"/>
          </w:tcPr>
          <w:p>
            <w:pPr>
              <w:spacing w:after="0"/>
              <w:rPr>
                <w:sz w:val="20"/>
                <w:szCs w:val="20"/>
                <w:color w:val="auto"/>
              </w:rPr>
            </w:pPr>
          </w:p>
        </w:tc>
        <w:tc>
          <w:tcPr>
            <w:tcW w:w="34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6,168</w:t>
            </w:r>
          </w:p>
        </w:tc>
        <w:tc>
          <w:tcPr>
            <w:tcW w:w="100" w:type="dxa"/>
            <w:vAlign w:val="bottom"/>
            <w:shd w:val="clear" w:color="auto" w:fill="CFF0FC"/>
          </w:tcPr>
          <w:p>
            <w:pPr>
              <w:spacing w:after="0"/>
              <w:rPr>
                <w:sz w:val="20"/>
                <w:szCs w:val="20"/>
                <w:color w:val="auto"/>
              </w:rPr>
            </w:pPr>
          </w:p>
        </w:tc>
      </w:tr>
      <w:tr>
        <w:trPr>
          <w:trHeight w:val="236"/>
        </w:trPr>
        <w:tc>
          <w:tcPr>
            <w:tcW w:w="4260" w:type="dxa"/>
            <w:vAlign w:val="bottom"/>
          </w:tcPr>
          <w:p>
            <w:pPr>
              <w:ind w:left="20"/>
              <w:spacing w:after="0"/>
              <w:rPr>
                <w:sz w:val="20"/>
                <w:szCs w:val="20"/>
                <w:color w:val="auto"/>
              </w:rPr>
            </w:pPr>
            <w:r>
              <w:rPr>
                <w:rFonts w:ascii="Arial" w:cs="Arial" w:eastAsia="Arial" w:hAnsi="Arial"/>
                <w:sz w:val="18"/>
                <w:szCs w:val="18"/>
                <w:color w:val="auto"/>
              </w:rPr>
              <w:t>General and administrative</w:t>
            </w:r>
          </w:p>
        </w:tc>
        <w:tc>
          <w:tcPr>
            <w:tcW w:w="102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3,959</w:t>
            </w:r>
          </w:p>
        </w:tc>
        <w:tc>
          <w:tcPr>
            <w:tcW w:w="3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3,193</w:t>
            </w:r>
          </w:p>
        </w:tc>
        <w:tc>
          <w:tcPr>
            <w:tcW w:w="2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11,169</w:t>
            </w:r>
          </w:p>
        </w:tc>
        <w:tc>
          <w:tcPr>
            <w:tcW w:w="2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10,791</w:t>
            </w:r>
          </w:p>
        </w:tc>
        <w:tc>
          <w:tcPr>
            <w:tcW w:w="100" w:type="dxa"/>
            <w:vAlign w:val="bottom"/>
          </w:tcPr>
          <w:p>
            <w:pPr>
              <w:spacing w:after="0"/>
              <w:rPr>
                <w:sz w:val="20"/>
                <w:szCs w:val="20"/>
                <w:color w:val="auto"/>
              </w:rPr>
            </w:pPr>
          </w:p>
        </w:tc>
      </w:tr>
      <w:tr>
        <w:trPr>
          <w:trHeight w:val="282"/>
        </w:trPr>
        <w:tc>
          <w:tcPr>
            <w:tcW w:w="42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stock-based compensation expense</w:t>
            </w:r>
          </w:p>
        </w:tc>
        <w:tc>
          <w:tcPr>
            <w:tcW w:w="1020" w:type="dxa"/>
            <w:vAlign w:val="bottom"/>
            <w:tcBorders>
              <w:bottom w:val="single" w:sz="8" w:color="auto"/>
            </w:tcBorders>
            <w:shd w:val="clear" w:color="auto" w:fill="CFF0FC"/>
          </w:tcPr>
          <w:p>
            <w:pPr>
              <w:jc w:val="right"/>
              <w:ind w:right="830"/>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6,289</w:t>
            </w:r>
          </w:p>
        </w:tc>
        <w:tc>
          <w:tcPr>
            <w:tcW w:w="300" w:type="dxa"/>
            <w:vAlign w:val="bottom"/>
            <w:tcBorders>
              <w:bottom w:val="single" w:sz="8" w:color="CFF0FC"/>
            </w:tcBorders>
            <w:shd w:val="clear" w:color="auto" w:fill="CFF0FC"/>
          </w:tcPr>
          <w:p>
            <w:pPr>
              <w:spacing w:after="0"/>
              <w:rPr>
                <w:sz w:val="24"/>
                <w:szCs w:val="24"/>
                <w:color w:val="auto"/>
              </w:rPr>
            </w:pPr>
          </w:p>
        </w:tc>
        <w:tc>
          <w:tcPr>
            <w:tcW w:w="340" w:type="dxa"/>
            <w:vAlign w:val="bottom"/>
            <w:tcBorders>
              <w:bottom w:val="single" w:sz="8" w:color="auto"/>
            </w:tcBorders>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5,461</w:t>
            </w:r>
          </w:p>
        </w:tc>
        <w:tc>
          <w:tcPr>
            <w:tcW w:w="260" w:type="dxa"/>
            <w:vAlign w:val="bottom"/>
            <w:tcBorders>
              <w:bottom w:val="single" w:sz="8" w:color="CFF0FC"/>
            </w:tcBorders>
            <w:shd w:val="clear" w:color="auto" w:fill="CFF0FC"/>
          </w:tcPr>
          <w:p>
            <w:pPr>
              <w:spacing w:after="0"/>
              <w:rPr>
                <w:sz w:val="24"/>
                <w:szCs w:val="24"/>
                <w:color w:val="auto"/>
              </w:rPr>
            </w:pPr>
          </w:p>
        </w:tc>
        <w:tc>
          <w:tcPr>
            <w:tcW w:w="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17,643</w:t>
            </w:r>
          </w:p>
        </w:tc>
        <w:tc>
          <w:tcPr>
            <w:tcW w:w="280" w:type="dxa"/>
            <w:vAlign w:val="bottom"/>
            <w:tcBorders>
              <w:bottom w:val="single" w:sz="8" w:color="CFF0FC"/>
            </w:tcBorders>
            <w:shd w:val="clear" w:color="auto" w:fill="CFF0FC"/>
          </w:tcPr>
          <w:p>
            <w:pPr>
              <w:spacing w:after="0"/>
              <w:rPr>
                <w:sz w:val="24"/>
                <w:szCs w:val="24"/>
                <w:color w:val="auto"/>
              </w:rPr>
            </w:pPr>
          </w:p>
        </w:tc>
        <w:tc>
          <w:tcPr>
            <w:tcW w:w="340" w:type="dxa"/>
            <w:vAlign w:val="bottom"/>
            <w:tcBorders>
              <w:bottom w:val="single" w:sz="8" w:color="auto"/>
            </w:tcBorders>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16,959</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3669665</wp:posOffset>
            </wp:positionH>
            <wp:positionV relativeFrom="paragraph">
              <wp:posOffset>-24765</wp:posOffset>
            </wp:positionV>
            <wp:extent cx="76835"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3669665</wp:posOffset>
            </wp:positionH>
            <wp:positionV relativeFrom="paragraph">
              <wp:posOffset>-7620</wp:posOffset>
            </wp:positionV>
            <wp:extent cx="76835"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4825365</wp:posOffset>
            </wp:positionH>
            <wp:positionV relativeFrom="paragraph">
              <wp:posOffset>-24765</wp:posOffset>
            </wp:positionV>
            <wp:extent cx="6858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4825365</wp:posOffset>
            </wp:positionH>
            <wp:positionV relativeFrom="paragraph">
              <wp:posOffset>-7620</wp:posOffset>
            </wp:positionV>
            <wp:extent cx="68580"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5947410</wp:posOffset>
            </wp:positionH>
            <wp:positionV relativeFrom="paragraph">
              <wp:posOffset>-24765</wp:posOffset>
            </wp:positionV>
            <wp:extent cx="68580"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5947410</wp:posOffset>
            </wp:positionH>
            <wp:positionV relativeFrom="paragraph">
              <wp:posOffset>-7620</wp:posOffset>
            </wp:positionV>
            <wp:extent cx="68580"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87"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231F20"/>
        </w:rPr>
        <w:t>Total stock-based compensation expense, by award type, recorded in the unaudited condensed consolidated statements of operations and comprehensive income for the periods presented is as follows:</w:t>
      </w:r>
    </w:p>
    <w:p>
      <w:pPr>
        <w:spacing w:after="0" w:line="7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260" w:type="dxa"/>
            <w:vAlign w:val="bottom"/>
          </w:tcPr>
          <w:p>
            <w:pPr>
              <w:spacing w:after="0"/>
              <w:rPr>
                <w:sz w:val="20"/>
                <w:szCs w:val="20"/>
                <w:color w:val="auto"/>
              </w:rPr>
            </w:pPr>
          </w:p>
        </w:tc>
        <w:tc>
          <w:tcPr>
            <w:tcW w:w="3440" w:type="dxa"/>
            <w:vAlign w:val="bottom"/>
            <w:tcBorders>
              <w:bottom w:val="single" w:sz="8" w:color="auto"/>
            </w:tcBorders>
            <w:gridSpan w:val="5"/>
          </w:tcPr>
          <w:p>
            <w:pPr>
              <w:jc w:val="right"/>
              <w:ind w:right="290"/>
              <w:spacing w:after="0"/>
              <w:rPr>
                <w:sz w:val="20"/>
                <w:szCs w:val="20"/>
                <w:color w:val="auto"/>
              </w:rPr>
            </w:pPr>
            <w:r>
              <w:rPr>
                <w:rFonts w:ascii="Arial" w:cs="Arial" w:eastAsia="Arial" w:hAnsi="Arial"/>
                <w:sz w:val="18"/>
                <w:szCs w:val="18"/>
                <w:b w:val="1"/>
                <w:bCs w:val="1"/>
                <w:color w:val="auto"/>
                <w:w w:val="99"/>
              </w:rPr>
              <w:t>Three Months Ended September 30,</w:t>
            </w:r>
          </w:p>
        </w:tc>
        <w:tc>
          <w:tcPr>
            <w:tcW w:w="1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3180" w:type="dxa"/>
            <w:vAlign w:val="bottom"/>
            <w:tcBorders>
              <w:bottom w:val="single" w:sz="8" w:color="auto"/>
            </w:tcBorders>
            <w:gridSpan w:val="4"/>
          </w:tcPr>
          <w:p>
            <w:pPr>
              <w:jc w:val="right"/>
              <w:ind w:right="310"/>
              <w:spacing w:after="0"/>
              <w:rPr>
                <w:sz w:val="20"/>
                <w:szCs w:val="20"/>
                <w:color w:val="auto"/>
              </w:rPr>
            </w:pPr>
            <w:r>
              <w:rPr>
                <w:rFonts w:ascii="Arial" w:cs="Arial" w:eastAsia="Arial" w:hAnsi="Arial"/>
                <w:sz w:val="18"/>
                <w:szCs w:val="18"/>
                <w:b w:val="1"/>
                <w:bCs w:val="1"/>
                <w:color w:val="auto"/>
                <w:w w:val="93"/>
              </w:rPr>
              <w:t>Nine Months Ended September 30,</w:t>
            </w:r>
          </w:p>
        </w:tc>
      </w:tr>
      <w:tr>
        <w:trPr>
          <w:trHeight w:val="238"/>
        </w:trPr>
        <w:tc>
          <w:tcPr>
            <w:tcW w:w="4260" w:type="dxa"/>
            <w:vAlign w:val="bottom"/>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2023</w:t>
            </w:r>
          </w:p>
        </w:tc>
        <w:tc>
          <w:tcPr>
            <w:tcW w:w="62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2022</w:t>
            </w:r>
          </w:p>
        </w:tc>
        <w:tc>
          <w:tcPr>
            <w:tcW w:w="1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2023</w:t>
            </w:r>
          </w:p>
        </w:tc>
        <w:tc>
          <w:tcPr>
            <w:tcW w:w="16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2022</w:t>
            </w:r>
          </w:p>
        </w:tc>
      </w:tr>
      <w:tr>
        <w:trPr>
          <w:trHeight w:val="240"/>
        </w:trPr>
        <w:tc>
          <w:tcPr>
            <w:tcW w:w="4260" w:type="dxa"/>
            <w:vAlign w:val="bottom"/>
            <w:shd w:val="clear" w:color="auto" w:fill="CFF0FC"/>
          </w:tcPr>
          <w:p>
            <w:pPr>
              <w:ind w:left="20"/>
              <w:spacing w:after="0"/>
              <w:rPr>
                <w:sz w:val="20"/>
                <w:szCs w:val="20"/>
                <w:color w:val="auto"/>
              </w:rPr>
            </w:pPr>
            <w:r>
              <w:rPr>
                <w:rFonts w:ascii="Arial" w:cs="Arial" w:eastAsia="Arial" w:hAnsi="Arial"/>
                <w:sz w:val="18"/>
                <w:szCs w:val="18"/>
                <w:color w:val="auto"/>
              </w:rPr>
              <w:t>Time Vesting Options</w:t>
            </w:r>
          </w:p>
        </w:tc>
        <w:tc>
          <w:tcPr>
            <w:tcW w:w="1020" w:type="dxa"/>
            <w:vAlign w:val="bottom"/>
            <w:shd w:val="clear" w:color="auto" w:fill="CFF0FC"/>
          </w:tcPr>
          <w:p>
            <w:pPr>
              <w:jc w:val="right"/>
              <w:ind w:right="830"/>
              <w:spacing w:after="0"/>
              <w:rPr>
                <w:sz w:val="20"/>
                <w:szCs w:val="20"/>
                <w:color w:val="auto"/>
              </w:rPr>
            </w:pPr>
            <w:r>
              <w:rPr>
                <w:rFonts w:ascii="Arial" w:cs="Arial" w:eastAsia="Arial" w:hAnsi="Arial"/>
                <w:sz w:val="18"/>
                <w:szCs w:val="18"/>
                <w:color w:val="231F20"/>
                <w:w w:val="79"/>
              </w:rPr>
              <w:t>$</w:t>
            </w:r>
          </w:p>
        </w:tc>
        <w:tc>
          <w:tcPr>
            <w:tcW w:w="62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231F20"/>
              </w:rPr>
              <w:t>1,749</w:t>
            </w:r>
          </w:p>
        </w:tc>
        <w:tc>
          <w:tcPr>
            <w:tcW w:w="180" w:type="dxa"/>
            <w:vAlign w:val="bottom"/>
            <w:shd w:val="clear" w:color="auto" w:fill="CFF0FC"/>
          </w:tcPr>
          <w:p>
            <w:pPr>
              <w:spacing w:after="0"/>
              <w:rPr>
                <w:sz w:val="20"/>
                <w:szCs w:val="20"/>
                <w:color w:val="auto"/>
              </w:rPr>
            </w:pPr>
          </w:p>
        </w:tc>
        <w:tc>
          <w:tcPr>
            <w:tcW w:w="34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231F20"/>
                <w:w w:val="79"/>
              </w:rPr>
              <w:t>$</w:t>
            </w:r>
          </w:p>
        </w:tc>
        <w:tc>
          <w:tcPr>
            <w:tcW w:w="12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231F20"/>
              </w:rPr>
              <w:t>1,521</w:t>
            </w:r>
          </w:p>
        </w:tc>
        <w:tc>
          <w:tcPr>
            <w:tcW w:w="160" w:type="dxa"/>
            <w:vAlign w:val="bottom"/>
            <w:shd w:val="clear" w:color="auto" w:fill="CFF0FC"/>
          </w:tcPr>
          <w:p>
            <w:pPr>
              <w:spacing w:after="0"/>
              <w:rPr>
                <w:sz w:val="20"/>
                <w:szCs w:val="20"/>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231F20"/>
                <w:w w:val="99"/>
              </w:rPr>
              <w:t>$</w:t>
            </w:r>
          </w:p>
        </w:tc>
        <w:tc>
          <w:tcPr>
            <w:tcW w:w="14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231F20"/>
              </w:rPr>
              <w:t>5,119</w:t>
            </w:r>
          </w:p>
        </w:tc>
        <w:tc>
          <w:tcPr>
            <w:tcW w:w="160" w:type="dxa"/>
            <w:vAlign w:val="bottom"/>
            <w:shd w:val="clear" w:color="auto" w:fill="CFF0FC"/>
          </w:tcPr>
          <w:p>
            <w:pPr>
              <w:spacing w:after="0"/>
              <w:rPr>
                <w:sz w:val="20"/>
                <w:szCs w:val="20"/>
                <w:color w:val="auto"/>
              </w:rPr>
            </w:pPr>
          </w:p>
        </w:tc>
        <w:tc>
          <w:tcPr>
            <w:tcW w:w="34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231F20"/>
                <w:w w:val="79"/>
              </w:rPr>
              <w:t>$</w:t>
            </w:r>
          </w:p>
        </w:tc>
        <w:tc>
          <w:tcPr>
            <w:tcW w:w="12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231F20"/>
              </w:rPr>
              <w:t>5,388</w:t>
            </w:r>
          </w:p>
        </w:tc>
      </w:tr>
      <w:tr>
        <w:trPr>
          <w:trHeight w:val="236"/>
        </w:trPr>
        <w:tc>
          <w:tcPr>
            <w:tcW w:w="4260" w:type="dxa"/>
            <w:vAlign w:val="bottom"/>
          </w:tcPr>
          <w:p>
            <w:pPr>
              <w:ind w:left="20"/>
              <w:spacing w:after="0"/>
              <w:rPr>
                <w:sz w:val="20"/>
                <w:szCs w:val="20"/>
                <w:color w:val="auto"/>
              </w:rPr>
            </w:pPr>
            <w:r>
              <w:rPr>
                <w:rFonts w:ascii="Arial" w:cs="Arial" w:eastAsia="Arial" w:hAnsi="Arial"/>
                <w:sz w:val="18"/>
                <w:szCs w:val="18"/>
                <w:color w:val="auto"/>
              </w:rPr>
              <w:t>RSUs</w:t>
            </w:r>
          </w:p>
        </w:tc>
        <w:tc>
          <w:tcPr>
            <w:tcW w:w="1020" w:type="dxa"/>
            <w:vAlign w:val="bottom"/>
          </w:tcPr>
          <w:p>
            <w:pPr>
              <w:spacing w:after="0"/>
              <w:rPr>
                <w:sz w:val="20"/>
                <w:szCs w:val="20"/>
                <w:color w:val="auto"/>
              </w:rPr>
            </w:pPr>
          </w:p>
        </w:tc>
        <w:tc>
          <w:tcPr>
            <w:tcW w:w="620" w:type="dxa"/>
            <w:vAlign w:val="bottom"/>
          </w:tcPr>
          <w:p>
            <w:pPr>
              <w:jc w:val="right"/>
              <w:ind w:right="50"/>
              <w:spacing w:after="0"/>
              <w:rPr>
                <w:sz w:val="20"/>
                <w:szCs w:val="20"/>
                <w:color w:val="auto"/>
              </w:rPr>
            </w:pPr>
            <w:r>
              <w:rPr>
                <w:rFonts w:ascii="Arial" w:cs="Arial" w:eastAsia="Arial" w:hAnsi="Arial"/>
                <w:sz w:val="18"/>
                <w:szCs w:val="18"/>
                <w:color w:val="231F20"/>
              </w:rPr>
              <w:t>4,344</w:t>
            </w:r>
          </w:p>
        </w:tc>
        <w:tc>
          <w:tcPr>
            <w:tcW w:w="1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color w:val="231F20"/>
              </w:rPr>
              <w:t>3,587</w:t>
            </w: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20" w:type="dxa"/>
            <w:vAlign w:val="bottom"/>
          </w:tcPr>
          <w:p>
            <w:pPr>
              <w:jc w:val="right"/>
              <w:ind w:right="30"/>
              <w:spacing w:after="0"/>
              <w:rPr>
                <w:sz w:val="20"/>
                <w:szCs w:val="20"/>
                <w:color w:val="auto"/>
              </w:rPr>
            </w:pPr>
            <w:r>
              <w:rPr>
                <w:rFonts w:ascii="Arial" w:cs="Arial" w:eastAsia="Arial" w:hAnsi="Arial"/>
                <w:sz w:val="18"/>
                <w:szCs w:val="18"/>
                <w:color w:val="231F20"/>
              </w:rPr>
              <w:t>11,784</w:t>
            </w:r>
          </w:p>
        </w:tc>
        <w:tc>
          <w:tcPr>
            <w:tcW w:w="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231F20"/>
              </w:rPr>
              <w:t>10,505</w:t>
            </w:r>
          </w:p>
        </w:tc>
      </w:tr>
      <w:tr>
        <w:trPr>
          <w:trHeight w:val="243"/>
        </w:trPr>
        <w:tc>
          <w:tcPr>
            <w:tcW w:w="42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2021 ESPP</w:t>
            </w:r>
          </w:p>
        </w:tc>
        <w:tc>
          <w:tcPr>
            <w:tcW w:w="1020" w:type="dxa"/>
            <w:vAlign w:val="bottom"/>
            <w:tcBorders>
              <w:bottom w:val="single" w:sz="8" w:color="auto"/>
            </w:tcBorders>
            <w:shd w:val="clear" w:color="auto" w:fill="CFF0FC"/>
          </w:tcPr>
          <w:p>
            <w:pPr>
              <w:spacing w:after="0"/>
              <w:rPr>
                <w:sz w:val="21"/>
                <w:szCs w:val="21"/>
                <w:color w:val="auto"/>
              </w:rPr>
            </w:pPr>
          </w:p>
        </w:tc>
        <w:tc>
          <w:tcPr>
            <w:tcW w:w="62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231F20"/>
              </w:rPr>
              <w:t>196</w:t>
            </w:r>
          </w:p>
        </w:tc>
        <w:tc>
          <w:tcPr>
            <w:tcW w:w="18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auto"/>
            </w:tcBorders>
            <w:shd w:val="clear" w:color="auto" w:fill="CFF0FC"/>
          </w:tcPr>
          <w:p>
            <w:pPr>
              <w:spacing w:after="0"/>
              <w:rPr>
                <w:sz w:val="21"/>
                <w:szCs w:val="21"/>
                <w:color w:val="auto"/>
              </w:rPr>
            </w:pPr>
          </w:p>
        </w:tc>
        <w:tc>
          <w:tcPr>
            <w:tcW w:w="128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231F20"/>
              </w:rPr>
              <w:t>353</w:t>
            </w:r>
          </w:p>
        </w:tc>
        <w:tc>
          <w:tcPr>
            <w:tcW w:w="16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14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231F20"/>
              </w:rPr>
              <w:t>740</w:t>
            </w:r>
          </w:p>
        </w:tc>
        <w:tc>
          <w:tcPr>
            <w:tcW w:w="16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auto"/>
            </w:tcBorders>
            <w:shd w:val="clear" w:color="auto" w:fill="CFF0FC"/>
          </w:tcPr>
          <w:p>
            <w:pPr>
              <w:spacing w:after="0"/>
              <w:rPr>
                <w:sz w:val="21"/>
                <w:szCs w:val="21"/>
                <w:color w:val="auto"/>
              </w:rPr>
            </w:pPr>
          </w:p>
        </w:tc>
        <w:tc>
          <w:tcPr>
            <w:tcW w:w="126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231F20"/>
              </w:rPr>
              <w:t>1,066</w:t>
            </w:r>
          </w:p>
        </w:tc>
      </w:tr>
      <w:tr>
        <w:trPr>
          <w:trHeight w:val="242"/>
        </w:trPr>
        <w:tc>
          <w:tcPr>
            <w:tcW w:w="4260" w:type="dxa"/>
            <w:vAlign w:val="bottom"/>
          </w:tcPr>
          <w:p>
            <w:pPr>
              <w:ind w:left="20"/>
              <w:spacing w:after="0"/>
              <w:rPr>
                <w:sz w:val="20"/>
                <w:szCs w:val="20"/>
                <w:color w:val="auto"/>
              </w:rPr>
            </w:pPr>
            <w:r>
              <w:rPr>
                <w:rFonts w:ascii="Arial" w:cs="Arial" w:eastAsia="Arial" w:hAnsi="Arial"/>
                <w:sz w:val="18"/>
                <w:szCs w:val="18"/>
                <w:color w:val="auto"/>
              </w:rPr>
              <w:t>Total stock-based compensation expense</w:t>
            </w:r>
          </w:p>
        </w:tc>
        <w:tc>
          <w:tcPr>
            <w:tcW w:w="1020" w:type="dxa"/>
            <w:vAlign w:val="bottom"/>
          </w:tcPr>
          <w:p>
            <w:pPr>
              <w:jc w:val="right"/>
              <w:ind w:right="830"/>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ind w:right="50"/>
              <w:spacing w:after="0"/>
              <w:rPr>
                <w:sz w:val="20"/>
                <w:szCs w:val="20"/>
                <w:color w:val="auto"/>
              </w:rPr>
            </w:pPr>
            <w:r>
              <w:rPr>
                <w:rFonts w:ascii="Arial" w:cs="Arial" w:eastAsia="Arial" w:hAnsi="Arial"/>
                <w:sz w:val="18"/>
                <w:szCs w:val="18"/>
                <w:color w:val="auto"/>
              </w:rPr>
              <w:t>6,289</w:t>
            </w:r>
          </w:p>
        </w:tc>
        <w:tc>
          <w:tcPr>
            <w:tcW w:w="52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5,461</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17,643</w:t>
            </w:r>
          </w:p>
        </w:tc>
        <w:tc>
          <w:tcPr>
            <w:tcW w:w="50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16,959</w:t>
            </w:r>
          </w:p>
        </w:tc>
      </w:tr>
      <w:tr>
        <w:trPr>
          <w:trHeight w:val="20"/>
        </w:trPr>
        <w:tc>
          <w:tcPr>
            <w:tcW w:w="426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3746500</wp:posOffset>
            </wp:positionH>
            <wp:positionV relativeFrom="paragraph">
              <wp:posOffset>-187960</wp:posOffset>
            </wp:positionV>
            <wp:extent cx="111125" cy="18859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111125" cy="188595"/>
                    </a:xfrm>
                    <a:prstGeom prst="rect">
                      <a:avLst/>
                    </a:prstGeom>
                    <a:noFill/>
                  </pic:spPr>
                </pic:pic>
              </a:graphicData>
            </a:graphic>
          </wp:anchor>
        </w:drawing>
        <w:drawing>
          <wp:anchor simplePos="0" relativeHeight="251657728" behindDoc="1" locked="0" layoutInCell="0" allowOverlap="1">
            <wp:simplePos x="0" y="0"/>
            <wp:positionH relativeFrom="column">
              <wp:posOffset>4893945</wp:posOffset>
            </wp:positionH>
            <wp:positionV relativeFrom="paragraph">
              <wp:posOffset>-187960</wp:posOffset>
            </wp:positionV>
            <wp:extent cx="102870" cy="18859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102870" cy="188595"/>
                    </a:xfrm>
                    <a:prstGeom prst="rect">
                      <a:avLst/>
                    </a:prstGeom>
                    <a:noFill/>
                  </pic:spPr>
                </pic:pic>
              </a:graphicData>
            </a:graphic>
          </wp:anchor>
        </w:drawing>
        <w:drawing>
          <wp:anchor simplePos="0" relativeHeight="251657728" behindDoc="1" locked="0" layoutInCell="0" allowOverlap="1">
            <wp:simplePos x="0" y="0"/>
            <wp:positionH relativeFrom="column">
              <wp:posOffset>6015990</wp:posOffset>
            </wp:positionH>
            <wp:positionV relativeFrom="paragraph">
              <wp:posOffset>-187960</wp:posOffset>
            </wp:positionV>
            <wp:extent cx="102870" cy="18859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102870" cy="188595"/>
                    </a:xfrm>
                    <a:prstGeom prst="rect">
                      <a:avLst/>
                    </a:prstGeom>
                    <a:noFill/>
                  </pic:spPr>
                </pic:pic>
              </a:graphicData>
            </a:graphic>
          </wp:anchor>
        </w:drawing>
      </w:r>
    </w:p>
    <w:p>
      <w:pPr>
        <w:spacing w:after="0" w:line="74"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231F20"/>
        </w:rPr>
        <w:t xml:space="preserve">As of September 30, 2023, total </w:t>
      </w:r>
      <w:r>
        <w:rPr>
          <w:rFonts w:ascii="Arial" w:cs="Arial" w:eastAsia="Arial" w:hAnsi="Arial"/>
          <w:sz w:val="18"/>
          <w:szCs w:val="18"/>
          <w:color w:val="000000"/>
        </w:rPr>
        <w:t>unrecognized</w:t>
      </w:r>
      <w:r>
        <w:rPr>
          <w:rFonts w:ascii="Arial" w:cs="Arial" w:eastAsia="Arial" w:hAnsi="Arial"/>
          <w:sz w:val="18"/>
          <w:szCs w:val="18"/>
          <w:color w:val="231F20"/>
        </w:rPr>
        <w:t xml:space="preserve"> compensation expense related to unvested Time Vesting Options was </w:t>
      </w:r>
      <w:r>
        <w:rPr>
          <w:rFonts w:ascii="Arial" w:cs="Arial" w:eastAsia="Arial" w:hAnsi="Arial"/>
          <w:sz w:val="18"/>
          <w:szCs w:val="18"/>
          <w:color w:val="000000"/>
        </w:rPr>
        <w:t>$8,741</w:t>
      </w:r>
      <w:r>
        <w:rPr>
          <w:rFonts w:ascii="Arial" w:cs="Arial" w:eastAsia="Arial" w:hAnsi="Arial"/>
          <w:sz w:val="18"/>
          <w:szCs w:val="18"/>
          <w:color w:val="231F20"/>
        </w:rPr>
        <w:t>, which is expected to be recognized over a weighted-average period of 2.59 years.</w:t>
      </w:r>
    </w:p>
    <w:p>
      <w:pPr>
        <w:spacing w:after="0" w:line="62" w:lineRule="exact"/>
        <w:rPr>
          <w:sz w:val="20"/>
          <w:szCs w:val="20"/>
          <w:color w:val="auto"/>
        </w:rPr>
      </w:pPr>
    </w:p>
    <w:p>
      <w:pPr>
        <w:spacing w:after="0" w:line="277" w:lineRule="auto"/>
        <w:rPr>
          <w:sz w:val="20"/>
          <w:szCs w:val="20"/>
          <w:color w:val="auto"/>
        </w:rPr>
      </w:pPr>
      <w:r>
        <w:rPr>
          <w:rFonts w:ascii="Arial" w:cs="Arial" w:eastAsia="Arial" w:hAnsi="Arial"/>
          <w:sz w:val="18"/>
          <w:szCs w:val="18"/>
          <w:color w:val="231F20"/>
        </w:rPr>
        <w:t xml:space="preserve">As of September 30, 2023, </w:t>
      </w:r>
      <w:r>
        <w:rPr>
          <w:rFonts w:ascii="Arial" w:cs="Arial" w:eastAsia="Arial" w:hAnsi="Arial"/>
          <w:sz w:val="18"/>
          <w:szCs w:val="18"/>
          <w:color w:val="000000"/>
        </w:rPr>
        <w:t>there was no unrecognized compensation expense related to unvested</w:t>
      </w:r>
      <w:r>
        <w:rPr>
          <w:rFonts w:ascii="Arial" w:cs="Arial" w:eastAsia="Arial" w:hAnsi="Arial"/>
          <w:sz w:val="18"/>
          <w:szCs w:val="18"/>
          <w:color w:val="231F20"/>
        </w:rPr>
        <w:t xml:space="preserve"> Performance Vesting Options </w:t>
      </w:r>
      <w:r>
        <w:rPr>
          <w:rFonts w:ascii="Arial" w:cs="Arial" w:eastAsia="Arial" w:hAnsi="Arial"/>
          <w:sz w:val="18"/>
          <w:szCs w:val="18"/>
          <w:color w:val="000000"/>
        </w:rPr>
        <w:t>as the completion of the IPO</w:t>
      </w:r>
      <w:r>
        <w:rPr>
          <w:rFonts w:ascii="Arial" w:cs="Arial" w:eastAsia="Arial" w:hAnsi="Arial"/>
          <w:sz w:val="18"/>
          <w:szCs w:val="18"/>
          <w:color w:val="231F20"/>
        </w:rPr>
        <w:t xml:space="preserve"> </w:t>
      </w:r>
      <w:r>
        <w:rPr>
          <w:rFonts w:ascii="Arial" w:cs="Arial" w:eastAsia="Arial" w:hAnsi="Arial"/>
          <w:sz w:val="18"/>
          <w:szCs w:val="18"/>
          <w:color w:val="000000"/>
        </w:rPr>
        <w:t xml:space="preserve">satisfied the performance condition and as a result, all outstanding </w:t>
      </w:r>
      <w:r>
        <w:rPr>
          <w:rFonts w:ascii="Arial" w:cs="Arial" w:eastAsia="Arial" w:hAnsi="Arial"/>
          <w:sz w:val="18"/>
          <w:szCs w:val="18"/>
          <w:color w:val="231F20"/>
        </w:rPr>
        <w:t>Performance Vesting Options vested.</w:t>
      </w:r>
    </w:p>
    <w:p>
      <w:pPr>
        <w:spacing w:after="0" w:line="62"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231F20"/>
        </w:rPr>
        <w:t xml:space="preserve">As of September 30, 2023, total unrecognized compensation expense related to unvested RSUs was </w:t>
      </w:r>
      <w:r>
        <w:rPr>
          <w:rFonts w:ascii="Arial" w:cs="Arial" w:eastAsia="Arial" w:hAnsi="Arial"/>
          <w:sz w:val="18"/>
          <w:szCs w:val="18"/>
          <w:color w:val="000000"/>
        </w:rPr>
        <w:t>$23,576</w:t>
      </w:r>
      <w:r>
        <w:rPr>
          <w:rFonts w:ascii="Arial" w:cs="Arial" w:eastAsia="Arial" w:hAnsi="Arial"/>
          <w:sz w:val="18"/>
          <w:szCs w:val="18"/>
          <w:color w:val="231F20"/>
        </w:rPr>
        <w:t>, which is expected to be recognized over a weighted-average period of 2.59 years.</w:t>
      </w:r>
    </w:p>
    <w:p>
      <w:pPr>
        <w:spacing w:after="0" w:line="62"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231F20"/>
        </w:rPr>
        <w:t xml:space="preserve">As of September 30, 2023, total unrecognized compensation expense related to unvested stock purchase rights under the 2021 ESPP was </w:t>
      </w:r>
      <w:r>
        <w:rPr>
          <w:rFonts w:ascii="Arial" w:cs="Arial" w:eastAsia="Arial" w:hAnsi="Arial"/>
          <w:sz w:val="18"/>
          <w:szCs w:val="18"/>
          <w:color w:val="000000"/>
        </w:rPr>
        <w:t>$111</w:t>
      </w:r>
      <w:r>
        <w:rPr>
          <w:rFonts w:ascii="Arial" w:cs="Arial" w:eastAsia="Arial" w:hAnsi="Arial"/>
          <w:sz w:val="18"/>
          <w:szCs w:val="18"/>
          <w:color w:val="231F20"/>
        </w:rPr>
        <w:t>, which is expected to be recognized over a weighted-average period of 0.13 years.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14.  Business Combinations</w:t>
      </w:r>
    </w:p>
    <w:p>
      <w:pPr>
        <w:spacing w:after="0" w:line="121"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231F20"/>
        </w:rPr>
        <w:t>From time to time, we may pursue acquisitions of conveyorized car washes that either strategically fit with the business or expand our presence in new and attractive markets.</w:t>
      </w:r>
    </w:p>
    <w:p>
      <w:pPr>
        <w:spacing w:after="0" w:line="62"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231F20"/>
        </w:rPr>
        <w:t>We account for business combinations under the acquisition method of accounting. The assets acquired and liabilities assumed in connection with business acquisitions are recorded at the date of acquisition at their estimated fair values, with any excess of the purchase price over the estimated fair values of the net assets acquired and intangible assets assigned, recorded as goodwill. Significant judgment is required in estimating the fair value of assets acquired and liabilities assumed and in assigning their respective useful lives. Accordingly, we may engage third-party valuation specialists to assist in these determinations. The fair value estimates are based on available historical information and on future expectations and assumptions deemed reasonable by management; but are inherently uncertain.</w:t>
      </w:r>
    </w:p>
    <w:p>
      <w:pPr>
        <w:spacing w:after="0" w:line="83"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231F20"/>
        </w:rPr>
        <w:t>The unaudited condensed consolidated financial statements reflect the operations of an acquired business starting from the effective date of the acquisition. We expensed $195 and $82 of acquisition-related costs for the three months ended September 30, 2023 and 2022, respectively. We expensed $228 and $517 of acquisition-related costs for the nine months ended September 30, 2023 and 2022, respectively. These acquisition-related costs are expensed as incurred and are included in general and administrative expenses in the accompanying unaudited condensed consolidated statements of operations and comprehensive income.</w:t>
      </w:r>
    </w:p>
    <w:p>
      <w:pPr>
        <w:spacing w:after="0" w:line="83"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231F20"/>
        </w:rPr>
        <w:t>For the three and nine months ended September 30, 2023, goodwill of $25,691 was recorded. For the three and nine months ended September 30, 2023, the amount of acquired goodwill not deductible for income tax purposes was $0. For the three and nine months ended September 30, 2022, the amount of acquired goodwill not deductible for income tax purposes was $692 and $1,078, respectively.</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2023 Acquisitions</w:t>
      </w:r>
    </w:p>
    <w:p>
      <w:pPr>
        <w:spacing w:after="0" w:line="117" w:lineRule="exact"/>
        <w:rPr>
          <w:sz w:val="20"/>
          <w:szCs w:val="20"/>
          <w:color w:val="auto"/>
        </w:rPr>
      </w:pPr>
    </w:p>
    <w:p>
      <w:pPr>
        <w:ind w:right="160"/>
        <w:spacing w:after="0" w:line="254" w:lineRule="auto"/>
        <w:rPr>
          <w:sz w:val="20"/>
          <w:szCs w:val="20"/>
          <w:color w:val="auto"/>
        </w:rPr>
      </w:pPr>
      <w:r>
        <w:rPr>
          <w:rFonts w:ascii="Arial" w:cs="Arial" w:eastAsia="Arial" w:hAnsi="Arial"/>
          <w:sz w:val="18"/>
          <w:szCs w:val="18"/>
          <w:color w:val="231F20"/>
        </w:rPr>
        <w:t>During the three months ended September 30, 2023, we acquired the assets and liabilities of five conveyorized car washes in one acquisition for total consideration of $46,905, which was paid in cash. During the nine months ended September 30, 2023, we acquired the assets and liabilities of six conveyorized car washes in two acquisitions for total consideration of $51,890, which was paid in cash. The acquisitions resulted in the preliminary recognition of $25,691 of goodwill, $22,455 of property and equipment, $3,580 of ROU assets, $640 of intangible assets, $100 of other net liabilities, and $376 of a bargain purchase gain. The bargain purchase gain is not material and is recorded within (Gain) loss on sale of assets, net on the condensed consolidated statements of operations and comprehensive income. We do not believe these acquisitions are material to our overall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0" w:right="339" w:bottom="1440" w:gutter="0" w:footer="0" w:header="0"/>
        </w:sectPr>
      </w:pPr>
    </w:p>
    <w:bookmarkStart w:id="20" w:name="page21"/>
    <w:bookmarkEnd w:id="20"/>
    <w:tbl>
      <w:tblPr>
        <w:tblLayout w:type="fixed"/>
        <w:tblInd w:w="0" w:type="dxa"/>
        <w:tblCellMar>
          <w:top w:w="0" w:type="dxa"/>
          <w:left w:w="0" w:type="dxa"/>
          <w:bottom w:w="0" w:type="dxa"/>
          <w:right w:w="0" w:type="dxa"/>
        </w:tblCellMar>
      </w:tblPr>
      <w:tr>
        <w:trPr>
          <w:trHeight w:val="230"/>
        </w:trPr>
        <w:tc>
          <w:tcPr>
            <w:tcW w:w="5900" w:type="dxa"/>
            <w:vAlign w:val="bottom"/>
          </w:tcPr>
          <w:p>
            <w:pPr>
              <w:spacing w:after="0"/>
              <w:rPr>
                <w:sz w:val="20"/>
                <w:szCs w:val="20"/>
                <w:color w:val="auto"/>
              </w:rPr>
            </w:pPr>
            <w:r>
              <w:rPr>
                <w:rFonts w:ascii="Arial" w:cs="Arial" w:eastAsia="Arial" w:hAnsi="Arial"/>
                <w:sz w:val="18"/>
                <w:szCs w:val="18"/>
                <w:color w:val="231F20"/>
              </w:rPr>
              <w:t>The acquisitions were located in the following markets:</w:t>
            </w:r>
          </w:p>
        </w:tc>
        <w:tc>
          <w:tcPr>
            <w:tcW w:w="34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80" w:type="dxa"/>
            <w:vAlign w:val="bottom"/>
          </w:tcPr>
          <w:p>
            <w:pPr>
              <w:spacing w:after="0"/>
              <w:rPr>
                <w:sz w:val="20"/>
                <w:szCs w:val="20"/>
                <w:color w:val="auto"/>
              </w:rPr>
            </w:pPr>
          </w:p>
        </w:tc>
      </w:tr>
      <w:tr>
        <w:trPr>
          <w:trHeight w:val="344"/>
        </w:trPr>
        <w:tc>
          <w:tcPr>
            <w:tcW w:w="590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Location (Seller)</w:t>
            </w:r>
          </w:p>
        </w:tc>
        <w:tc>
          <w:tcPr>
            <w:tcW w:w="3480" w:type="dxa"/>
            <w:vAlign w:val="bottom"/>
            <w:tcBorders>
              <w:bottom w:val="single" w:sz="8" w:color="auto"/>
            </w:tcBorders>
          </w:tcPr>
          <w:p>
            <w:pPr>
              <w:jc w:val="center"/>
              <w:ind w:left="1690"/>
              <w:spacing w:after="0"/>
              <w:rPr>
                <w:sz w:val="20"/>
                <w:szCs w:val="20"/>
                <w:color w:val="auto"/>
              </w:rPr>
            </w:pPr>
            <w:r>
              <w:rPr>
                <w:rFonts w:ascii="Arial" w:cs="Arial" w:eastAsia="Arial" w:hAnsi="Arial"/>
                <w:sz w:val="18"/>
                <w:szCs w:val="18"/>
                <w:b w:val="1"/>
                <w:bCs w:val="1"/>
                <w:color w:val="auto"/>
                <w:w w:val="89"/>
              </w:rPr>
              <w:t>Number of Washes</w:t>
            </w:r>
          </w:p>
        </w:tc>
        <w:tc>
          <w:tcPr>
            <w:tcW w:w="180" w:type="dxa"/>
            <w:vAlign w:val="bottom"/>
          </w:tcPr>
          <w:p>
            <w:pPr>
              <w:spacing w:after="0"/>
              <w:rPr>
                <w:sz w:val="24"/>
                <w:szCs w:val="24"/>
                <w:color w:val="auto"/>
              </w:rPr>
            </w:pPr>
          </w:p>
        </w:tc>
        <w:tc>
          <w:tcPr>
            <w:tcW w:w="16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Month Acquired</w:t>
            </w:r>
          </w:p>
        </w:tc>
      </w:tr>
      <w:tr>
        <w:trPr>
          <w:trHeight w:val="236"/>
        </w:trPr>
        <w:tc>
          <w:tcPr>
            <w:tcW w:w="5900" w:type="dxa"/>
            <w:vAlign w:val="bottom"/>
          </w:tcPr>
          <w:p>
            <w:pPr>
              <w:ind w:left="20"/>
              <w:spacing w:after="0"/>
              <w:rPr>
                <w:sz w:val="20"/>
                <w:szCs w:val="20"/>
                <w:color w:val="auto"/>
              </w:rPr>
            </w:pPr>
            <w:r>
              <w:rPr>
                <w:rFonts w:ascii="Arial" w:cs="Arial" w:eastAsia="Arial" w:hAnsi="Arial"/>
                <w:sz w:val="18"/>
                <w:szCs w:val="18"/>
                <w:color w:val="auto"/>
              </w:rPr>
              <w:t>Arizona (Dynamite Car Wash)</w:t>
            </w:r>
          </w:p>
        </w:tc>
        <w:tc>
          <w:tcPr>
            <w:tcW w:w="3480" w:type="dxa"/>
            <w:vAlign w:val="bottom"/>
          </w:tcPr>
          <w:p>
            <w:pPr>
              <w:jc w:val="center"/>
              <w:ind w:left="1690"/>
              <w:spacing w:after="0"/>
              <w:rPr>
                <w:sz w:val="20"/>
                <w:szCs w:val="20"/>
                <w:color w:val="auto"/>
              </w:rPr>
            </w:pPr>
            <w:r>
              <w:rPr>
                <w:rFonts w:ascii="Arial" w:cs="Arial" w:eastAsia="Arial" w:hAnsi="Arial"/>
                <w:sz w:val="18"/>
                <w:szCs w:val="18"/>
                <w:color w:val="auto"/>
                <w:w w:val="99"/>
              </w:rPr>
              <w:t>1</w:t>
            </w:r>
          </w:p>
        </w:tc>
        <w:tc>
          <w:tcPr>
            <w:tcW w:w="180" w:type="dxa"/>
            <w:vAlign w:val="bottom"/>
          </w:tcPr>
          <w:p>
            <w:pPr>
              <w:spacing w:after="0"/>
              <w:rPr>
                <w:sz w:val="20"/>
                <w:szCs w:val="20"/>
                <w:color w:val="auto"/>
              </w:rPr>
            </w:pPr>
          </w:p>
        </w:tc>
        <w:tc>
          <w:tcPr>
            <w:tcW w:w="1680" w:type="dxa"/>
            <w:vAlign w:val="bottom"/>
          </w:tcPr>
          <w:p>
            <w:pPr>
              <w:jc w:val="center"/>
              <w:spacing w:after="0"/>
              <w:rPr>
                <w:sz w:val="20"/>
                <w:szCs w:val="20"/>
                <w:color w:val="auto"/>
              </w:rPr>
            </w:pPr>
            <w:r>
              <w:rPr>
                <w:rFonts w:ascii="Arial" w:cs="Arial" w:eastAsia="Arial" w:hAnsi="Arial"/>
                <w:sz w:val="18"/>
                <w:szCs w:val="18"/>
                <w:color w:val="auto"/>
              </w:rPr>
              <w:t>April</w:t>
            </w:r>
          </w:p>
        </w:tc>
      </w:tr>
      <w:tr>
        <w:trPr>
          <w:trHeight w:val="249"/>
        </w:trPr>
        <w:tc>
          <w:tcPr>
            <w:tcW w:w="5900" w:type="dxa"/>
            <w:vAlign w:val="bottom"/>
            <w:shd w:val="clear" w:color="auto" w:fill="CFF0FC"/>
          </w:tcPr>
          <w:p>
            <w:pPr>
              <w:ind w:left="20"/>
              <w:spacing w:after="0"/>
              <w:rPr>
                <w:sz w:val="20"/>
                <w:szCs w:val="20"/>
                <w:color w:val="auto"/>
              </w:rPr>
            </w:pPr>
            <w:r>
              <w:rPr>
                <w:rFonts w:ascii="Arial" w:cs="Arial" w:eastAsia="Arial" w:hAnsi="Arial"/>
                <w:sz w:val="18"/>
                <w:szCs w:val="18"/>
                <w:color w:val="auto"/>
              </w:rPr>
              <w:t>California (Cruizers Car Wash)</w:t>
            </w:r>
          </w:p>
        </w:tc>
        <w:tc>
          <w:tcPr>
            <w:tcW w:w="3480" w:type="dxa"/>
            <w:vAlign w:val="bottom"/>
            <w:shd w:val="clear" w:color="auto" w:fill="CFF0FC"/>
          </w:tcPr>
          <w:p>
            <w:pPr>
              <w:jc w:val="center"/>
              <w:ind w:left="1690"/>
              <w:spacing w:after="0"/>
              <w:rPr>
                <w:sz w:val="20"/>
                <w:szCs w:val="20"/>
                <w:color w:val="auto"/>
              </w:rPr>
            </w:pPr>
            <w:r>
              <w:rPr>
                <w:rFonts w:ascii="Arial" w:cs="Arial" w:eastAsia="Arial" w:hAnsi="Arial"/>
                <w:sz w:val="18"/>
                <w:szCs w:val="18"/>
                <w:color w:val="auto"/>
                <w:w w:val="99"/>
              </w:rPr>
              <w:t>5</w:t>
            </w:r>
          </w:p>
        </w:tc>
        <w:tc>
          <w:tcPr>
            <w:tcW w:w="180" w:type="dxa"/>
            <w:vAlign w:val="bottom"/>
            <w:shd w:val="clear" w:color="auto" w:fill="CFF0FC"/>
          </w:tcPr>
          <w:p>
            <w:pPr>
              <w:spacing w:after="0"/>
              <w:rPr>
                <w:sz w:val="21"/>
                <w:szCs w:val="21"/>
                <w:color w:val="auto"/>
              </w:rPr>
            </w:pPr>
          </w:p>
        </w:tc>
        <w:tc>
          <w:tcPr>
            <w:tcW w:w="168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3"/>
              </w:rPr>
              <w:t>July</w:t>
            </w:r>
          </w:p>
        </w:tc>
      </w:tr>
    </w:tbl>
    <w:p>
      <w:pPr>
        <w:spacing w:after="0" w:line="3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2022 Acquisitions</w:t>
      </w:r>
    </w:p>
    <w:p>
      <w:pPr>
        <w:spacing w:after="0" w:line="11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231F20"/>
        </w:rPr>
        <w:t>For the year ended December 31, 2022, we acquired the assets and liabilities of 11 conveyorized car washes in four acquisitions for total consideration of approximately $98,548, which was paid in cash. These acquisitions resulted in the preliminary recognition of $57,856 of goodwill, $37,174 of property and equipment, $1,540 of intangible assets related to covenant not to compete, $1,978 of other assets and liabilities. There were no adjustments related to 2022 acquisitions in the current year.</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231F20"/>
        </w:rPr>
        <w:t>The weighted-average amortization period for the acquired covenants not to compete is 5.0 years.</w:t>
      </w:r>
    </w:p>
    <w:p>
      <w:pPr>
        <w:spacing w:after="0" w:line="33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900" w:type="dxa"/>
            <w:vAlign w:val="bottom"/>
          </w:tcPr>
          <w:p>
            <w:pPr>
              <w:spacing w:after="0"/>
              <w:rPr>
                <w:sz w:val="20"/>
                <w:szCs w:val="20"/>
                <w:color w:val="auto"/>
              </w:rPr>
            </w:pPr>
            <w:r>
              <w:rPr>
                <w:rFonts w:ascii="Arial" w:cs="Arial" w:eastAsia="Arial" w:hAnsi="Arial"/>
                <w:sz w:val="18"/>
                <w:szCs w:val="18"/>
                <w:color w:val="231F20"/>
              </w:rPr>
              <w:t>The acquisitions were located in the following markets:</w:t>
            </w:r>
          </w:p>
        </w:tc>
        <w:tc>
          <w:tcPr>
            <w:tcW w:w="34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80" w:type="dxa"/>
            <w:vAlign w:val="bottom"/>
          </w:tcPr>
          <w:p>
            <w:pPr>
              <w:spacing w:after="0"/>
              <w:rPr>
                <w:sz w:val="20"/>
                <w:szCs w:val="20"/>
                <w:color w:val="auto"/>
              </w:rPr>
            </w:pPr>
          </w:p>
        </w:tc>
      </w:tr>
      <w:tr>
        <w:trPr>
          <w:trHeight w:val="668"/>
        </w:trPr>
        <w:tc>
          <w:tcPr>
            <w:tcW w:w="590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Location (Seller)</w:t>
            </w:r>
          </w:p>
        </w:tc>
        <w:tc>
          <w:tcPr>
            <w:tcW w:w="3480" w:type="dxa"/>
            <w:vAlign w:val="bottom"/>
            <w:tcBorders>
              <w:bottom w:val="single" w:sz="8" w:color="auto"/>
            </w:tcBorders>
          </w:tcPr>
          <w:p>
            <w:pPr>
              <w:jc w:val="center"/>
              <w:ind w:left="1690"/>
              <w:spacing w:after="0"/>
              <w:rPr>
                <w:sz w:val="20"/>
                <w:szCs w:val="20"/>
                <w:color w:val="auto"/>
              </w:rPr>
            </w:pPr>
            <w:r>
              <w:rPr>
                <w:rFonts w:ascii="Arial" w:cs="Arial" w:eastAsia="Arial" w:hAnsi="Arial"/>
                <w:sz w:val="18"/>
                <w:szCs w:val="18"/>
                <w:b w:val="1"/>
                <w:bCs w:val="1"/>
                <w:color w:val="auto"/>
                <w:w w:val="89"/>
              </w:rPr>
              <w:t>Number of Washes</w:t>
            </w:r>
          </w:p>
        </w:tc>
        <w:tc>
          <w:tcPr>
            <w:tcW w:w="180" w:type="dxa"/>
            <w:vAlign w:val="bottom"/>
          </w:tcPr>
          <w:p>
            <w:pPr>
              <w:spacing w:after="0"/>
              <w:rPr>
                <w:sz w:val="24"/>
                <w:szCs w:val="24"/>
                <w:color w:val="auto"/>
              </w:rPr>
            </w:pPr>
          </w:p>
        </w:tc>
        <w:tc>
          <w:tcPr>
            <w:tcW w:w="16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Month Acquired</w:t>
            </w:r>
          </w:p>
        </w:tc>
      </w:tr>
      <w:tr>
        <w:trPr>
          <w:trHeight w:val="243"/>
        </w:trPr>
        <w:tc>
          <w:tcPr>
            <w:tcW w:w="5900" w:type="dxa"/>
            <w:vAlign w:val="bottom"/>
            <w:shd w:val="clear" w:color="auto" w:fill="CFF0FC"/>
          </w:tcPr>
          <w:p>
            <w:pPr>
              <w:ind w:left="20"/>
              <w:spacing w:after="0"/>
              <w:rPr>
                <w:sz w:val="20"/>
                <w:szCs w:val="20"/>
                <w:color w:val="auto"/>
              </w:rPr>
            </w:pPr>
            <w:r>
              <w:rPr>
                <w:rFonts w:ascii="Arial" w:cs="Arial" w:eastAsia="Arial" w:hAnsi="Arial"/>
                <w:sz w:val="18"/>
                <w:szCs w:val="18"/>
                <w:color w:val="auto"/>
              </w:rPr>
              <w:t>Georgia (Bamboo Carwash)</w:t>
            </w:r>
          </w:p>
        </w:tc>
        <w:tc>
          <w:tcPr>
            <w:tcW w:w="3480" w:type="dxa"/>
            <w:vAlign w:val="bottom"/>
            <w:shd w:val="clear" w:color="auto" w:fill="CFF0FC"/>
          </w:tcPr>
          <w:p>
            <w:pPr>
              <w:jc w:val="center"/>
              <w:ind w:left="1690"/>
              <w:spacing w:after="0"/>
              <w:rPr>
                <w:sz w:val="20"/>
                <w:szCs w:val="20"/>
                <w:color w:val="auto"/>
              </w:rPr>
            </w:pPr>
            <w:r>
              <w:rPr>
                <w:rFonts w:ascii="Arial" w:cs="Arial" w:eastAsia="Arial" w:hAnsi="Arial"/>
                <w:sz w:val="18"/>
                <w:szCs w:val="18"/>
                <w:color w:val="auto"/>
                <w:w w:val="99"/>
              </w:rPr>
              <w:t>1</w:t>
            </w:r>
          </w:p>
        </w:tc>
        <w:tc>
          <w:tcPr>
            <w:tcW w:w="180" w:type="dxa"/>
            <w:vAlign w:val="bottom"/>
            <w:shd w:val="clear" w:color="auto" w:fill="CFF0FC"/>
          </w:tcPr>
          <w:p>
            <w:pPr>
              <w:spacing w:after="0"/>
              <w:rPr>
                <w:sz w:val="21"/>
                <w:szCs w:val="21"/>
                <w:color w:val="auto"/>
              </w:rPr>
            </w:pPr>
          </w:p>
        </w:tc>
        <w:tc>
          <w:tcPr>
            <w:tcW w:w="1680" w:type="dxa"/>
            <w:vAlign w:val="bottom"/>
            <w:shd w:val="clear" w:color="auto" w:fill="CFF0FC"/>
          </w:tcPr>
          <w:p>
            <w:pPr>
              <w:jc w:val="center"/>
              <w:spacing w:after="0"/>
              <w:rPr>
                <w:sz w:val="20"/>
                <w:szCs w:val="20"/>
                <w:color w:val="auto"/>
              </w:rPr>
            </w:pPr>
            <w:r>
              <w:rPr>
                <w:rFonts w:ascii="Arial" w:cs="Arial" w:eastAsia="Arial" w:hAnsi="Arial"/>
                <w:sz w:val="18"/>
                <w:szCs w:val="18"/>
                <w:color w:val="auto"/>
              </w:rPr>
              <w:t>April</w:t>
            </w:r>
          </w:p>
        </w:tc>
      </w:tr>
      <w:tr>
        <w:trPr>
          <w:trHeight w:val="236"/>
        </w:trPr>
        <w:tc>
          <w:tcPr>
            <w:tcW w:w="5900" w:type="dxa"/>
            <w:vAlign w:val="bottom"/>
          </w:tcPr>
          <w:p>
            <w:pPr>
              <w:ind w:left="20"/>
              <w:spacing w:after="0"/>
              <w:rPr>
                <w:sz w:val="20"/>
                <w:szCs w:val="20"/>
                <w:color w:val="auto"/>
              </w:rPr>
            </w:pPr>
            <w:r>
              <w:rPr>
                <w:rFonts w:ascii="Arial" w:cs="Arial" w:eastAsia="Arial" w:hAnsi="Arial"/>
                <w:sz w:val="18"/>
                <w:szCs w:val="18"/>
                <w:color w:val="auto"/>
              </w:rPr>
              <w:t>California (Speedwash)</w:t>
            </w:r>
          </w:p>
        </w:tc>
        <w:tc>
          <w:tcPr>
            <w:tcW w:w="3480" w:type="dxa"/>
            <w:vAlign w:val="bottom"/>
          </w:tcPr>
          <w:p>
            <w:pPr>
              <w:jc w:val="center"/>
              <w:ind w:left="1690"/>
              <w:spacing w:after="0"/>
              <w:rPr>
                <w:sz w:val="20"/>
                <w:szCs w:val="20"/>
                <w:color w:val="auto"/>
              </w:rPr>
            </w:pPr>
            <w:r>
              <w:rPr>
                <w:rFonts w:ascii="Arial" w:cs="Arial" w:eastAsia="Arial" w:hAnsi="Arial"/>
                <w:sz w:val="18"/>
                <w:szCs w:val="18"/>
                <w:color w:val="auto"/>
                <w:w w:val="99"/>
              </w:rPr>
              <w:t>4</w:t>
            </w:r>
          </w:p>
        </w:tc>
        <w:tc>
          <w:tcPr>
            <w:tcW w:w="180" w:type="dxa"/>
            <w:vAlign w:val="bottom"/>
          </w:tcPr>
          <w:p>
            <w:pPr>
              <w:spacing w:after="0"/>
              <w:rPr>
                <w:sz w:val="20"/>
                <w:szCs w:val="20"/>
                <w:color w:val="auto"/>
              </w:rPr>
            </w:pPr>
          </w:p>
        </w:tc>
        <w:tc>
          <w:tcPr>
            <w:tcW w:w="1680" w:type="dxa"/>
            <w:vAlign w:val="bottom"/>
          </w:tcPr>
          <w:p>
            <w:pPr>
              <w:jc w:val="center"/>
              <w:spacing w:after="0"/>
              <w:rPr>
                <w:sz w:val="20"/>
                <w:szCs w:val="20"/>
                <w:color w:val="auto"/>
              </w:rPr>
            </w:pPr>
            <w:r>
              <w:rPr>
                <w:rFonts w:ascii="Arial" w:cs="Arial" w:eastAsia="Arial" w:hAnsi="Arial"/>
                <w:sz w:val="18"/>
                <w:szCs w:val="18"/>
                <w:color w:val="auto"/>
              </w:rPr>
              <w:t>April</w:t>
            </w:r>
          </w:p>
        </w:tc>
      </w:tr>
      <w:tr>
        <w:trPr>
          <w:trHeight w:val="249"/>
        </w:trPr>
        <w:tc>
          <w:tcPr>
            <w:tcW w:w="5900" w:type="dxa"/>
            <w:vAlign w:val="bottom"/>
            <w:shd w:val="clear" w:color="auto" w:fill="CFF0FC"/>
          </w:tcPr>
          <w:p>
            <w:pPr>
              <w:ind w:left="20"/>
              <w:spacing w:after="0"/>
              <w:rPr>
                <w:sz w:val="20"/>
                <w:szCs w:val="20"/>
                <w:color w:val="auto"/>
              </w:rPr>
            </w:pPr>
            <w:r>
              <w:rPr>
                <w:rFonts w:ascii="Arial" w:cs="Arial" w:eastAsia="Arial" w:hAnsi="Arial"/>
                <w:sz w:val="18"/>
                <w:szCs w:val="18"/>
                <w:color w:val="auto"/>
              </w:rPr>
              <w:t>Minnesota (Top Wash)</w:t>
            </w:r>
          </w:p>
        </w:tc>
        <w:tc>
          <w:tcPr>
            <w:tcW w:w="3480" w:type="dxa"/>
            <w:vAlign w:val="bottom"/>
            <w:shd w:val="clear" w:color="auto" w:fill="CFF0FC"/>
          </w:tcPr>
          <w:p>
            <w:pPr>
              <w:jc w:val="center"/>
              <w:ind w:left="1690"/>
              <w:spacing w:after="0"/>
              <w:rPr>
                <w:sz w:val="20"/>
                <w:szCs w:val="20"/>
                <w:color w:val="auto"/>
              </w:rPr>
            </w:pPr>
            <w:r>
              <w:rPr>
                <w:rFonts w:ascii="Arial" w:cs="Arial" w:eastAsia="Arial" w:hAnsi="Arial"/>
                <w:sz w:val="18"/>
                <w:szCs w:val="18"/>
                <w:color w:val="auto"/>
                <w:w w:val="99"/>
              </w:rPr>
              <w:t>3</w:t>
            </w:r>
          </w:p>
        </w:tc>
        <w:tc>
          <w:tcPr>
            <w:tcW w:w="180" w:type="dxa"/>
            <w:vAlign w:val="bottom"/>
            <w:shd w:val="clear" w:color="auto" w:fill="CFF0FC"/>
          </w:tcPr>
          <w:p>
            <w:pPr>
              <w:spacing w:after="0"/>
              <w:rPr>
                <w:sz w:val="21"/>
                <w:szCs w:val="21"/>
                <w:color w:val="auto"/>
              </w:rPr>
            </w:pPr>
          </w:p>
        </w:tc>
        <w:tc>
          <w:tcPr>
            <w:tcW w:w="168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2"/>
              </w:rPr>
              <w:t>August</w:t>
            </w:r>
          </w:p>
        </w:tc>
      </w:tr>
      <w:tr>
        <w:trPr>
          <w:trHeight w:val="230"/>
        </w:trPr>
        <w:tc>
          <w:tcPr>
            <w:tcW w:w="5900" w:type="dxa"/>
            <w:vAlign w:val="bottom"/>
          </w:tcPr>
          <w:p>
            <w:pPr>
              <w:ind w:left="20"/>
              <w:spacing w:after="0"/>
              <w:rPr>
                <w:sz w:val="20"/>
                <w:szCs w:val="20"/>
                <w:color w:val="auto"/>
              </w:rPr>
            </w:pPr>
            <w:r>
              <w:rPr>
                <w:rFonts w:ascii="Arial" w:cs="Arial" w:eastAsia="Arial" w:hAnsi="Arial"/>
                <w:sz w:val="18"/>
                <w:szCs w:val="18"/>
                <w:color w:val="auto"/>
              </w:rPr>
              <w:t>California (Rapid Xpress)</w:t>
            </w:r>
          </w:p>
        </w:tc>
        <w:tc>
          <w:tcPr>
            <w:tcW w:w="3480" w:type="dxa"/>
            <w:vAlign w:val="bottom"/>
          </w:tcPr>
          <w:p>
            <w:pPr>
              <w:jc w:val="center"/>
              <w:ind w:left="1690"/>
              <w:spacing w:after="0"/>
              <w:rPr>
                <w:sz w:val="20"/>
                <w:szCs w:val="20"/>
                <w:color w:val="auto"/>
              </w:rPr>
            </w:pPr>
            <w:r>
              <w:rPr>
                <w:rFonts w:ascii="Arial" w:cs="Arial" w:eastAsia="Arial" w:hAnsi="Arial"/>
                <w:sz w:val="18"/>
                <w:szCs w:val="18"/>
                <w:color w:val="auto"/>
                <w:w w:val="99"/>
              </w:rPr>
              <w:t>3</w:t>
            </w:r>
          </w:p>
        </w:tc>
        <w:tc>
          <w:tcPr>
            <w:tcW w:w="180" w:type="dxa"/>
            <w:vAlign w:val="bottom"/>
          </w:tcPr>
          <w:p>
            <w:pPr>
              <w:spacing w:after="0"/>
              <w:rPr>
                <w:sz w:val="20"/>
                <w:szCs w:val="20"/>
                <w:color w:val="auto"/>
              </w:rPr>
            </w:pPr>
          </w:p>
        </w:tc>
        <w:tc>
          <w:tcPr>
            <w:tcW w:w="1680" w:type="dxa"/>
            <w:vAlign w:val="bottom"/>
          </w:tcPr>
          <w:p>
            <w:pPr>
              <w:jc w:val="center"/>
              <w:spacing w:after="0"/>
              <w:rPr>
                <w:sz w:val="20"/>
                <w:szCs w:val="20"/>
                <w:color w:val="auto"/>
              </w:rPr>
            </w:pPr>
            <w:r>
              <w:rPr>
                <w:rFonts w:ascii="Arial" w:cs="Arial" w:eastAsia="Arial" w:hAnsi="Arial"/>
                <w:sz w:val="18"/>
                <w:szCs w:val="18"/>
                <w:color w:val="auto"/>
                <w:w w:val="89"/>
              </w:rPr>
              <w:t>December</w:t>
            </w:r>
          </w:p>
        </w:tc>
      </w:tr>
    </w:tbl>
    <w:p>
      <w:pPr>
        <w:spacing w:after="0" w:line="318"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15.  Commitments and Contingencies</w:t>
      </w:r>
    </w:p>
    <w:p>
      <w:pPr>
        <w:spacing w:after="0" w:line="121" w:lineRule="exact"/>
        <w:rPr>
          <w:sz w:val="20"/>
          <w:szCs w:val="20"/>
          <w:color w:val="auto"/>
        </w:rPr>
      </w:pPr>
    </w:p>
    <w:p>
      <w:pPr>
        <w:jc w:val="both"/>
        <w:ind w:right="260"/>
        <w:spacing w:after="0" w:line="311" w:lineRule="auto"/>
        <w:rPr>
          <w:sz w:val="20"/>
          <w:szCs w:val="20"/>
          <w:color w:val="auto"/>
        </w:rPr>
      </w:pPr>
      <w:r>
        <w:rPr>
          <w:rFonts w:ascii="Arial" w:cs="Arial" w:eastAsia="Arial" w:hAnsi="Arial"/>
          <w:sz w:val="16"/>
          <w:szCs w:val="16"/>
          <w:color w:val="231F20"/>
        </w:rPr>
        <w:t>From time to time, we are party to pending or threatened lawsuits arising out of or incident to the ordinary course of business. We carry professional and general liability insurance coverage and other insurance coverages. In the opinion of management and upon consultation with legal counsel, none of the pending or threatened lawsuits will have a material effect upon the consolidated financial position, operations, or cash flows of the Company.</w:t>
      </w:r>
    </w:p>
    <w:p>
      <w:pPr>
        <w:spacing w:after="0" w:line="4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Class Action Litigation</w:t>
      </w:r>
    </w:p>
    <w:p>
      <w:pPr>
        <w:spacing w:after="0" w:line="117" w:lineRule="exact"/>
        <w:rPr>
          <w:sz w:val="20"/>
          <w:szCs w:val="20"/>
          <w:color w:val="auto"/>
        </w:rPr>
      </w:pPr>
    </w:p>
    <w:p>
      <w:pPr>
        <w:ind w:right="80"/>
        <w:spacing w:after="0" w:line="288" w:lineRule="auto"/>
        <w:rPr>
          <w:sz w:val="20"/>
          <w:szCs w:val="20"/>
          <w:color w:val="auto"/>
        </w:rPr>
      </w:pPr>
      <w:r>
        <w:rPr>
          <w:rFonts w:ascii="Arial" w:cs="Arial" w:eastAsia="Arial" w:hAnsi="Arial"/>
          <w:sz w:val="16"/>
          <w:szCs w:val="16"/>
          <w:color w:val="auto"/>
        </w:rPr>
        <w:t>On February 14, 2023, a plaintiff filed a purported class action lawsuit in the Stanislaus County Superior Court, California, on behalf of all non-exempt employees employed by Defendants Prime Shine LLC in California any time between February 14, 2019, and the present, against Prime Shine, LLC and Does 1 – 20 inclusive. Plaintiff alleges eight claims for violations of the California Labor Code and one claim for violation of the California Business &amp; Professions Code. On June 13, 2023, Plaintiff filed a First Amended Complaint to add a claim for penalties pursuant to the Private Attorneys General Act. Plaintiff seeks, among other things, an unspecified amount for unpaid wages, actual, consequential, and incidental losses, penalties, and attorneys’ fees and costs. The parties agreed to an informal exchange of information in lieu of formal discovery prior to mediation with an experienced wage-and-hour mediator. After undergoing mediation in October 2023, both parties reached a consensus to resolve the lawsuit. This agreement is contingent upon the formalization through a written settlement document and subsequent approval from the California Department of Labor and the court. Should all these conditions be met, the class action lawsuit will be considered settled. Management believes, based on currently available information, that the ultimate outcome of the proceeding described above will not have a material adverse effect on the Company’s financial condition or results of operations.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Insurance</w:t>
      </w:r>
    </w:p>
    <w:p>
      <w:pPr>
        <w:spacing w:after="0" w:line="117" w:lineRule="exact"/>
        <w:rPr>
          <w:sz w:val="20"/>
          <w:szCs w:val="20"/>
          <w:color w:val="auto"/>
        </w:rPr>
      </w:pPr>
    </w:p>
    <w:p>
      <w:pPr>
        <w:ind w:right="140"/>
        <w:spacing w:after="0" w:line="293" w:lineRule="auto"/>
        <w:rPr>
          <w:sz w:val="20"/>
          <w:szCs w:val="20"/>
          <w:color w:val="auto"/>
        </w:rPr>
      </w:pPr>
      <w:r>
        <w:rPr>
          <w:rFonts w:ascii="Arial" w:cs="Arial" w:eastAsia="Arial" w:hAnsi="Arial"/>
          <w:sz w:val="16"/>
          <w:szCs w:val="16"/>
          <w:color w:val="231F20"/>
        </w:rPr>
        <w:t xml:space="preserve">We carry a broad range of insurance coverage, including general and business auto liability, commercial property, workers’ compensation, cyber risk, and general umbrella policies. As of September 30, 2023 and December 31, 2022, we accrued </w:t>
      </w:r>
      <w:r>
        <w:rPr>
          <w:rFonts w:ascii="Arial" w:cs="Arial" w:eastAsia="Arial" w:hAnsi="Arial"/>
          <w:sz w:val="16"/>
          <w:szCs w:val="16"/>
          <w:color w:val="000000"/>
        </w:rPr>
        <w:t>$4,455 and</w:t>
      </w:r>
      <w:r>
        <w:rPr>
          <w:rFonts w:ascii="Arial" w:cs="Arial" w:eastAsia="Arial" w:hAnsi="Arial"/>
          <w:sz w:val="16"/>
          <w:szCs w:val="16"/>
          <w:color w:val="231F20"/>
        </w:rPr>
        <w:t xml:space="preserve"> $3,230, respectively, for assessments on insurance claims filed, which are included in other accrued expenses in the accompanying unaudited condensed consolidated balance sheets. As of September 30, 2023 and December 31, 2022, we recorded </w:t>
      </w:r>
      <w:r>
        <w:rPr>
          <w:rFonts w:ascii="Arial" w:cs="Arial" w:eastAsia="Arial" w:hAnsi="Arial"/>
          <w:sz w:val="16"/>
          <w:szCs w:val="16"/>
          <w:color w:val="000000"/>
        </w:rPr>
        <w:t>$3,771 and</w:t>
      </w:r>
      <w:r>
        <w:rPr>
          <w:rFonts w:ascii="Arial" w:cs="Arial" w:eastAsia="Arial" w:hAnsi="Arial"/>
          <w:sz w:val="16"/>
          <w:szCs w:val="16"/>
          <w:color w:val="231F20"/>
        </w:rPr>
        <w:t xml:space="preserve"> $2,627, respectively, in receivables from its non-healthcare insurance carriers related to these insurance claims, which are included in other receivables in the accompanying unaudited condensed consolidated balance sheets. The receivables are paid when the claim is finalized and the reserved amounts on these claims are expected to be paid within one year.</w:t>
      </w:r>
    </w:p>
    <w:p>
      <w:pPr>
        <w:spacing w:after="0" w:line="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Environmental Matters</w:t>
      </w:r>
    </w:p>
    <w:p>
      <w:pPr>
        <w:spacing w:after="0" w:line="117" w:lineRule="exact"/>
        <w:rPr>
          <w:sz w:val="20"/>
          <w:szCs w:val="20"/>
          <w:color w:val="auto"/>
        </w:rPr>
      </w:pPr>
    </w:p>
    <w:p>
      <w:pPr>
        <w:ind w:right="440"/>
        <w:spacing w:after="0" w:line="263" w:lineRule="auto"/>
        <w:rPr>
          <w:sz w:val="20"/>
          <w:szCs w:val="20"/>
          <w:color w:val="auto"/>
        </w:rPr>
      </w:pPr>
      <w:r>
        <w:rPr>
          <w:rFonts w:ascii="Arial" w:cs="Arial" w:eastAsia="Arial" w:hAnsi="Arial"/>
          <w:sz w:val="18"/>
          <w:szCs w:val="18"/>
          <w:color w:val="231F20"/>
        </w:rPr>
        <w:t>Operations at certain facilities currently or previously owned or leased by us utilize, or in the past have utilized, hazardous substances generally in compliance with applicable law. Periodically, we have had minor claims asserted against it by regulatory agencies or private parties for environmental matters relating to the handling of hazardous substances by us, and it has incurred obligations for</w:t>
      </w:r>
    </w:p>
    <w:p>
      <w:pPr>
        <w:spacing w:after="0" w:line="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1" w:name="page22"/>
    <w:bookmarkEnd w:id="21"/>
    <w:p>
      <w:pPr>
        <w:spacing w:after="0" w:line="271" w:lineRule="auto"/>
        <w:rPr>
          <w:sz w:val="20"/>
          <w:szCs w:val="20"/>
          <w:color w:val="auto"/>
        </w:rPr>
      </w:pPr>
      <w:r>
        <w:rPr>
          <w:rFonts w:ascii="Arial" w:cs="Arial" w:eastAsia="Arial" w:hAnsi="Arial"/>
          <w:sz w:val="17"/>
          <w:szCs w:val="17"/>
          <w:color w:val="231F20"/>
        </w:rPr>
        <w:t>investigations or remedial actions with respect to certain of these matters. There can be no assurances that activities at these facilities, or future facilities owned or operated by us, may not result in additional environmental claims being asserted against us or additional investigations or remedial actions being required. We are not aware of any significant remediation matters as of September 30, 2023. Because of various factors including the difficulty of identifying the responsible parties for any particular site, the complexity of determining the relative liability among them, the uncertainty as to the most desirable remediation techniques and the amount of damages and clean-up costs and the time period during which such costs may be incurred, we are unable to reasonably estimate the ultimate cost of claims asserted against us related to environmental matters; however, we do not believe such costs will be material to our unaudited condensed consolidated financial statements.</w:t>
      </w:r>
    </w:p>
    <w:p>
      <w:pPr>
        <w:spacing w:after="0" w:line="73"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231F20"/>
        </w:rPr>
        <w:t>In addition to potential claims asserted against us, there are certain regulatory obligations associated with these facilities. We also have a third-party specialist to review the sites subject to these regulations annually, for the purpose of assigning future cost. A third party has conducted a preliminary assessment of site restoration provisions arising from these regulations and we have recognized a provisional amount. As of September 30, 2023 and December 31, 2022, we recorded an environmental remediation accrual of $10 and $12, which is included in other accrued expenses in the accompanying unaudited condensed consolidated balance sheets.</w:t>
      </w: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336"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i w:val="1"/>
          <w:iCs w:val="1"/>
          <w:color w:val="auto"/>
        </w:rPr>
        <w:t>You should read the following discussion and analysis of our financial condition and results of operations together with our unaudited condensed consolidated financial statements and related notes included elsewhere in this Quarterly Report on Form 10-Q and the audited consolidated financial statements and related notes included in our 2022 Form 10-K. This discussion contains forward-looking statements based upon our current plans, expectations and beliefs. These forward-looking statements involve risks and uncertainties, and our actual results may differ materially from those anticipated in these forward-looking statements as a result of various factors, including those set forth in other parts of this Quarterly Report on Form 10-Q and in Part I, Item 1A. “Risk Factors” and in Part II. Item 7. “Management’s Discussion and Analysis of Financial Condition and Results of Operations” of our 2022 Form 10-K.</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Who We Are</w:t>
      </w:r>
    </w:p>
    <w:p>
      <w:pPr>
        <w:spacing w:after="0" w:line="121" w:lineRule="exact"/>
        <w:rPr>
          <w:sz w:val="20"/>
          <w:szCs w:val="20"/>
          <w:color w:val="auto"/>
        </w:rPr>
      </w:pPr>
    </w:p>
    <w:p>
      <w:pPr>
        <w:ind w:right="80"/>
        <w:spacing w:after="0" w:line="271" w:lineRule="auto"/>
        <w:rPr>
          <w:sz w:val="20"/>
          <w:szCs w:val="20"/>
          <w:color w:val="auto"/>
        </w:rPr>
      </w:pPr>
      <w:r>
        <w:rPr>
          <w:rFonts w:ascii="Arial" w:cs="Arial" w:eastAsia="Arial" w:hAnsi="Arial"/>
          <w:sz w:val="17"/>
          <w:szCs w:val="17"/>
          <w:color w:val="auto"/>
        </w:rPr>
        <w:t>Mister Car Wash, Inc. is the largest national car wash brand, primarily offering express exterior cleaning services, with interior cleaning services at select locations, across 462 car washes in 21 states as of September 30, 2023. Founded in 1996, we employ an efficient, repeatable, and scalable process, which we call the “Mister Experience,” to deliver a clean, dry, and shiny car every time. The core pillars of the “Mister Experience” are greeting every customer with a wave and smile, providing the highest quality car wash, and delivering the experience quickly and conveniently. We offer a monthly subscription program, which we call the Unlimited Wash Club</w:t>
      </w:r>
      <w:r>
        <w:rPr>
          <w:rFonts w:ascii="Arial" w:cs="Arial" w:eastAsia="Arial" w:hAnsi="Arial"/>
          <w:sz w:val="13"/>
          <w:szCs w:val="13"/>
          <w:color w:val="auto"/>
        </w:rPr>
        <w:t>®</w:t>
      </w:r>
      <w:r>
        <w:rPr>
          <w:rFonts w:ascii="Arial" w:cs="Arial" w:eastAsia="Arial" w:hAnsi="Arial"/>
          <w:sz w:val="17"/>
          <w:szCs w:val="17"/>
          <w:color w:val="auto"/>
        </w:rPr>
        <w:t xml:space="preserve"> (“UWC”), as a flexible, quick, and convenient option for customers to keep their cars clean. Our scale and over 25 years of innovation allow us to drive operating efficiencies and invest in training, infrastructure, and technology that improve speed of service, quality, and sustainability, which we believe help us to realize strong financial performance.</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Factors Affecting Our Business and Trends</w:t>
      </w:r>
    </w:p>
    <w:p>
      <w:pPr>
        <w:spacing w:after="0" w:line="121"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We believe that our business and growth depend on a number of factors that present significant opportunities for us and may pose risks and challenges, including those discussed below and in Part I, Item 1A. “Risk Factors” of our 2022 Form 10-K.</w:t>
      </w:r>
    </w:p>
    <w:p>
      <w:pPr>
        <w:spacing w:after="0" w:line="89" w:lineRule="exact"/>
        <w:rPr>
          <w:sz w:val="20"/>
          <w:szCs w:val="20"/>
          <w:color w:val="auto"/>
        </w:rPr>
      </w:pPr>
    </w:p>
    <w:p>
      <w:pPr>
        <w:ind w:left="480" w:right="260" w:hanging="337"/>
        <w:spacing w:after="0" w:line="259" w:lineRule="auto"/>
        <w:tabs>
          <w:tab w:leader="none" w:pos="48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 xml:space="preserve">Growth in comparable store sales. </w:t>
      </w:r>
      <w:r>
        <w:rPr>
          <w:rFonts w:ascii="Arial" w:cs="Arial" w:eastAsia="Arial" w:hAnsi="Arial"/>
          <w:sz w:val="18"/>
          <w:szCs w:val="18"/>
          <w:color w:val="auto"/>
        </w:rPr>
        <w:t>Comparable store sales have been a driver of our net revenue growth and we expect it to continue to play a key</w:t>
      </w:r>
      <w:r>
        <w:rPr>
          <w:rFonts w:ascii="Arial" w:cs="Arial" w:eastAsia="Arial" w:hAnsi="Arial"/>
          <w:sz w:val="18"/>
          <w:szCs w:val="18"/>
          <w:i w:val="1"/>
          <w:iCs w:val="1"/>
          <w:color w:val="auto"/>
        </w:rPr>
        <w:t xml:space="preserve"> </w:t>
      </w:r>
      <w:r>
        <w:rPr>
          <w:rFonts w:ascii="Arial" w:cs="Arial" w:eastAsia="Arial" w:hAnsi="Arial"/>
          <w:sz w:val="18"/>
          <w:szCs w:val="18"/>
          <w:color w:val="auto"/>
        </w:rPr>
        <w:t>role in our future growth and profitability. We seek to continue to grow our comparable store sales by increasing the number of UWC Members, maximizing efficiency and throughput of our car wash locations, optimizing marketing spend to add new customers, and increasing customer visitation frequency.</w:t>
      </w:r>
    </w:p>
    <w:p>
      <w:pPr>
        <w:spacing w:after="0" w:line="117" w:lineRule="exact"/>
        <w:rPr>
          <w:rFonts w:ascii="Arial" w:cs="Arial" w:eastAsia="Arial" w:hAnsi="Arial"/>
          <w:sz w:val="18"/>
          <w:szCs w:val="18"/>
          <w:color w:val="auto"/>
        </w:rPr>
      </w:pPr>
    </w:p>
    <w:p>
      <w:pPr>
        <w:ind w:left="480" w:right="260" w:hanging="337"/>
        <w:spacing w:after="0" w:line="263" w:lineRule="auto"/>
        <w:tabs>
          <w:tab w:leader="none" w:pos="48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Number and loyalty of UWC Members</w:t>
      </w:r>
      <w:r>
        <w:rPr>
          <w:rFonts w:ascii="Arial" w:cs="Arial" w:eastAsia="Arial" w:hAnsi="Arial"/>
          <w:sz w:val="18"/>
          <w:szCs w:val="18"/>
          <w:color w:val="auto"/>
        </w:rPr>
        <w:t>. Members of our monthly subscription service are known as Unlimited Wash Club Members, or UWC</w:t>
      </w:r>
      <w:r>
        <w:rPr>
          <w:rFonts w:ascii="Arial" w:cs="Arial" w:eastAsia="Arial" w:hAnsi="Arial"/>
          <w:sz w:val="18"/>
          <w:szCs w:val="18"/>
          <w:i w:val="1"/>
          <w:iCs w:val="1"/>
          <w:color w:val="auto"/>
        </w:rPr>
        <w:t xml:space="preserve"> </w:t>
      </w:r>
      <w:r>
        <w:rPr>
          <w:rFonts w:ascii="Arial" w:cs="Arial" w:eastAsia="Arial" w:hAnsi="Arial"/>
          <w:sz w:val="18"/>
          <w:szCs w:val="18"/>
          <w:color w:val="auto"/>
        </w:rPr>
        <w:t>Members. The UWC program is a critical element of our business. UWC Members contribute a significant portion of our net revenue and provide recurring revenue through their monthly membership fees.</w:t>
      </w:r>
    </w:p>
    <w:p>
      <w:pPr>
        <w:spacing w:after="0" w:line="115" w:lineRule="exact"/>
        <w:rPr>
          <w:rFonts w:ascii="Arial" w:cs="Arial" w:eastAsia="Arial" w:hAnsi="Arial"/>
          <w:sz w:val="18"/>
          <w:szCs w:val="18"/>
          <w:color w:val="auto"/>
        </w:rPr>
      </w:pPr>
    </w:p>
    <w:p>
      <w:pPr>
        <w:ind w:left="480" w:right="120" w:hanging="337"/>
        <w:spacing w:after="0" w:line="256" w:lineRule="auto"/>
        <w:tabs>
          <w:tab w:leader="none" w:pos="48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 xml:space="preserve">Labor management. </w:t>
      </w:r>
      <w:r>
        <w:rPr>
          <w:rFonts w:ascii="Arial" w:cs="Arial" w:eastAsia="Arial" w:hAnsi="Arial"/>
          <w:sz w:val="18"/>
          <w:szCs w:val="18"/>
          <w:color w:val="auto"/>
        </w:rPr>
        <w:t>Hiring and retaining skilled team members and experienced management represents one of our largest costs. We believe people</w:t>
      </w:r>
      <w:r>
        <w:rPr>
          <w:rFonts w:ascii="Arial" w:cs="Arial" w:eastAsia="Arial" w:hAnsi="Arial"/>
          <w:sz w:val="18"/>
          <w:szCs w:val="18"/>
          <w:i w:val="1"/>
          <w:iCs w:val="1"/>
          <w:color w:val="auto"/>
        </w:rPr>
        <w:t xml:space="preserve"> </w:t>
      </w:r>
      <w:r>
        <w:rPr>
          <w:rFonts w:ascii="Arial" w:cs="Arial" w:eastAsia="Arial" w:hAnsi="Arial"/>
          <w:sz w:val="18"/>
          <w:szCs w:val="18"/>
          <w:color w:val="auto"/>
        </w:rPr>
        <w:t>are the key to our success and we have been able to successfully attract and retain engaged, high-quality team members by paying competitive wages, offering attractive benefit packages, and providing robust training and development opportunities. While the competition for skilled labor is intense and subject to high turnover, we believe our approach to wages and benefits will continue to allow us to attract suitable team members and management to support our growth.</w:t>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Factors Affecting the Comparability of Our Results of Operations</w:t>
      </w:r>
    </w:p>
    <w:p>
      <w:pPr>
        <w:spacing w:after="0" w:line="121"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Our results have been and may in the future be, affected by the following factors, which must be understood in order to assess the comparability of our period-to-period financial performance and condition.</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Greenfield Location Development</w:t>
      </w:r>
    </w:p>
    <w:p>
      <w:pPr>
        <w:spacing w:after="0" w:line="117"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More recently, a component of our growth strategy has been to grow through greenfield development of Mister Car Wash locations, with particular focus on Express Exterior Locations, and we anticipate continued pursuit of this strategy in the future. In the three and nine months ended September 30, 2023, we successfully opened eight and 21 greenfield locations, respectively, with the expectation of driving the majority of our future location growth through greenfield development. We believe such a strategy will drive a more controllable pipeline of comparable store sales growth and unit growth for future locations in existing and adjacent markets.</w:t>
      </w:r>
    </w:p>
    <w:p>
      <w:pPr>
        <w:spacing w:after="0" w:line="83" w:lineRule="exact"/>
        <w:rPr>
          <w:sz w:val="20"/>
          <w:szCs w:val="20"/>
          <w:color w:val="auto"/>
        </w:rPr>
      </w:pPr>
    </w:p>
    <w:p>
      <w:pPr>
        <w:ind w:right="160"/>
        <w:spacing w:after="0" w:line="273" w:lineRule="auto"/>
        <w:rPr>
          <w:sz w:val="20"/>
          <w:szCs w:val="20"/>
          <w:color w:val="auto"/>
        </w:rPr>
      </w:pPr>
      <w:r>
        <w:rPr>
          <w:rFonts w:ascii="Arial" w:cs="Arial" w:eastAsia="Arial" w:hAnsi="Arial"/>
          <w:sz w:val="17"/>
          <w:szCs w:val="17"/>
          <w:color w:val="auto"/>
        </w:rPr>
        <w:t>The comparability of our results may be impacted by the inclusion of the financial performance of greenfield locations that have not delivered a full fiscal year of financial results nor matured to average unit volumes, which we typically expect after approximately three full years of operation.</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i w:val="1"/>
          <w:iCs w:val="1"/>
          <w:color w:val="auto"/>
        </w:rPr>
        <w:t>Acquisitions</w:t>
      </w:r>
    </w:p>
    <w:p>
      <w:pPr>
        <w:spacing w:after="0" w:line="117" w:lineRule="exact"/>
        <w:rPr>
          <w:sz w:val="20"/>
          <w:szCs w:val="20"/>
          <w:color w:val="auto"/>
        </w:rPr>
      </w:pPr>
    </w:p>
    <w:p>
      <w:pPr>
        <w:ind w:right="60"/>
        <w:spacing w:after="0" w:line="341" w:lineRule="auto"/>
        <w:rPr>
          <w:sz w:val="20"/>
          <w:szCs w:val="20"/>
          <w:color w:val="auto"/>
        </w:rPr>
      </w:pPr>
      <w:r>
        <w:rPr>
          <w:rFonts w:ascii="Arial" w:cs="Arial" w:eastAsia="Arial" w:hAnsi="Arial"/>
          <w:sz w:val="16"/>
          <w:szCs w:val="16"/>
          <w:color w:val="auto"/>
        </w:rPr>
        <w:t>In the three months ended September 30, 2023, we completed one acquisition consisting of five properties that operated as conveyorized car washes. In the nine months ended September 30, 2023, we completed two acquisitions consisting of six properties that operated as conveyorized car washes.</w:t>
      </w:r>
    </w:p>
    <w:p>
      <w:pPr>
        <w:spacing w:after="0" w:line="17"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Following an acquisition, we implement a variety of operational improvements to unify branding and enhance profitability. As soon as feasible, we fully integrate and transition acquired locations to the “Mister” brand and make investments to improve site flow, upgrade tunnel equipment and technology, and install our proprietary Unity Chemical system, which is a unique blend of our signature products utilizing modernized technology and services to make a better car wash experience for our customers. We also establish member-only lanes, optimize service offerings and implement training initiatives that we have successfully utilized to improve team member engagement and drive UWC growth post-acquisition. The costs associated with these onboarding initiatives, which vary by site, can impact the comparability of our results.</w:t>
      </w:r>
    </w:p>
    <w:p>
      <w:pPr>
        <w:spacing w:after="0" w:line="6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comparability of our results may also be impacted by the inclusion of financial performance of our acquisitions that have not delivered a full fiscal year of financial results under Mister Car Wash’s ownership.</w:t>
      </w:r>
    </w:p>
    <w:p>
      <w:pPr>
        <w:spacing w:after="0" w:line="62"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See Note 14 Business Combinations to our unaudited condensed consolidated financial statements included elsewhere in this Quarterly Report on Form 10-Q for additional discussion.</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Performance Indicators</w:t>
      </w:r>
    </w:p>
    <w:p>
      <w:pPr>
        <w:spacing w:after="0" w:line="121" w:lineRule="exact"/>
        <w:rPr>
          <w:sz w:val="20"/>
          <w:szCs w:val="20"/>
          <w:color w:val="auto"/>
        </w:rPr>
      </w:pPr>
    </w:p>
    <w:p>
      <w:pPr>
        <w:jc w:val="both"/>
        <w:ind w:right="240"/>
        <w:spacing w:after="0" w:line="263" w:lineRule="auto"/>
        <w:rPr>
          <w:sz w:val="20"/>
          <w:szCs w:val="20"/>
          <w:color w:val="auto"/>
        </w:rPr>
      </w:pPr>
      <w:r>
        <w:rPr>
          <w:rFonts w:ascii="Arial" w:cs="Arial" w:eastAsia="Arial" w:hAnsi="Arial"/>
          <w:sz w:val="18"/>
          <w:szCs w:val="18"/>
          <w:color w:val="auto"/>
        </w:rPr>
        <w:t>We prepare and analyze various operating and financial data to assess the performance of our business and to help in the allocation of our resources. The key operating performance and financial metrics and indicators we use are set forth below, as of and for the three and nine months ended September 30, 2023 and 2022.</w:t>
      </w:r>
    </w:p>
    <w:p>
      <w:pPr>
        <w:spacing w:after="0" w:line="219" w:lineRule="exact"/>
        <w:rPr>
          <w:sz w:val="20"/>
          <w:szCs w:val="20"/>
          <w:color w:val="auto"/>
        </w:rPr>
      </w:pPr>
    </w:p>
    <w:tbl>
      <w:tblPr>
        <w:tblLayout w:type="fixed"/>
        <w:tblInd w:w="240" w:type="dxa"/>
        <w:tblCellMar>
          <w:top w:w="0" w:type="dxa"/>
          <w:left w:w="0" w:type="dxa"/>
          <w:bottom w:w="0" w:type="dxa"/>
          <w:right w:w="0" w:type="dxa"/>
        </w:tblCellMar>
      </w:tblPr>
      <w:tr>
        <w:trPr>
          <w:trHeight w:val="241"/>
        </w:trPr>
        <w:tc>
          <w:tcPr>
            <w:tcW w:w="4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60" w:type="dxa"/>
            <w:vAlign w:val="bottom"/>
            <w:gridSpan w:val="5"/>
          </w:tcPr>
          <w:p>
            <w:pPr>
              <w:jc w:val="right"/>
              <w:ind w:right="480"/>
              <w:spacing w:after="0"/>
              <w:rPr>
                <w:sz w:val="20"/>
                <w:szCs w:val="20"/>
                <w:color w:val="auto"/>
              </w:rPr>
            </w:pPr>
            <w:r>
              <w:rPr>
                <w:rFonts w:ascii="Arial" w:cs="Arial" w:eastAsia="Arial" w:hAnsi="Arial"/>
                <w:sz w:val="18"/>
                <w:szCs w:val="18"/>
                <w:b w:val="1"/>
                <w:bCs w:val="1"/>
                <w:color w:val="auto"/>
                <w:w w:val="90"/>
              </w:rPr>
              <w:t>Three Months Ended September 30,</w:t>
            </w:r>
          </w:p>
        </w:tc>
        <w:tc>
          <w:tcPr>
            <w:tcW w:w="160" w:type="dxa"/>
            <w:vAlign w:val="bottom"/>
          </w:tcPr>
          <w:p>
            <w:pPr>
              <w:spacing w:after="0"/>
              <w:rPr>
                <w:sz w:val="20"/>
                <w:szCs w:val="20"/>
                <w:color w:val="auto"/>
              </w:rPr>
            </w:pPr>
          </w:p>
        </w:tc>
        <w:tc>
          <w:tcPr>
            <w:tcW w:w="3100" w:type="dxa"/>
            <w:vAlign w:val="bottom"/>
            <w:gridSpan w:val="6"/>
          </w:tcPr>
          <w:p>
            <w:pPr>
              <w:jc w:val="right"/>
              <w:ind w:right="380"/>
              <w:spacing w:after="0"/>
              <w:rPr>
                <w:sz w:val="20"/>
                <w:szCs w:val="20"/>
                <w:color w:val="auto"/>
              </w:rPr>
            </w:pPr>
            <w:r>
              <w:rPr>
                <w:rFonts w:ascii="Arial" w:cs="Arial" w:eastAsia="Arial" w:hAnsi="Arial"/>
                <w:sz w:val="18"/>
                <w:szCs w:val="18"/>
                <w:b w:val="1"/>
                <w:bCs w:val="1"/>
                <w:color w:val="auto"/>
                <w:w w:val="91"/>
              </w:rPr>
              <w:t>Nine Months Ended September 30,</w:t>
            </w:r>
          </w:p>
        </w:tc>
      </w:tr>
      <w:tr>
        <w:trPr>
          <w:trHeight w:val="243"/>
        </w:trPr>
        <w:tc>
          <w:tcPr>
            <w:tcW w:w="4200" w:type="dxa"/>
            <w:vAlign w:val="bottom"/>
          </w:tcPr>
          <w:p>
            <w:pPr>
              <w:ind w:left="1240"/>
              <w:spacing w:after="0"/>
              <w:rPr>
                <w:sz w:val="20"/>
                <w:szCs w:val="20"/>
                <w:color w:val="auto"/>
              </w:rPr>
            </w:pPr>
            <w:r>
              <w:rPr>
                <w:rFonts w:ascii="Arial" w:cs="Arial" w:eastAsia="Arial" w:hAnsi="Arial"/>
                <w:sz w:val="18"/>
                <w:szCs w:val="18"/>
                <w:b w:val="1"/>
                <w:bCs w:val="1"/>
                <w:color w:val="auto"/>
              </w:rPr>
              <w:t>(Dollars in thousands)</w:t>
            </w:r>
          </w:p>
        </w:tc>
        <w:tc>
          <w:tcPr>
            <w:tcW w:w="120" w:type="dxa"/>
            <w:vAlign w:val="bottom"/>
            <w:tcBorders>
              <w:top w:val="single" w:sz="8" w:color="auto"/>
              <w:bottom w:val="single" w:sz="8" w:color="auto"/>
            </w:tcBorders>
          </w:tcPr>
          <w:p>
            <w:pPr>
              <w:spacing w:after="0"/>
              <w:rPr>
                <w:sz w:val="21"/>
                <w:szCs w:val="21"/>
                <w:color w:val="auto"/>
              </w:rPr>
            </w:pPr>
          </w:p>
        </w:tc>
        <w:tc>
          <w:tcPr>
            <w:tcW w:w="116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2023</w:t>
            </w:r>
          </w:p>
        </w:tc>
        <w:tc>
          <w:tcPr>
            <w:tcW w:w="300" w:type="dxa"/>
            <w:vAlign w:val="bottom"/>
            <w:tcBorders>
              <w:top w:val="single" w:sz="8" w:color="auto"/>
            </w:tcBorders>
          </w:tcPr>
          <w:p>
            <w:pPr>
              <w:spacing w:after="0"/>
              <w:rPr>
                <w:sz w:val="21"/>
                <w:szCs w:val="21"/>
                <w:color w:val="auto"/>
              </w:rPr>
            </w:pPr>
          </w:p>
        </w:tc>
        <w:tc>
          <w:tcPr>
            <w:tcW w:w="340" w:type="dxa"/>
            <w:vAlign w:val="bottom"/>
            <w:tcBorders>
              <w:top w:val="single" w:sz="8" w:color="auto"/>
              <w:bottom w:val="single" w:sz="8" w:color="auto"/>
            </w:tcBorders>
          </w:tcPr>
          <w:p>
            <w:pPr>
              <w:spacing w:after="0"/>
              <w:rPr>
                <w:sz w:val="21"/>
                <w:szCs w:val="21"/>
                <w:color w:val="auto"/>
              </w:rPr>
            </w:pPr>
          </w:p>
        </w:tc>
        <w:tc>
          <w:tcPr>
            <w:tcW w:w="114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2022</w:t>
            </w:r>
          </w:p>
        </w:tc>
        <w:tc>
          <w:tcPr>
            <w:tcW w:w="320" w:type="dxa"/>
            <w:vAlign w:val="bottom"/>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118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2023</w:t>
            </w:r>
          </w:p>
        </w:tc>
        <w:tc>
          <w:tcPr>
            <w:tcW w:w="320" w:type="dxa"/>
            <w:vAlign w:val="bottom"/>
            <w:tcBorders>
              <w:top w:val="single" w:sz="8" w:color="auto"/>
            </w:tcBorders>
          </w:tcPr>
          <w:p>
            <w:pPr>
              <w:spacing w:after="0"/>
              <w:rPr>
                <w:sz w:val="21"/>
                <w:szCs w:val="21"/>
                <w:color w:val="auto"/>
              </w:rPr>
            </w:pPr>
          </w:p>
        </w:tc>
        <w:tc>
          <w:tcPr>
            <w:tcW w:w="320" w:type="dxa"/>
            <w:vAlign w:val="bottom"/>
            <w:tcBorders>
              <w:top w:val="single" w:sz="8" w:color="auto"/>
              <w:bottom w:val="single" w:sz="8" w:color="auto"/>
            </w:tcBorders>
          </w:tcPr>
          <w:p>
            <w:pPr>
              <w:spacing w:after="0"/>
              <w:rPr>
                <w:sz w:val="21"/>
                <w:szCs w:val="21"/>
                <w:color w:val="auto"/>
              </w:rPr>
            </w:pPr>
          </w:p>
        </w:tc>
        <w:tc>
          <w:tcPr>
            <w:tcW w:w="112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236"/>
        </w:trPr>
        <w:tc>
          <w:tcPr>
            <w:tcW w:w="420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Financial and Operating Data</w:t>
            </w:r>
          </w:p>
        </w:tc>
        <w:tc>
          <w:tcPr>
            <w:tcW w:w="120" w:type="dxa"/>
            <w:vAlign w:val="bottom"/>
            <w:shd w:val="clear" w:color="auto" w:fill="CFF0FC"/>
          </w:tcPr>
          <w:p>
            <w:pPr>
              <w:spacing w:after="0"/>
              <w:rPr>
                <w:sz w:val="20"/>
                <w:szCs w:val="20"/>
                <w:color w:val="auto"/>
              </w:rPr>
            </w:pPr>
          </w:p>
        </w:tc>
        <w:tc>
          <w:tcPr>
            <w:tcW w:w="116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114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18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1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60" w:type="dxa"/>
            <w:vAlign w:val="bottom"/>
          </w:tcPr>
          <w:p>
            <w:pPr>
              <w:spacing w:after="0"/>
              <w:rPr>
                <w:sz w:val="20"/>
                <w:szCs w:val="20"/>
                <w:color w:val="auto"/>
              </w:rPr>
            </w:pPr>
          </w:p>
        </w:tc>
      </w:tr>
      <w:tr>
        <w:trPr>
          <w:trHeight w:val="230"/>
        </w:trPr>
        <w:tc>
          <w:tcPr>
            <w:tcW w:w="4200" w:type="dxa"/>
            <w:vAlign w:val="bottom"/>
          </w:tcPr>
          <w:p>
            <w:pPr>
              <w:ind w:left="20"/>
              <w:spacing w:after="0"/>
              <w:rPr>
                <w:sz w:val="20"/>
                <w:szCs w:val="20"/>
                <w:color w:val="auto"/>
              </w:rPr>
            </w:pPr>
            <w:r>
              <w:rPr>
                <w:rFonts w:ascii="Arial" w:cs="Arial" w:eastAsia="Arial" w:hAnsi="Arial"/>
                <w:sz w:val="18"/>
                <w:szCs w:val="18"/>
                <w:color w:val="auto"/>
              </w:rPr>
              <w:t>Location count (end of period)</w:t>
            </w:r>
          </w:p>
        </w:tc>
        <w:tc>
          <w:tcPr>
            <w:tcW w:w="1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462</w:t>
            </w:r>
          </w:p>
        </w:tc>
        <w:tc>
          <w:tcPr>
            <w:tcW w:w="3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420</w:t>
            </w: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462</w:t>
            </w:r>
          </w:p>
        </w:tc>
        <w:tc>
          <w:tcPr>
            <w:tcW w:w="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420</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42"/>
        </w:trPr>
        <w:tc>
          <w:tcPr>
            <w:tcW w:w="4200" w:type="dxa"/>
            <w:vAlign w:val="bottom"/>
          </w:tcPr>
          <w:p>
            <w:pPr>
              <w:ind w:left="20"/>
              <w:spacing w:after="0"/>
              <w:rPr>
                <w:sz w:val="20"/>
                <w:szCs w:val="20"/>
                <w:color w:val="auto"/>
              </w:rPr>
            </w:pPr>
            <w:r>
              <w:rPr>
                <w:rFonts w:ascii="Arial" w:cs="Arial" w:eastAsia="Arial" w:hAnsi="Arial"/>
                <w:sz w:val="18"/>
                <w:szCs w:val="18"/>
                <w:color w:val="auto"/>
              </w:rPr>
              <w:t>Comparable store sales growth</w:t>
            </w:r>
          </w:p>
        </w:tc>
        <w:tc>
          <w:tcPr>
            <w:tcW w:w="120" w:type="dxa"/>
            <w:vAlign w:val="bottom"/>
          </w:tcPr>
          <w:p>
            <w:pPr>
              <w:spacing w:after="0"/>
              <w:rPr>
                <w:sz w:val="21"/>
                <w:szCs w:val="21"/>
                <w:color w:val="auto"/>
              </w:rPr>
            </w:pPr>
          </w:p>
        </w:tc>
        <w:tc>
          <w:tcPr>
            <w:tcW w:w="1460" w:type="dxa"/>
            <w:vAlign w:val="bottom"/>
            <w:gridSpan w:val="2"/>
          </w:tcPr>
          <w:p>
            <w:pPr>
              <w:jc w:val="right"/>
              <w:ind w:right="140"/>
              <w:spacing w:after="0"/>
              <w:rPr>
                <w:sz w:val="20"/>
                <w:szCs w:val="20"/>
                <w:color w:val="auto"/>
              </w:rPr>
            </w:pPr>
            <w:r>
              <w:rPr>
                <w:rFonts w:ascii="Arial" w:cs="Arial" w:eastAsia="Arial" w:hAnsi="Arial"/>
                <w:sz w:val="18"/>
                <w:szCs w:val="18"/>
                <w:color w:val="auto"/>
              </w:rPr>
              <w:t>1.7 %</w:t>
            </w:r>
          </w:p>
        </w:tc>
        <w:tc>
          <w:tcPr>
            <w:tcW w:w="340" w:type="dxa"/>
            <w:vAlign w:val="bottom"/>
          </w:tcPr>
          <w:p>
            <w:pPr>
              <w:spacing w:after="0"/>
              <w:rPr>
                <w:sz w:val="21"/>
                <w:szCs w:val="21"/>
                <w:color w:val="auto"/>
              </w:rPr>
            </w:pPr>
          </w:p>
        </w:tc>
        <w:tc>
          <w:tcPr>
            <w:tcW w:w="1460" w:type="dxa"/>
            <w:vAlign w:val="bottom"/>
            <w:gridSpan w:val="2"/>
          </w:tcPr>
          <w:p>
            <w:pPr>
              <w:jc w:val="right"/>
              <w:ind w:right="160"/>
              <w:spacing w:after="0"/>
              <w:rPr>
                <w:sz w:val="20"/>
                <w:szCs w:val="20"/>
                <w:color w:val="auto"/>
              </w:rPr>
            </w:pPr>
            <w:r>
              <w:rPr>
                <w:rFonts w:ascii="Arial" w:cs="Arial" w:eastAsia="Arial" w:hAnsi="Arial"/>
                <w:sz w:val="18"/>
                <w:szCs w:val="18"/>
                <w:color w:val="auto"/>
              </w:rPr>
              <w:t>2.9 %</w:t>
            </w:r>
          </w:p>
        </w:tc>
        <w:tc>
          <w:tcPr>
            <w:tcW w:w="160" w:type="dxa"/>
            <w:vAlign w:val="bottom"/>
          </w:tcPr>
          <w:p>
            <w:pPr>
              <w:spacing w:after="0"/>
              <w:rPr>
                <w:sz w:val="21"/>
                <w:szCs w:val="21"/>
                <w:color w:val="auto"/>
              </w:rPr>
            </w:pPr>
          </w:p>
        </w:tc>
        <w:tc>
          <w:tcPr>
            <w:tcW w:w="1500" w:type="dxa"/>
            <w:vAlign w:val="bottom"/>
            <w:gridSpan w:val="2"/>
          </w:tcPr>
          <w:p>
            <w:pPr>
              <w:jc w:val="right"/>
              <w:ind w:right="160"/>
              <w:spacing w:after="0"/>
              <w:rPr>
                <w:sz w:val="20"/>
                <w:szCs w:val="20"/>
                <w:color w:val="auto"/>
              </w:rPr>
            </w:pPr>
            <w:r>
              <w:rPr>
                <w:rFonts w:ascii="Arial" w:cs="Arial" w:eastAsia="Arial" w:hAnsi="Arial"/>
                <w:sz w:val="18"/>
                <w:szCs w:val="18"/>
                <w:color w:val="auto"/>
              </w:rPr>
              <w:t>0.1 %</w:t>
            </w:r>
          </w:p>
        </w:tc>
        <w:tc>
          <w:tcPr>
            <w:tcW w:w="320" w:type="dxa"/>
            <w:vAlign w:val="bottom"/>
          </w:tcPr>
          <w:p>
            <w:pPr>
              <w:spacing w:after="0"/>
              <w:rPr>
                <w:sz w:val="21"/>
                <w:szCs w:val="21"/>
                <w:color w:val="auto"/>
              </w:rPr>
            </w:pPr>
          </w:p>
        </w:tc>
        <w:tc>
          <w:tcPr>
            <w:tcW w:w="1280" w:type="dxa"/>
            <w:vAlign w:val="bottom"/>
            <w:gridSpan w:val="3"/>
          </w:tcPr>
          <w:p>
            <w:pPr>
              <w:jc w:val="right"/>
              <w:spacing w:after="0"/>
              <w:rPr>
                <w:sz w:val="20"/>
                <w:szCs w:val="20"/>
                <w:color w:val="auto"/>
              </w:rPr>
            </w:pPr>
            <w:r>
              <w:rPr>
                <w:rFonts w:ascii="Arial" w:cs="Arial" w:eastAsia="Arial" w:hAnsi="Arial"/>
                <w:sz w:val="18"/>
                <w:szCs w:val="18"/>
                <w:color w:val="auto"/>
              </w:rPr>
              <w:t>5.3 %</w:t>
            </w:r>
          </w:p>
        </w:tc>
      </w:tr>
      <w:tr>
        <w:trPr>
          <w:trHeight w:val="243"/>
        </w:trPr>
        <w:tc>
          <w:tcPr>
            <w:tcW w:w="4200" w:type="dxa"/>
            <w:vAlign w:val="bottom"/>
          </w:tcPr>
          <w:p>
            <w:pPr>
              <w:ind w:left="20"/>
              <w:spacing w:after="0"/>
              <w:rPr>
                <w:sz w:val="20"/>
                <w:szCs w:val="20"/>
                <w:color w:val="auto"/>
              </w:rPr>
            </w:pPr>
            <w:r>
              <w:rPr>
                <w:rFonts w:ascii="Arial" w:cs="Arial" w:eastAsia="Arial" w:hAnsi="Arial"/>
                <w:sz w:val="18"/>
                <w:szCs w:val="18"/>
                <w:color w:val="auto"/>
              </w:rPr>
              <w:t>UWC Members (in thousands, end of period)</w:t>
            </w:r>
          </w:p>
        </w:tc>
        <w:tc>
          <w:tcPr>
            <w:tcW w:w="1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2,071</w:t>
            </w:r>
          </w:p>
        </w:tc>
        <w:tc>
          <w:tcPr>
            <w:tcW w:w="3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1,860</w:t>
            </w:r>
          </w:p>
        </w:tc>
        <w:tc>
          <w:tcPr>
            <w:tcW w:w="3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2,071</w:t>
            </w:r>
          </w:p>
        </w:tc>
        <w:tc>
          <w:tcPr>
            <w:tcW w:w="3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1,860</w:t>
            </w: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243"/>
        </w:trPr>
        <w:tc>
          <w:tcPr>
            <w:tcW w:w="4200" w:type="dxa"/>
            <w:vAlign w:val="bottom"/>
          </w:tcPr>
          <w:p>
            <w:pPr>
              <w:ind w:left="20"/>
              <w:spacing w:after="0"/>
              <w:rPr>
                <w:sz w:val="20"/>
                <w:szCs w:val="20"/>
                <w:color w:val="auto"/>
              </w:rPr>
            </w:pPr>
            <w:r>
              <w:rPr>
                <w:rFonts w:ascii="Arial" w:cs="Arial" w:eastAsia="Arial" w:hAnsi="Arial"/>
                <w:sz w:val="18"/>
                <w:szCs w:val="18"/>
                <w:color w:val="auto"/>
              </w:rPr>
              <w:t>UWC sales as a percentage of total wash sales</w:t>
            </w:r>
          </w:p>
        </w:tc>
        <w:tc>
          <w:tcPr>
            <w:tcW w:w="120" w:type="dxa"/>
            <w:vAlign w:val="bottom"/>
          </w:tcPr>
          <w:p>
            <w:pPr>
              <w:spacing w:after="0"/>
              <w:rPr>
                <w:sz w:val="21"/>
                <w:szCs w:val="21"/>
                <w:color w:val="auto"/>
              </w:rPr>
            </w:pPr>
          </w:p>
        </w:tc>
        <w:tc>
          <w:tcPr>
            <w:tcW w:w="1460" w:type="dxa"/>
            <w:vAlign w:val="bottom"/>
            <w:gridSpan w:val="2"/>
          </w:tcPr>
          <w:p>
            <w:pPr>
              <w:jc w:val="right"/>
              <w:ind w:right="140"/>
              <w:spacing w:after="0"/>
              <w:rPr>
                <w:sz w:val="20"/>
                <w:szCs w:val="20"/>
                <w:color w:val="auto"/>
              </w:rPr>
            </w:pPr>
            <w:r>
              <w:rPr>
                <w:rFonts w:ascii="Arial" w:cs="Arial" w:eastAsia="Arial" w:hAnsi="Arial"/>
                <w:sz w:val="18"/>
                <w:szCs w:val="18"/>
                <w:color w:val="auto"/>
              </w:rPr>
              <w:t>71 %</w:t>
            </w:r>
          </w:p>
        </w:tc>
        <w:tc>
          <w:tcPr>
            <w:tcW w:w="340" w:type="dxa"/>
            <w:vAlign w:val="bottom"/>
          </w:tcPr>
          <w:p>
            <w:pPr>
              <w:spacing w:after="0"/>
              <w:rPr>
                <w:sz w:val="21"/>
                <w:szCs w:val="21"/>
                <w:color w:val="auto"/>
              </w:rPr>
            </w:pPr>
          </w:p>
        </w:tc>
        <w:tc>
          <w:tcPr>
            <w:tcW w:w="1460" w:type="dxa"/>
            <w:vAlign w:val="bottom"/>
            <w:gridSpan w:val="2"/>
          </w:tcPr>
          <w:p>
            <w:pPr>
              <w:jc w:val="right"/>
              <w:ind w:right="160"/>
              <w:spacing w:after="0"/>
              <w:rPr>
                <w:sz w:val="20"/>
                <w:szCs w:val="20"/>
                <w:color w:val="auto"/>
              </w:rPr>
            </w:pPr>
            <w:r>
              <w:rPr>
                <w:rFonts w:ascii="Arial" w:cs="Arial" w:eastAsia="Arial" w:hAnsi="Arial"/>
                <w:sz w:val="18"/>
                <w:szCs w:val="18"/>
                <w:color w:val="auto"/>
              </w:rPr>
              <w:t>69 %</w:t>
            </w:r>
          </w:p>
        </w:tc>
        <w:tc>
          <w:tcPr>
            <w:tcW w:w="160" w:type="dxa"/>
            <w:vAlign w:val="bottom"/>
          </w:tcPr>
          <w:p>
            <w:pPr>
              <w:spacing w:after="0"/>
              <w:rPr>
                <w:sz w:val="21"/>
                <w:szCs w:val="21"/>
                <w:color w:val="auto"/>
              </w:rPr>
            </w:pPr>
          </w:p>
        </w:tc>
        <w:tc>
          <w:tcPr>
            <w:tcW w:w="1500" w:type="dxa"/>
            <w:vAlign w:val="bottom"/>
            <w:gridSpan w:val="2"/>
          </w:tcPr>
          <w:p>
            <w:pPr>
              <w:jc w:val="right"/>
              <w:ind w:right="160"/>
              <w:spacing w:after="0"/>
              <w:rPr>
                <w:sz w:val="20"/>
                <w:szCs w:val="20"/>
                <w:color w:val="auto"/>
              </w:rPr>
            </w:pPr>
            <w:r>
              <w:rPr>
                <w:rFonts w:ascii="Arial" w:cs="Arial" w:eastAsia="Arial" w:hAnsi="Arial"/>
                <w:sz w:val="18"/>
                <w:szCs w:val="18"/>
                <w:color w:val="auto"/>
              </w:rPr>
              <w:t>70 %</w:t>
            </w:r>
          </w:p>
        </w:tc>
        <w:tc>
          <w:tcPr>
            <w:tcW w:w="320" w:type="dxa"/>
            <w:vAlign w:val="bottom"/>
          </w:tcPr>
          <w:p>
            <w:pPr>
              <w:spacing w:after="0"/>
              <w:rPr>
                <w:sz w:val="21"/>
                <w:szCs w:val="21"/>
                <w:color w:val="auto"/>
              </w:rPr>
            </w:pPr>
          </w:p>
        </w:tc>
        <w:tc>
          <w:tcPr>
            <w:tcW w:w="1280" w:type="dxa"/>
            <w:vAlign w:val="bottom"/>
            <w:gridSpan w:val="3"/>
          </w:tcPr>
          <w:p>
            <w:pPr>
              <w:jc w:val="right"/>
              <w:spacing w:after="0"/>
              <w:rPr>
                <w:sz w:val="20"/>
                <w:szCs w:val="20"/>
                <w:color w:val="auto"/>
              </w:rPr>
            </w:pPr>
            <w:r>
              <w:rPr>
                <w:rFonts w:ascii="Arial" w:cs="Arial" w:eastAsia="Arial" w:hAnsi="Arial"/>
                <w:sz w:val="18"/>
                <w:szCs w:val="18"/>
                <w:color w:val="auto"/>
              </w:rPr>
              <w:t>67 %</w:t>
            </w:r>
          </w:p>
        </w:tc>
      </w:tr>
      <w:tr>
        <w:trPr>
          <w:trHeight w:val="243"/>
        </w:trPr>
        <w:tc>
          <w:tcPr>
            <w:tcW w:w="420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19,485</w:t>
            </w:r>
          </w:p>
        </w:tc>
        <w:tc>
          <w:tcPr>
            <w:tcW w:w="30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23,997</w:t>
            </w:r>
          </w:p>
        </w:tc>
        <w:tc>
          <w:tcPr>
            <w:tcW w:w="3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67,753</w:t>
            </w:r>
          </w:p>
        </w:tc>
        <w:tc>
          <w:tcPr>
            <w:tcW w:w="32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95,144</w:t>
            </w: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233"/>
        </w:trPr>
        <w:tc>
          <w:tcPr>
            <w:tcW w:w="4200" w:type="dxa"/>
            <w:vAlign w:val="bottom"/>
          </w:tcPr>
          <w:p>
            <w:pPr>
              <w:ind w:left="20"/>
              <w:spacing w:after="0"/>
              <w:rPr>
                <w:sz w:val="20"/>
                <w:szCs w:val="20"/>
                <w:color w:val="auto"/>
              </w:rPr>
            </w:pPr>
            <w:r>
              <w:rPr>
                <w:rFonts w:ascii="Arial" w:cs="Arial" w:eastAsia="Arial" w:hAnsi="Arial"/>
                <w:sz w:val="18"/>
                <w:szCs w:val="18"/>
                <w:color w:val="auto"/>
              </w:rPr>
              <w:t>Net income margin</w:t>
            </w:r>
          </w:p>
        </w:tc>
        <w:tc>
          <w:tcPr>
            <w:tcW w:w="120" w:type="dxa"/>
            <w:vAlign w:val="bottom"/>
          </w:tcPr>
          <w:p>
            <w:pPr>
              <w:spacing w:after="0"/>
              <w:rPr>
                <w:sz w:val="20"/>
                <w:szCs w:val="20"/>
                <w:color w:val="auto"/>
              </w:rPr>
            </w:pPr>
          </w:p>
        </w:tc>
        <w:tc>
          <w:tcPr>
            <w:tcW w:w="1460" w:type="dxa"/>
            <w:vAlign w:val="bottom"/>
            <w:gridSpan w:val="2"/>
          </w:tcPr>
          <w:p>
            <w:pPr>
              <w:jc w:val="right"/>
              <w:ind w:right="140"/>
              <w:spacing w:after="0"/>
              <w:rPr>
                <w:sz w:val="20"/>
                <w:szCs w:val="20"/>
                <w:color w:val="auto"/>
              </w:rPr>
            </w:pPr>
            <w:r>
              <w:rPr>
                <w:rFonts w:ascii="Arial" w:cs="Arial" w:eastAsia="Arial" w:hAnsi="Arial"/>
                <w:sz w:val="18"/>
                <w:szCs w:val="18"/>
                <w:color w:val="auto"/>
              </w:rPr>
              <w:t>8.3 %</w:t>
            </w:r>
          </w:p>
        </w:tc>
        <w:tc>
          <w:tcPr>
            <w:tcW w:w="340" w:type="dxa"/>
            <w:vAlign w:val="bottom"/>
          </w:tcPr>
          <w:p>
            <w:pPr>
              <w:spacing w:after="0"/>
              <w:rPr>
                <w:sz w:val="20"/>
                <w:szCs w:val="20"/>
                <w:color w:val="auto"/>
              </w:rPr>
            </w:pPr>
          </w:p>
        </w:tc>
        <w:tc>
          <w:tcPr>
            <w:tcW w:w="1460" w:type="dxa"/>
            <w:vAlign w:val="bottom"/>
            <w:gridSpan w:val="2"/>
          </w:tcPr>
          <w:p>
            <w:pPr>
              <w:jc w:val="right"/>
              <w:ind w:right="160"/>
              <w:spacing w:after="0"/>
              <w:rPr>
                <w:sz w:val="20"/>
                <w:szCs w:val="20"/>
                <w:color w:val="auto"/>
              </w:rPr>
            </w:pPr>
            <w:r>
              <w:rPr>
                <w:rFonts w:ascii="Arial" w:cs="Arial" w:eastAsia="Arial" w:hAnsi="Arial"/>
                <w:sz w:val="18"/>
                <w:szCs w:val="18"/>
                <w:color w:val="auto"/>
              </w:rPr>
              <w:t>11.0 %</w:t>
            </w:r>
          </w:p>
        </w:tc>
        <w:tc>
          <w:tcPr>
            <w:tcW w:w="160" w:type="dxa"/>
            <w:vAlign w:val="bottom"/>
          </w:tcPr>
          <w:p>
            <w:pPr>
              <w:spacing w:after="0"/>
              <w:rPr>
                <w:sz w:val="20"/>
                <w:szCs w:val="20"/>
                <w:color w:val="auto"/>
              </w:rPr>
            </w:pPr>
          </w:p>
        </w:tc>
        <w:tc>
          <w:tcPr>
            <w:tcW w:w="1500" w:type="dxa"/>
            <w:vAlign w:val="bottom"/>
            <w:gridSpan w:val="2"/>
          </w:tcPr>
          <w:p>
            <w:pPr>
              <w:jc w:val="right"/>
              <w:ind w:right="160"/>
              <w:spacing w:after="0"/>
              <w:rPr>
                <w:sz w:val="20"/>
                <w:szCs w:val="20"/>
                <w:color w:val="auto"/>
              </w:rPr>
            </w:pPr>
            <w:r>
              <w:rPr>
                <w:rFonts w:ascii="Arial" w:cs="Arial" w:eastAsia="Arial" w:hAnsi="Arial"/>
                <w:sz w:val="18"/>
                <w:szCs w:val="18"/>
                <w:color w:val="auto"/>
              </w:rPr>
              <w:t>9.7 %</w:t>
            </w:r>
          </w:p>
        </w:tc>
        <w:tc>
          <w:tcPr>
            <w:tcW w:w="320" w:type="dxa"/>
            <w:vAlign w:val="bottom"/>
          </w:tcPr>
          <w:p>
            <w:pPr>
              <w:spacing w:after="0"/>
              <w:rPr>
                <w:sz w:val="20"/>
                <w:szCs w:val="20"/>
                <w:color w:val="auto"/>
              </w:rPr>
            </w:pPr>
          </w:p>
        </w:tc>
        <w:tc>
          <w:tcPr>
            <w:tcW w:w="1280" w:type="dxa"/>
            <w:vAlign w:val="bottom"/>
            <w:gridSpan w:val="3"/>
          </w:tcPr>
          <w:p>
            <w:pPr>
              <w:jc w:val="right"/>
              <w:spacing w:after="0"/>
              <w:rPr>
                <w:sz w:val="20"/>
                <w:szCs w:val="20"/>
                <w:color w:val="auto"/>
              </w:rPr>
            </w:pPr>
            <w:r>
              <w:rPr>
                <w:rFonts w:ascii="Arial" w:cs="Arial" w:eastAsia="Arial" w:hAnsi="Arial"/>
                <w:sz w:val="18"/>
                <w:szCs w:val="18"/>
                <w:color w:val="auto"/>
              </w:rPr>
              <w:t>14.4 %</w:t>
            </w:r>
          </w:p>
        </w:tc>
      </w:tr>
      <w:tr>
        <w:trPr>
          <w:trHeight w:val="243"/>
        </w:trPr>
        <w:tc>
          <w:tcPr>
            <w:tcW w:w="4200" w:type="dxa"/>
            <w:vAlign w:val="bottom"/>
          </w:tcPr>
          <w:p>
            <w:pPr>
              <w:ind w:left="20"/>
              <w:spacing w:after="0" w:line="243" w:lineRule="exact"/>
              <w:rPr>
                <w:sz w:val="20"/>
                <w:szCs w:val="20"/>
                <w:color w:val="auto"/>
              </w:rPr>
            </w:pPr>
            <w:r>
              <w:rPr>
                <w:rFonts w:ascii="Arial" w:cs="Arial" w:eastAsia="Arial" w:hAnsi="Arial"/>
                <w:sz w:val="18"/>
                <w:szCs w:val="18"/>
                <w:color w:val="auto"/>
              </w:rPr>
              <w:t>Adjusted EBITDA</w:t>
            </w:r>
            <w:r>
              <w:rPr>
                <w:rFonts w:ascii="Arial" w:cs="Arial" w:eastAsia="Arial" w:hAnsi="Arial"/>
                <w:sz w:val="24"/>
                <w:szCs w:val="24"/>
                <w:color w:val="auto"/>
                <w:vertAlign w:val="superscript"/>
              </w:rPr>
              <w:t>(1)</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71,598</w:t>
            </w:r>
          </w:p>
        </w:tc>
        <w:tc>
          <w:tcPr>
            <w:tcW w:w="30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66,132</w:t>
            </w:r>
          </w:p>
        </w:tc>
        <w:tc>
          <w:tcPr>
            <w:tcW w:w="3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216,434</w:t>
            </w:r>
          </w:p>
        </w:tc>
        <w:tc>
          <w:tcPr>
            <w:tcW w:w="32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215,457</w:t>
            </w: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266"/>
        </w:trPr>
        <w:tc>
          <w:tcPr>
            <w:tcW w:w="4200" w:type="dxa"/>
            <w:vAlign w:val="bottom"/>
          </w:tcPr>
          <w:p>
            <w:pPr>
              <w:ind w:left="20"/>
              <w:spacing w:after="0" w:line="265" w:lineRule="exact"/>
              <w:rPr>
                <w:sz w:val="20"/>
                <w:szCs w:val="20"/>
                <w:color w:val="auto"/>
              </w:rPr>
            </w:pPr>
            <w:r>
              <w:rPr>
                <w:rFonts w:ascii="Arial" w:cs="Arial" w:eastAsia="Arial" w:hAnsi="Arial"/>
                <w:sz w:val="18"/>
                <w:szCs w:val="18"/>
                <w:color w:val="auto"/>
              </w:rPr>
              <w:t>Adjusted EBITDA margin</w:t>
            </w:r>
            <w:r>
              <w:rPr>
                <w:rFonts w:ascii="Arial" w:cs="Arial" w:eastAsia="Arial" w:hAnsi="Arial"/>
                <w:sz w:val="24"/>
                <w:szCs w:val="24"/>
                <w:color w:val="auto"/>
                <w:vertAlign w:val="superscript"/>
              </w:rPr>
              <w:t>(1)</w:t>
            </w:r>
          </w:p>
        </w:tc>
        <w:tc>
          <w:tcPr>
            <w:tcW w:w="120" w:type="dxa"/>
            <w:vAlign w:val="bottom"/>
          </w:tcPr>
          <w:p>
            <w:pPr>
              <w:spacing w:after="0"/>
              <w:rPr>
                <w:sz w:val="23"/>
                <w:szCs w:val="23"/>
                <w:color w:val="auto"/>
              </w:rPr>
            </w:pPr>
          </w:p>
        </w:tc>
        <w:tc>
          <w:tcPr>
            <w:tcW w:w="1460" w:type="dxa"/>
            <w:vAlign w:val="bottom"/>
            <w:gridSpan w:val="2"/>
          </w:tcPr>
          <w:p>
            <w:pPr>
              <w:jc w:val="right"/>
              <w:ind w:right="140"/>
              <w:spacing w:after="0"/>
              <w:rPr>
                <w:sz w:val="20"/>
                <w:szCs w:val="20"/>
                <w:color w:val="auto"/>
              </w:rPr>
            </w:pPr>
            <w:r>
              <w:rPr>
                <w:rFonts w:ascii="Arial" w:cs="Arial" w:eastAsia="Arial" w:hAnsi="Arial"/>
                <w:sz w:val="18"/>
                <w:szCs w:val="18"/>
                <w:color w:val="auto"/>
              </w:rPr>
              <w:t>30.6 %</w:t>
            </w:r>
          </w:p>
        </w:tc>
        <w:tc>
          <w:tcPr>
            <w:tcW w:w="340" w:type="dxa"/>
            <w:vAlign w:val="bottom"/>
          </w:tcPr>
          <w:p>
            <w:pPr>
              <w:spacing w:after="0"/>
              <w:rPr>
                <w:sz w:val="23"/>
                <w:szCs w:val="23"/>
                <w:color w:val="auto"/>
              </w:rPr>
            </w:pPr>
          </w:p>
        </w:tc>
        <w:tc>
          <w:tcPr>
            <w:tcW w:w="1460" w:type="dxa"/>
            <w:vAlign w:val="bottom"/>
            <w:gridSpan w:val="2"/>
          </w:tcPr>
          <w:p>
            <w:pPr>
              <w:jc w:val="right"/>
              <w:ind w:right="160"/>
              <w:spacing w:after="0"/>
              <w:rPr>
                <w:sz w:val="20"/>
                <w:szCs w:val="20"/>
                <w:color w:val="auto"/>
              </w:rPr>
            </w:pPr>
            <w:r>
              <w:rPr>
                <w:rFonts w:ascii="Arial" w:cs="Arial" w:eastAsia="Arial" w:hAnsi="Arial"/>
                <w:sz w:val="18"/>
                <w:szCs w:val="18"/>
                <w:color w:val="auto"/>
              </w:rPr>
              <w:t>30.4 %</w:t>
            </w:r>
          </w:p>
        </w:tc>
        <w:tc>
          <w:tcPr>
            <w:tcW w:w="160" w:type="dxa"/>
            <w:vAlign w:val="bottom"/>
          </w:tcPr>
          <w:p>
            <w:pPr>
              <w:spacing w:after="0"/>
              <w:rPr>
                <w:sz w:val="23"/>
                <w:szCs w:val="23"/>
                <w:color w:val="auto"/>
              </w:rPr>
            </w:pPr>
          </w:p>
        </w:tc>
        <w:tc>
          <w:tcPr>
            <w:tcW w:w="1500" w:type="dxa"/>
            <w:vAlign w:val="bottom"/>
            <w:gridSpan w:val="2"/>
          </w:tcPr>
          <w:p>
            <w:pPr>
              <w:jc w:val="right"/>
              <w:ind w:right="160"/>
              <w:spacing w:after="0"/>
              <w:rPr>
                <w:sz w:val="20"/>
                <w:szCs w:val="20"/>
                <w:color w:val="auto"/>
              </w:rPr>
            </w:pPr>
            <w:r>
              <w:rPr>
                <w:rFonts w:ascii="Arial" w:cs="Arial" w:eastAsia="Arial" w:hAnsi="Arial"/>
                <w:sz w:val="18"/>
                <w:szCs w:val="18"/>
                <w:color w:val="auto"/>
              </w:rPr>
              <w:t>31.1 %</w:t>
            </w:r>
          </w:p>
        </w:tc>
        <w:tc>
          <w:tcPr>
            <w:tcW w:w="320" w:type="dxa"/>
            <w:vAlign w:val="bottom"/>
          </w:tcPr>
          <w:p>
            <w:pPr>
              <w:spacing w:after="0"/>
              <w:rPr>
                <w:sz w:val="23"/>
                <w:szCs w:val="23"/>
                <w:color w:val="auto"/>
              </w:rPr>
            </w:pPr>
          </w:p>
        </w:tc>
        <w:tc>
          <w:tcPr>
            <w:tcW w:w="1280" w:type="dxa"/>
            <w:vAlign w:val="bottom"/>
            <w:gridSpan w:val="3"/>
          </w:tcPr>
          <w:p>
            <w:pPr>
              <w:jc w:val="right"/>
              <w:spacing w:after="0"/>
              <w:rPr>
                <w:sz w:val="20"/>
                <w:szCs w:val="20"/>
                <w:color w:val="auto"/>
              </w:rPr>
            </w:pPr>
            <w:r>
              <w:rPr>
                <w:rFonts w:ascii="Arial" w:cs="Arial" w:eastAsia="Arial" w:hAnsi="Arial"/>
                <w:sz w:val="18"/>
                <w:szCs w:val="18"/>
                <w:color w:val="auto"/>
              </w:rPr>
              <w:t>32.5 %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150495</wp:posOffset>
            </wp:positionH>
            <wp:positionV relativeFrom="paragraph">
              <wp:posOffset>-1078230</wp:posOffset>
            </wp:positionV>
            <wp:extent cx="6841490" cy="15430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6841490" cy="154305"/>
                    </a:xfrm>
                    <a:prstGeom prst="rect">
                      <a:avLst/>
                    </a:prstGeom>
                    <a:noFill/>
                  </pic:spPr>
                </pic:pic>
              </a:graphicData>
            </a:graphic>
          </wp:anchor>
        </w:drawing>
        <w:drawing>
          <wp:anchor simplePos="0" relativeHeight="251657728" behindDoc="1" locked="0" layoutInCell="0" allowOverlap="1">
            <wp:simplePos x="0" y="0"/>
            <wp:positionH relativeFrom="column">
              <wp:posOffset>150495</wp:posOffset>
            </wp:positionH>
            <wp:positionV relativeFrom="paragraph">
              <wp:posOffset>-770255</wp:posOffset>
            </wp:positionV>
            <wp:extent cx="6841490" cy="15430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6841490" cy="154305"/>
                    </a:xfrm>
                    <a:prstGeom prst="rect">
                      <a:avLst/>
                    </a:prstGeom>
                    <a:noFill/>
                  </pic:spPr>
                </pic:pic>
              </a:graphicData>
            </a:graphic>
          </wp:anchor>
        </w:drawing>
        <w:drawing>
          <wp:anchor simplePos="0" relativeHeight="251657728" behindDoc="1" locked="0" layoutInCell="0" allowOverlap="1">
            <wp:simplePos x="0" y="0"/>
            <wp:positionH relativeFrom="column">
              <wp:posOffset>150495</wp:posOffset>
            </wp:positionH>
            <wp:positionV relativeFrom="paragraph">
              <wp:posOffset>-461645</wp:posOffset>
            </wp:positionV>
            <wp:extent cx="6841490" cy="15430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6841490" cy="154305"/>
                    </a:xfrm>
                    <a:prstGeom prst="rect">
                      <a:avLst/>
                    </a:prstGeom>
                    <a:noFill/>
                  </pic:spPr>
                </pic:pic>
              </a:graphicData>
            </a:graphic>
          </wp:anchor>
        </w:drawing>
        <w:drawing>
          <wp:anchor simplePos="0" relativeHeight="251657728" behindDoc="1" locked="0" layoutInCell="0" allowOverlap="1">
            <wp:simplePos x="0" y="0"/>
            <wp:positionH relativeFrom="column">
              <wp:posOffset>150495</wp:posOffset>
            </wp:positionH>
            <wp:positionV relativeFrom="paragraph">
              <wp:posOffset>-153670</wp:posOffset>
            </wp:positionV>
            <wp:extent cx="6841490" cy="15430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6841490" cy="154305"/>
                    </a:xfrm>
                    <a:prstGeom prst="rect">
                      <a:avLst/>
                    </a:prstGeom>
                    <a:noFill/>
                  </pic:spPr>
                </pic:pic>
              </a:graphicData>
            </a:graphic>
          </wp:anchor>
        </w:drawing>
      </w:r>
    </w:p>
    <w:p>
      <w:pPr>
        <w:spacing w:after="0" w:line="69" w:lineRule="exact"/>
        <w:rPr>
          <w:sz w:val="20"/>
          <w:szCs w:val="20"/>
          <w:color w:val="auto"/>
        </w:rPr>
      </w:pPr>
    </w:p>
    <w:p>
      <w:pPr>
        <w:ind w:left="520" w:right="280" w:hanging="3"/>
        <w:spacing w:after="0" w:line="252" w:lineRule="auto"/>
        <w:tabs>
          <w:tab w:leader="none" w:pos="807" w:val="left"/>
        </w:tabs>
        <w:numPr>
          <w:ilvl w:val="0"/>
          <w:numId w:val="7"/>
        </w:numPr>
        <w:rPr>
          <w:rFonts w:ascii="Arial" w:cs="Arial" w:eastAsia="Arial" w:hAnsi="Arial"/>
          <w:sz w:val="14"/>
          <w:szCs w:val="14"/>
          <w:color w:val="auto"/>
        </w:rPr>
      </w:pPr>
      <w:r>
        <w:rPr>
          <w:rFonts w:ascii="Arial" w:cs="Arial" w:eastAsia="Arial" w:hAnsi="Arial"/>
          <w:sz w:val="14"/>
          <w:szCs w:val="14"/>
          <w:color w:val="auto"/>
        </w:rPr>
        <w:t>See “Adjusted EBITDA and Adjusted EBITDA Margin” below for more information and for a reconciliation of these measures to Net income and Net income margin, the most directly comparable financial measures calculated and presented in accordance with U.S. GAAP.</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Location Count (end of period)</w:t>
      </w:r>
    </w:p>
    <w:p>
      <w:pPr>
        <w:spacing w:after="0" w:line="117" w:lineRule="exact"/>
        <w:rPr>
          <w:sz w:val="20"/>
          <w:szCs w:val="20"/>
          <w:color w:val="auto"/>
        </w:rPr>
      </w:pPr>
    </w:p>
    <w:p>
      <w:pPr>
        <w:ind w:right="200"/>
        <w:spacing w:after="0" w:line="296" w:lineRule="auto"/>
        <w:rPr>
          <w:sz w:val="20"/>
          <w:szCs w:val="20"/>
          <w:color w:val="auto"/>
        </w:rPr>
      </w:pPr>
      <w:r>
        <w:rPr>
          <w:rFonts w:ascii="Arial" w:cs="Arial" w:eastAsia="Arial" w:hAnsi="Arial"/>
          <w:sz w:val="16"/>
          <w:szCs w:val="16"/>
          <w:color w:val="auto"/>
        </w:rPr>
        <w:t>Our location count refers to the total number of car wash locations at the end of a period, inclusive of new greenfield locations, acquired locations and offset by closed locations. The total number of locations that we operate, as well as the timing of location openings, acquisitions, and closings, have, and will continue to have, an impact on our performance. In the three months ended September 30, 2023, we increased our location count by 13 locations, comprised of eight greenfield locations and five acquired locations. In the nine months ended September 30, 2023, we increased our location count by 26 locations, comprised of 21 greenfield locations and six acquired locations, offset by one location that was closed during the first quarter.</w:t>
      </w:r>
    </w:p>
    <w:p>
      <w:pPr>
        <w:spacing w:after="0" w:line="52"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Our Express Exterior Locations, which offer express exterior cleaning services, comprise 390 of our current locations and our Interior Cleaning Locations, which offer both express exterior cleaning services and interior cleaning services, comprise 72 of our current locations.</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Comparable Store Sales Growth</w:t>
      </w:r>
    </w:p>
    <w:p>
      <w:pPr>
        <w:spacing w:after="0" w:line="117"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We consider a location a comparable store on the first day of the 13th full calendar month following a location’s first day of operations. A location converted from an Interior Cleaning Location format to an Express Exterior Location format is excluded when the location did not offer interior cleaning services in the current period but did offer interior cleaning services in the prior year period. Comparable store sales growth is the percentage change in total wash sales of all comparable store car washes.</w:t>
      </w:r>
    </w:p>
    <w:p>
      <w:pPr>
        <w:spacing w:after="0" w:line="77" w:lineRule="exact"/>
        <w:rPr>
          <w:sz w:val="20"/>
          <w:szCs w:val="20"/>
          <w:color w:val="auto"/>
        </w:rPr>
      </w:pPr>
    </w:p>
    <w:p>
      <w:pPr>
        <w:ind w:right="100"/>
        <w:spacing w:after="0" w:line="258" w:lineRule="auto"/>
        <w:rPr>
          <w:sz w:val="20"/>
          <w:szCs w:val="20"/>
          <w:color w:val="auto"/>
        </w:rPr>
      </w:pPr>
      <w:r>
        <w:rPr>
          <w:rFonts w:ascii="Arial" w:cs="Arial" w:eastAsia="Arial" w:hAnsi="Arial"/>
          <w:sz w:val="18"/>
          <w:szCs w:val="18"/>
          <w:color w:val="auto"/>
        </w:rPr>
        <w:t>Opening new locations is a component of our growth strategy and as we continue to execute on our growth strategy, we expect that a significant portion of our sales growth will be attributable to non-comparable store sales. Accordingly, comparable store sales are only</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65" w:right="359" w:bottom="1440" w:gutter="0" w:footer="0" w:header="0"/>
        </w:sectPr>
      </w:pPr>
    </w:p>
    <w:bookmarkStart w:id="24" w:name="page25"/>
    <w:bookmarkEnd w:id="24"/>
    <w:p>
      <w:pPr>
        <w:ind w:right="240"/>
        <w:spacing w:after="0" w:line="277" w:lineRule="auto"/>
        <w:rPr>
          <w:sz w:val="20"/>
          <w:szCs w:val="20"/>
          <w:color w:val="auto"/>
        </w:rPr>
      </w:pPr>
      <w:r>
        <w:rPr>
          <w:rFonts w:ascii="Arial" w:cs="Arial" w:eastAsia="Arial" w:hAnsi="Arial"/>
          <w:sz w:val="18"/>
          <w:szCs w:val="18"/>
          <w:color w:val="auto"/>
        </w:rPr>
        <w:t>one measure we use to assess the success of our growth strategy. For the three months ended September 30, 2023, comparable store sales increased 1.7% compared to an increase of 2.9% in the three months ended September 30, 2022.</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UWC Members (end of period)</w:t>
      </w:r>
    </w:p>
    <w:p>
      <w:pPr>
        <w:spacing w:after="0" w:line="117"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Members of our monthly subscription service are known as Unlimited Wash Club Members, or UWC Members. We view the number of UWC Members and the growth in the number of UWC Members on a net basis from period to period as key indicators of our revenue growth. The number of UWC Members has grown over time as we have acquired new customers and retained previously acquired customers. There were approximately 2.1 million and approximately 1.9 million UWC Members as of September 30, 2023 and September 30, 2022, respectively. There were approximately 1.9 million UWC Members as of December 31, 2022.</w:t>
      </w:r>
    </w:p>
    <w:p>
      <w:pPr>
        <w:spacing w:after="0" w:line="83"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Our UWC Members grew by approximately 11% from September 30, 2022 through September 30, 2023 and approximately 10% from December 31, 2022 through September 30, 2023.</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UWC Sales as a Percentage of Total Wash Sales</w:t>
      </w:r>
    </w:p>
    <w:p>
      <w:pPr>
        <w:spacing w:after="0" w:line="117"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UWC sales as a percentage of total wash sales represents the penetration of our subscription membership program as a percentage of our overall wash sales. Total wash sales are defined as the net revenue generated from express exterior cleaning services and interior cleaning services for both UWC Members and retail customers. UWC sales as a percentage of total wash sales is calculated as sales generated from UWC Members as a percentage of total wash sales.</w:t>
      </w:r>
    </w:p>
    <w:p>
      <w:pPr>
        <w:spacing w:after="0" w:line="2"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We have consistently grown this measure over time as we educate customers as to the value of our subscription offering. UWC sales were 71% and 69% of our total wash sales for the three months ended September 30, 2023 and 2022, respectively. UWC sales were 70% and 67% of our total wash sales for the nine months ended September 30, 2023 and 2022, respectively.</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Adjusted EBITDA and Adjusted EBITDA Margin</w:t>
      </w:r>
    </w:p>
    <w:p>
      <w:pPr>
        <w:spacing w:after="0" w:line="117"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Adjusted EBITDA is a non-GAAP measure of our operating performance and should not be considered as an alternative to net income as a measure of financial performance or any other performance measure derived in accordance with generally accepted accounting principles in the United States of America (“U.S. GAAP”). Adjusted EBITDA is defined as net income before interest expense, net, income tax provision, depreciation and amortization expense, (gain) loss on sale of assets, stock-based compensation expense and related taxes, acquisition expenses, non-cash rent expense, expenses associated with the completion of our initial public offering, or IPO, in June 2021, and other nonrecurring charges. Adjusted EBITDA margin is defined as Adjusted EBITDA divided by net revenues for a given period.</w:t>
      </w:r>
    </w:p>
    <w:p>
      <w:pPr>
        <w:spacing w:after="0" w:line="83" w:lineRule="exact"/>
        <w:rPr>
          <w:sz w:val="20"/>
          <w:szCs w:val="20"/>
          <w:color w:val="auto"/>
        </w:rPr>
      </w:pPr>
    </w:p>
    <w:p>
      <w:pPr>
        <w:ind w:right="260"/>
        <w:spacing w:after="0" w:line="291" w:lineRule="auto"/>
        <w:rPr>
          <w:sz w:val="20"/>
          <w:szCs w:val="20"/>
          <w:color w:val="auto"/>
        </w:rPr>
      </w:pPr>
      <w:r>
        <w:rPr>
          <w:rFonts w:ascii="Arial" w:cs="Arial" w:eastAsia="Arial" w:hAnsi="Arial"/>
          <w:sz w:val="16"/>
          <w:szCs w:val="16"/>
          <w:color w:val="auto"/>
        </w:rPr>
        <w:t>We present Adjusted EBITDA because we believe it assists investors and analysts in comparing our operating performance across reporting periods on a consistent basis by excluding items that we do not believe are indicative of our ongoing operating performance. You are encouraged to evaluate these adjustments and the reasons we consider them appropriate for supplemental analysis. In evaluating Adjusted EBITDA, you should be aware that in the future we may incur expenses that are the same as or similar to some of the adjustments in our presentation of Adjusted EBITDA. Our presentation of Adjusted EBITDA should not be construed as an inference that our future results will be unaffected by unusual or nonrecurring items. There can be no assurance that we will not modify the presentation of Adjusted EBITDA in future periods, and any such modification may be material. In addition, Adjusted EBITDA may not be comparable to similarly titled measures used by other companies in our industry or across different industries.</w:t>
      </w:r>
    </w:p>
    <w:p>
      <w:pPr>
        <w:spacing w:after="0" w:line="57" w:lineRule="exact"/>
        <w:rPr>
          <w:sz w:val="20"/>
          <w:szCs w:val="20"/>
          <w:color w:val="auto"/>
        </w:rPr>
      </w:pPr>
    </w:p>
    <w:p>
      <w:pPr>
        <w:ind w:right="260"/>
        <w:spacing w:after="0" w:line="296" w:lineRule="auto"/>
        <w:rPr>
          <w:sz w:val="20"/>
          <w:szCs w:val="20"/>
          <w:color w:val="auto"/>
        </w:rPr>
      </w:pPr>
      <w:r>
        <w:rPr>
          <w:rFonts w:ascii="Arial" w:cs="Arial" w:eastAsia="Arial" w:hAnsi="Arial"/>
          <w:sz w:val="16"/>
          <w:szCs w:val="16"/>
          <w:color w:val="auto"/>
        </w:rPr>
        <w:t>Our management believes Adjusted EBITDA is helpful in highlighting trends in our core operating performance compared to other measures, which can differ significantly depending on long-term strategic decisions regarding capital structure, the tax jurisdictions in which companies operate and capital investments. We also use Adjusted EBITDA in connection with establishing discretionary annual incentive compensation; to supplement U.S. GAAP measures of performance in the evaluation of the effectiveness of our business strategies; to make budgeting decisions; and because our Amended First Lien Credit Agreement uses measures similar to Adjusted EBITDA to measure our compliance with certain covenants.</w:t>
      </w:r>
    </w:p>
    <w:p>
      <w:pPr>
        <w:spacing w:after="0" w:line="52"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Adjusted EBITDA has its limitations as an analytical tool, and you should not consider it in isolation or as a substitute for analysis of our results as reported under U.S. GAAP. Some of these limitations include:</w:t>
      </w:r>
    </w:p>
    <w:p>
      <w:pPr>
        <w:spacing w:after="0" w:line="75" w:lineRule="exact"/>
        <w:rPr>
          <w:sz w:val="20"/>
          <w:szCs w:val="20"/>
          <w:color w:val="auto"/>
        </w:rPr>
      </w:pPr>
    </w:p>
    <w:p>
      <w:pPr>
        <w:ind w:left="480" w:hanging="337"/>
        <w:spacing w:after="0"/>
        <w:tabs>
          <w:tab w:leader="none" w:pos="480" w:val="left"/>
        </w:tabs>
        <w:numPr>
          <w:ilvl w:val="0"/>
          <w:numId w:val="8"/>
        </w:numPr>
        <w:rPr>
          <w:rFonts w:ascii="Arial" w:cs="Arial" w:eastAsia="Arial" w:hAnsi="Arial"/>
          <w:sz w:val="18"/>
          <w:szCs w:val="18"/>
          <w:color w:val="auto"/>
        </w:rPr>
      </w:pPr>
      <w:r>
        <w:rPr>
          <w:rFonts w:ascii="Arial" w:cs="Arial" w:eastAsia="Arial" w:hAnsi="Arial"/>
          <w:sz w:val="18"/>
          <w:szCs w:val="18"/>
          <w:color w:val="auto"/>
        </w:rPr>
        <w:t>Adjusted EBITDA does not reflect our cash expenditure or future requirements for capital expenditures or contractual commitments;</w:t>
      </w:r>
    </w:p>
    <w:p>
      <w:pPr>
        <w:spacing w:after="0" w:line="170" w:lineRule="exact"/>
        <w:rPr>
          <w:rFonts w:ascii="Arial" w:cs="Arial" w:eastAsia="Arial" w:hAnsi="Arial"/>
          <w:sz w:val="18"/>
          <w:szCs w:val="18"/>
          <w:color w:val="auto"/>
        </w:rPr>
      </w:pPr>
    </w:p>
    <w:p>
      <w:pPr>
        <w:ind w:left="480" w:hanging="337"/>
        <w:spacing w:after="0"/>
        <w:tabs>
          <w:tab w:leader="none" w:pos="480" w:val="left"/>
        </w:tabs>
        <w:numPr>
          <w:ilvl w:val="0"/>
          <w:numId w:val="8"/>
        </w:numPr>
        <w:rPr>
          <w:rFonts w:ascii="Arial" w:cs="Arial" w:eastAsia="Arial" w:hAnsi="Arial"/>
          <w:sz w:val="18"/>
          <w:szCs w:val="18"/>
          <w:color w:val="auto"/>
        </w:rPr>
      </w:pPr>
      <w:r>
        <w:rPr>
          <w:rFonts w:ascii="Arial" w:cs="Arial" w:eastAsia="Arial" w:hAnsi="Arial"/>
          <w:sz w:val="18"/>
          <w:szCs w:val="18"/>
          <w:color w:val="auto"/>
        </w:rPr>
        <w:t>Adjusted EBITDA does not reflect changes in our cash requirements for our working capital needs;</w:t>
      </w:r>
    </w:p>
    <w:p>
      <w:pPr>
        <w:spacing w:after="0" w:line="143" w:lineRule="exact"/>
        <w:rPr>
          <w:rFonts w:ascii="Arial" w:cs="Arial" w:eastAsia="Arial" w:hAnsi="Arial"/>
          <w:sz w:val="18"/>
          <w:szCs w:val="18"/>
          <w:color w:val="auto"/>
        </w:rPr>
      </w:pPr>
    </w:p>
    <w:p>
      <w:pPr>
        <w:ind w:left="480" w:hanging="337"/>
        <w:spacing w:after="0"/>
        <w:tabs>
          <w:tab w:leader="none" w:pos="480" w:val="left"/>
        </w:tabs>
        <w:numPr>
          <w:ilvl w:val="0"/>
          <w:numId w:val="8"/>
        </w:numPr>
        <w:rPr>
          <w:rFonts w:ascii="Arial" w:cs="Arial" w:eastAsia="Arial" w:hAnsi="Arial"/>
          <w:sz w:val="16"/>
          <w:szCs w:val="16"/>
          <w:color w:val="auto"/>
        </w:rPr>
      </w:pPr>
      <w:r>
        <w:rPr>
          <w:rFonts w:ascii="Arial" w:cs="Arial" w:eastAsia="Arial" w:hAnsi="Arial"/>
          <w:sz w:val="16"/>
          <w:szCs w:val="16"/>
          <w:color w:val="auto"/>
        </w:rPr>
        <w:t>Adjusted EBITDA does not reflect the interest expense and the cash requirements necessary to service interest or principal payments on our debt;</w:t>
      </w:r>
    </w:p>
    <w:p>
      <w:pPr>
        <w:spacing w:after="0" w:line="166" w:lineRule="exact"/>
        <w:rPr>
          <w:rFonts w:ascii="Arial" w:cs="Arial" w:eastAsia="Arial" w:hAnsi="Arial"/>
          <w:sz w:val="16"/>
          <w:szCs w:val="16"/>
          <w:color w:val="auto"/>
        </w:rPr>
      </w:pPr>
    </w:p>
    <w:p>
      <w:pPr>
        <w:ind w:left="480" w:hanging="337"/>
        <w:spacing w:after="0"/>
        <w:tabs>
          <w:tab w:leader="none" w:pos="480" w:val="left"/>
        </w:tabs>
        <w:numPr>
          <w:ilvl w:val="0"/>
          <w:numId w:val="8"/>
        </w:numPr>
        <w:rPr>
          <w:rFonts w:ascii="Arial" w:cs="Arial" w:eastAsia="Arial" w:hAnsi="Arial"/>
          <w:sz w:val="18"/>
          <w:szCs w:val="18"/>
          <w:color w:val="auto"/>
        </w:rPr>
      </w:pPr>
      <w:r>
        <w:rPr>
          <w:rFonts w:ascii="Arial" w:cs="Arial" w:eastAsia="Arial" w:hAnsi="Arial"/>
          <w:sz w:val="18"/>
          <w:szCs w:val="18"/>
          <w:color w:val="auto"/>
        </w:rPr>
        <w:t>Adjusted EBITDA does not reflect cash requirements for replacement of assets that are being depreciated and amortized;</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25" w:name="page26"/>
    <w:bookmarkEnd w:id="25"/>
    <w:p>
      <w:pPr>
        <w:ind w:left="480" w:hanging="337"/>
        <w:spacing w:after="0"/>
        <w:tabs>
          <w:tab w:leader="none" w:pos="480" w:val="left"/>
        </w:tabs>
        <w:numPr>
          <w:ilvl w:val="0"/>
          <w:numId w:val="9"/>
        </w:numPr>
        <w:rPr>
          <w:rFonts w:ascii="Arial" w:cs="Arial" w:eastAsia="Arial" w:hAnsi="Arial"/>
          <w:sz w:val="18"/>
          <w:szCs w:val="18"/>
          <w:color w:val="auto"/>
        </w:rPr>
      </w:pPr>
      <w:r>
        <w:rPr>
          <w:rFonts w:ascii="Arial" w:cs="Arial" w:eastAsia="Arial" w:hAnsi="Arial"/>
          <w:sz w:val="18"/>
          <w:szCs w:val="18"/>
          <w:color w:val="auto"/>
        </w:rPr>
        <w:t>Adjusted EBITDA does not reflect non-cash compensation, which is a key element of our overall long-term compensation;</w:t>
      </w:r>
    </w:p>
    <w:p>
      <w:pPr>
        <w:spacing w:after="0" w:line="143" w:lineRule="exact"/>
        <w:rPr>
          <w:rFonts w:ascii="Arial" w:cs="Arial" w:eastAsia="Arial" w:hAnsi="Arial"/>
          <w:sz w:val="18"/>
          <w:szCs w:val="18"/>
          <w:color w:val="auto"/>
        </w:rPr>
      </w:pPr>
    </w:p>
    <w:p>
      <w:pPr>
        <w:ind w:left="480" w:right="80" w:hanging="337"/>
        <w:spacing w:after="0" w:line="277" w:lineRule="auto"/>
        <w:tabs>
          <w:tab w:leader="none" w:pos="480" w:val="left"/>
        </w:tabs>
        <w:numPr>
          <w:ilvl w:val="0"/>
          <w:numId w:val="9"/>
        </w:numPr>
        <w:rPr>
          <w:rFonts w:ascii="Arial" w:cs="Arial" w:eastAsia="Arial" w:hAnsi="Arial"/>
          <w:sz w:val="18"/>
          <w:szCs w:val="18"/>
          <w:color w:val="auto"/>
        </w:rPr>
      </w:pPr>
      <w:r>
        <w:rPr>
          <w:rFonts w:ascii="Arial" w:cs="Arial" w:eastAsia="Arial" w:hAnsi="Arial"/>
          <w:sz w:val="18"/>
          <w:szCs w:val="18"/>
          <w:color w:val="auto"/>
        </w:rPr>
        <w:t>Adjusted EBITDA does not reflect the impact of certain cash charges or cash receipts resulting from matters we do not find indicative of our ongoing operations; and</w:t>
      </w:r>
    </w:p>
    <w:p>
      <w:pPr>
        <w:spacing w:after="0" w:line="88" w:lineRule="exact"/>
        <w:rPr>
          <w:rFonts w:ascii="Arial" w:cs="Arial" w:eastAsia="Arial" w:hAnsi="Arial"/>
          <w:sz w:val="18"/>
          <w:szCs w:val="18"/>
          <w:color w:val="auto"/>
        </w:rPr>
      </w:pPr>
    </w:p>
    <w:p>
      <w:pPr>
        <w:ind w:left="480" w:hanging="337"/>
        <w:spacing w:after="0"/>
        <w:tabs>
          <w:tab w:leader="none" w:pos="480" w:val="left"/>
        </w:tabs>
        <w:numPr>
          <w:ilvl w:val="0"/>
          <w:numId w:val="9"/>
        </w:numPr>
        <w:rPr>
          <w:rFonts w:ascii="Arial" w:cs="Arial" w:eastAsia="Arial" w:hAnsi="Arial"/>
          <w:sz w:val="18"/>
          <w:szCs w:val="18"/>
          <w:color w:val="auto"/>
        </w:rPr>
      </w:pPr>
      <w:r>
        <w:rPr>
          <w:rFonts w:ascii="Arial" w:cs="Arial" w:eastAsia="Arial" w:hAnsi="Arial"/>
          <w:sz w:val="18"/>
          <w:szCs w:val="18"/>
          <w:color w:val="auto"/>
        </w:rPr>
        <w:t>other companies in our industry may calculate Adjusted EBITDA differently than we do.</w:t>
      </w:r>
    </w:p>
    <w:p>
      <w:pPr>
        <w:spacing w:after="0" w:line="130" w:lineRule="exact"/>
        <w:rPr>
          <w:sz w:val="20"/>
          <w:szCs w:val="20"/>
          <w:color w:val="auto"/>
        </w:rPr>
      </w:pPr>
    </w:p>
    <w:p>
      <w:pPr>
        <w:ind w:right="100" w:firstLine="509"/>
        <w:spacing w:after="0" w:line="293" w:lineRule="auto"/>
        <w:rPr>
          <w:sz w:val="20"/>
          <w:szCs w:val="20"/>
          <w:color w:val="auto"/>
        </w:rPr>
      </w:pPr>
      <w:r>
        <w:rPr>
          <w:rFonts w:ascii="Arial" w:cs="Arial" w:eastAsia="Arial" w:hAnsi="Arial"/>
          <w:sz w:val="16"/>
          <w:szCs w:val="16"/>
          <w:color w:val="auto"/>
        </w:rPr>
        <w:t>Adjusted EBITDA was approximately $71.6 million and $66.1 million in the three months ended September 30, 2023 and 2022, respectively. Our Adjusted EBITDA margin was 30.6% and 30.4% in the three months ended September 30, 2023 and 2022, respectively. Adjusted EBITDA was approximately $216.4 million and $215.5 million in the nine months ended September 30, 2023 and 2022, respectively. Our Adjusted EBITDA margin was 31.1% and 32.5% in the nine months ended September 30, 2023 and 2022, respectively. The Adjusted EBITDA increase in the three and nine months ended September 30, 2023 compared to the prior year periods are primarily attributable to the increase in car wash sales due to growth in UWC Members and the year-over-year addition of 42 locations. The following is a reconciliation of our net income to Adjusted EBITDA for the periods presented.</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40" w:type="dxa"/>
            <w:vAlign w:val="bottom"/>
            <w:gridSpan w:val="5"/>
          </w:tcPr>
          <w:p>
            <w:pPr>
              <w:jc w:val="right"/>
              <w:ind w:right="460"/>
              <w:spacing w:after="0"/>
              <w:rPr>
                <w:sz w:val="20"/>
                <w:szCs w:val="20"/>
                <w:color w:val="auto"/>
              </w:rPr>
            </w:pPr>
            <w:r>
              <w:rPr>
                <w:rFonts w:ascii="Arial" w:cs="Arial" w:eastAsia="Arial" w:hAnsi="Arial"/>
                <w:sz w:val="18"/>
                <w:szCs w:val="18"/>
                <w:b w:val="1"/>
                <w:bCs w:val="1"/>
                <w:color w:val="auto"/>
                <w:w w:val="90"/>
              </w:rPr>
              <w:t>Three Months Ended September 30,</w:t>
            </w:r>
          </w:p>
        </w:tc>
        <w:tc>
          <w:tcPr>
            <w:tcW w:w="140" w:type="dxa"/>
            <w:vAlign w:val="bottom"/>
          </w:tcPr>
          <w:p>
            <w:pPr>
              <w:spacing w:after="0"/>
              <w:rPr>
                <w:sz w:val="20"/>
                <w:szCs w:val="20"/>
                <w:color w:val="auto"/>
              </w:rPr>
            </w:pPr>
          </w:p>
        </w:tc>
        <w:tc>
          <w:tcPr>
            <w:tcW w:w="3040" w:type="dxa"/>
            <w:vAlign w:val="bottom"/>
            <w:gridSpan w:val="6"/>
          </w:tcPr>
          <w:p>
            <w:pPr>
              <w:jc w:val="right"/>
              <w:ind w:right="340"/>
              <w:spacing w:after="0"/>
              <w:rPr>
                <w:sz w:val="20"/>
                <w:szCs w:val="20"/>
                <w:color w:val="auto"/>
              </w:rPr>
            </w:pPr>
            <w:r>
              <w:rPr>
                <w:rFonts w:ascii="Arial" w:cs="Arial" w:eastAsia="Arial" w:hAnsi="Arial"/>
                <w:sz w:val="18"/>
                <w:szCs w:val="18"/>
                <w:b w:val="1"/>
                <w:bCs w:val="1"/>
                <w:color w:val="auto"/>
                <w:w w:val="90"/>
              </w:rPr>
              <w:t>Nine Months Ended September 30,</w:t>
            </w:r>
          </w:p>
        </w:tc>
      </w:tr>
      <w:tr>
        <w:trPr>
          <w:trHeight w:val="243"/>
        </w:trPr>
        <w:tc>
          <w:tcPr>
            <w:tcW w:w="4760" w:type="dxa"/>
            <w:vAlign w:val="bottom"/>
          </w:tcPr>
          <w:p>
            <w:pPr>
              <w:ind w:left="1480"/>
              <w:spacing w:after="0"/>
              <w:rPr>
                <w:sz w:val="20"/>
                <w:szCs w:val="20"/>
                <w:color w:val="auto"/>
              </w:rPr>
            </w:pPr>
            <w:r>
              <w:rPr>
                <w:rFonts w:ascii="Arial" w:cs="Arial" w:eastAsia="Arial" w:hAnsi="Arial"/>
                <w:sz w:val="18"/>
                <w:szCs w:val="18"/>
                <w:b w:val="1"/>
                <w:bCs w:val="1"/>
                <w:color w:val="auto"/>
              </w:rPr>
              <w:t>(Dollars in thousands)</w:t>
            </w:r>
          </w:p>
        </w:tc>
        <w:tc>
          <w:tcPr>
            <w:tcW w:w="120" w:type="dxa"/>
            <w:vAlign w:val="bottom"/>
            <w:tcBorders>
              <w:top w:val="single" w:sz="8" w:color="auto"/>
              <w:bottom w:val="single" w:sz="8" w:color="auto"/>
            </w:tcBorders>
          </w:tcPr>
          <w:p>
            <w:pPr>
              <w:spacing w:after="0"/>
              <w:rPr>
                <w:sz w:val="21"/>
                <w:szCs w:val="21"/>
                <w:color w:val="auto"/>
              </w:rPr>
            </w:pPr>
          </w:p>
        </w:tc>
        <w:tc>
          <w:tcPr>
            <w:tcW w:w="118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2023</w:t>
            </w:r>
          </w:p>
        </w:tc>
        <w:tc>
          <w:tcPr>
            <w:tcW w:w="360" w:type="dxa"/>
            <w:vAlign w:val="bottom"/>
            <w:tcBorders>
              <w:top w:val="single" w:sz="8" w:color="auto"/>
            </w:tcBorders>
          </w:tcPr>
          <w:p>
            <w:pPr>
              <w:spacing w:after="0"/>
              <w:rPr>
                <w:sz w:val="21"/>
                <w:szCs w:val="21"/>
                <w:color w:val="auto"/>
              </w:rPr>
            </w:pPr>
          </w:p>
        </w:tc>
        <w:tc>
          <w:tcPr>
            <w:tcW w:w="300" w:type="dxa"/>
            <w:vAlign w:val="bottom"/>
            <w:tcBorders>
              <w:top w:val="single" w:sz="8" w:color="auto"/>
              <w:bottom w:val="single" w:sz="8" w:color="auto"/>
            </w:tcBorders>
          </w:tcPr>
          <w:p>
            <w:pPr>
              <w:spacing w:after="0"/>
              <w:rPr>
                <w:sz w:val="21"/>
                <w:szCs w:val="21"/>
                <w:color w:val="auto"/>
              </w:rPr>
            </w:pPr>
          </w:p>
        </w:tc>
        <w:tc>
          <w:tcPr>
            <w:tcW w:w="106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2022</w:t>
            </w:r>
          </w:p>
        </w:tc>
        <w:tc>
          <w:tcPr>
            <w:tcW w:w="340" w:type="dxa"/>
            <w:vAlign w:val="bottom"/>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114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2023</w:t>
            </w:r>
          </w:p>
        </w:tc>
        <w:tc>
          <w:tcPr>
            <w:tcW w:w="320" w:type="dxa"/>
            <w:vAlign w:val="bottom"/>
            <w:tcBorders>
              <w:top w:val="single" w:sz="8" w:color="auto"/>
            </w:tcBorders>
          </w:tcPr>
          <w:p>
            <w:pPr>
              <w:spacing w:after="0"/>
              <w:rPr>
                <w:sz w:val="21"/>
                <w:szCs w:val="21"/>
                <w:color w:val="auto"/>
              </w:rPr>
            </w:pPr>
          </w:p>
        </w:tc>
        <w:tc>
          <w:tcPr>
            <w:tcW w:w="320" w:type="dxa"/>
            <w:vAlign w:val="bottom"/>
            <w:tcBorders>
              <w:top w:val="single" w:sz="8" w:color="auto"/>
              <w:bottom w:val="single" w:sz="8" w:color="auto"/>
            </w:tcBorders>
          </w:tcPr>
          <w:p>
            <w:pPr>
              <w:spacing w:after="0"/>
              <w:rPr>
                <w:sz w:val="21"/>
                <w:szCs w:val="21"/>
                <w:color w:val="auto"/>
              </w:rPr>
            </w:pPr>
          </w:p>
        </w:tc>
        <w:tc>
          <w:tcPr>
            <w:tcW w:w="110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236"/>
        </w:trPr>
        <w:tc>
          <w:tcPr>
            <w:tcW w:w="476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Reconciliation of net income to Adjusted EBITDA:</w:t>
            </w:r>
          </w:p>
        </w:tc>
        <w:tc>
          <w:tcPr>
            <w:tcW w:w="120" w:type="dxa"/>
            <w:vAlign w:val="bottom"/>
            <w:shd w:val="clear" w:color="auto" w:fill="CFF0FC"/>
          </w:tcPr>
          <w:p>
            <w:pPr>
              <w:spacing w:after="0"/>
              <w:rPr>
                <w:sz w:val="20"/>
                <w:szCs w:val="20"/>
                <w:color w:val="auto"/>
              </w:rPr>
            </w:pPr>
          </w:p>
        </w:tc>
        <w:tc>
          <w:tcPr>
            <w:tcW w:w="118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06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14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1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60" w:type="dxa"/>
            <w:vAlign w:val="bottom"/>
          </w:tcPr>
          <w:p>
            <w:pPr>
              <w:spacing w:after="0"/>
              <w:rPr>
                <w:sz w:val="20"/>
                <w:szCs w:val="20"/>
                <w:color w:val="auto"/>
              </w:rPr>
            </w:pPr>
          </w:p>
        </w:tc>
      </w:tr>
      <w:tr>
        <w:trPr>
          <w:trHeight w:val="236"/>
        </w:trPr>
        <w:tc>
          <w:tcPr>
            <w:tcW w:w="4760" w:type="dxa"/>
            <w:vAlign w:val="bottom"/>
          </w:tcPr>
          <w:p>
            <w:pPr>
              <w:ind w:left="120"/>
              <w:spacing w:after="0"/>
              <w:rPr>
                <w:sz w:val="20"/>
                <w:szCs w:val="20"/>
                <w:color w:val="auto"/>
              </w:rPr>
            </w:pPr>
            <w:r>
              <w:rPr>
                <w:rFonts w:ascii="Arial" w:cs="Arial" w:eastAsia="Arial" w:hAnsi="Arial"/>
                <w:sz w:val="18"/>
                <w:szCs w:val="18"/>
                <w:color w:val="auto"/>
              </w:rPr>
              <w:t>Net income</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19,485</w:t>
            </w:r>
          </w:p>
        </w:tc>
        <w:tc>
          <w:tcPr>
            <w:tcW w:w="360" w:type="dxa"/>
            <w:vAlign w:val="bottom"/>
          </w:tcPr>
          <w:p>
            <w:pPr>
              <w:spacing w:after="0"/>
              <w:rPr>
                <w:sz w:val="20"/>
                <w:szCs w:val="20"/>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23,997</w:t>
            </w:r>
          </w:p>
        </w:tc>
        <w:tc>
          <w:tcPr>
            <w:tcW w:w="34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67,753</w:t>
            </w:r>
          </w:p>
        </w:tc>
        <w:tc>
          <w:tcPr>
            <w:tcW w:w="320" w:type="dxa"/>
            <w:vAlign w:val="bottom"/>
          </w:tcPr>
          <w:p>
            <w:pPr>
              <w:spacing w:after="0"/>
              <w:rPr>
                <w:sz w:val="20"/>
                <w:szCs w:val="20"/>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95,144</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49"/>
        </w:trPr>
        <w:tc>
          <w:tcPr>
            <w:tcW w:w="4760" w:type="dxa"/>
            <w:vAlign w:val="bottom"/>
            <w:shd w:val="clear" w:color="auto" w:fill="CFF0FC"/>
          </w:tcPr>
          <w:p>
            <w:pPr>
              <w:ind w:left="120"/>
              <w:spacing w:after="0"/>
              <w:rPr>
                <w:sz w:val="20"/>
                <w:szCs w:val="20"/>
                <w:color w:val="auto"/>
              </w:rPr>
            </w:pPr>
            <w:r>
              <w:rPr>
                <w:rFonts w:ascii="Arial" w:cs="Arial" w:eastAsia="Arial" w:hAnsi="Arial"/>
                <w:sz w:val="18"/>
                <w:szCs w:val="18"/>
                <w:color w:val="auto"/>
              </w:rPr>
              <w:t>Interest expense, net</w:t>
            </w:r>
          </w:p>
        </w:tc>
        <w:tc>
          <w:tcPr>
            <w:tcW w:w="120" w:type="dxa"/>
            <w:vAlign w:val="bottom"/>
            <w:shd w:val="clear" w:color="auto" w:fill="CFF0FC"/>
          </w:tcPr>
          <w:p>
            <w:pPr>
              <w:spacing w:after="0"/>
              <w:rPr>
                <w:sz w:val="21"/>
                <w:szCs w:val="21"/>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19,100</w:t>
            </w:r>
          </w:p>
        </w:tc>
        <w:tc>
          <w:tcPr>
            <w:tcW w:w="3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10,100</w:t>
            </w:r>
          </w:p>
        </w:tc>
        <w:tc>
          <w:tcPr>
            <w:tcW w:w="3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55,143</w:t>
            </w:r>
          </w:p>
        </w:tc>
        <w:tc>
          <w:tcPr>
            <w:tcW w:w="32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27,028</w:t>
            </w: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r>
      <w:tr>
        <w:trPr>
          <w:trHeight w:val="236"/>
        </w:trPr>
        <w:tc>
          <w:tcPr>
            <w:tcW w:w="4760" w:type="dxa"/>
            <w:vAlign w:val="bottom"/>
          </w:tcPr>
          <w:p>
            <w:pPr>
              <w:ind w:left="120"/>
              <w:spacing w:after="0"/>
              <w:rPr>
                <w:sz w:val="20"/>
                <w:szCs w:val="20"/>
                <w:color w:val="auto"/>
              </w:rPr>
            </w:pPr>
            <w:r>
              <w:rPr>
                <w:rFonts w:ascii="Arial" w:cs="Arial" w:eastAsia="Arial" w:hAnsi="Arial"/>
                <w:sz w:val="18"/>
                <w:szCs w:val="18"/>
                <w:color w:val="auto"/>
              </w:rPr>
              <w:t>Income tax provision</w:t>
            </w:r>
          </w:p>
        </w:tc>
        <w:tc>
          <w:tcPr>
            <w:tcW w:w="1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4,470</w:t>
            </w:r>
          </w:p>
        </w:tc>
        <w:tc>
          <w:tcPr>
            <w:tcW w:w="3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8,814</w:t>
            </w: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18,373</w:t>
            </w:r>
          </w:p>
        </w:tc>
        <w:tc>
          <w:tcPr>
            <w:tcW w:w="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26,988</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49"/>
        </w:trPr>
        <w:tc>
          <w:tcPr>
            <w:tcW w:w="4760" w:type="dxa"/>
            <w:vAlign w:val="bottom"/>
            <w:shd w:val="clear" w:color="auto" w:fill="CFF0FC"/>
          </w:tcPr>
          <w:p>
            <w:pPr>
              <w:ind w:left="120"/>
              <w:spacing w:after="0"/>
              <w:rPr>
                <w:sz w:val="20"/>
                <w:szCs w:val="20"/>
                <w:color w:val="auto"/>
              </w:rPr>
            </w:pPr>
            <w:r>
              <w:rPr>
                <w:rFonts w:ascii="Arial" w:cs="Arial" w:eastAsia="Arial" w:hAnsi="Arial"/>
                <w:sz w:val="18"/>
                <w:szCs w:val="18"/>
                <w:color w:val="auto"/>
              </w:rPr>
              <w:t>Depreciation and amortization expense</w:t>
            </w:r>
          </w:p>
        </w:tc>
        <w:tc>
          <w:tcPr>
            <w:tcW w:w="120" w:type="dxa"/>
            <w:vAlign w:val="bottom"/>
            <w:shd w:val="clear" w:color="auto" w:fill="CFF0FC"/>
          </w:tcPr>
          <w:p>
            <w:pPr>
              <w:spacing w:after="0"/>
              <w:rPr>
                <w:sz w:val="21"/>
                <w:szCs w:val="21"/>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17,599</w:t>
            </w:r>
          </w:p>
        </w:tc>
        <w:tc>
          <w:tcPr>
            <w:tcW w:w="3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15,193</w:t>
            </w:r>
          </w:p>
        </w:tc>
        <w:tc>
          <w:tcPr>
            <w:tcW w:w="3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51,418</w:t>
            </w:r>
          </w:p>
        </w:tc>
        <w:tc>
          <w:tcPr>
            <w:tcW w:w="32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45,274</w:t>
            </w: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r>
      <w:tr>
        <w:trPr>
          <w:trHeight w:val="236"/>
        </w:trPr>
        <w:tc>
          <w:tcPr>
            <w:tcW w:w="4760" w:type="dxa"/>
            <w:vAlign w:val="bottom"/>
          </w:tcPr>
          <w:p>
            <w:pPr>
              <w:ind w:left="120"/>
              <w:spacing w:after="0"/>
              <w:rPr>
                <w:sz w:val="20"/>
                <w:szCs w:val="20"/>
                <w:color w:val="auto"/>
              </w:rPr>
            </w:pPr>
            <w:r>
              <w:rPr>
                <w:rFonts w:ascii="Arial" w:cs="Arial" w:eastAsia="Arial" w:hAnsi="Arial"/>
                <w:sz w:val="18"/>
                <w:szCs w:val="18"/>
                <w:color w:val="auto"/>
              </w:rPr>
              <w:t>(Gain) loss on sale of assets, net (a)</w:t>
            </w:r>
          </w:p>
        </w:tc>
        <w:tc>
          <w:tcPr>
            <w:tcW w:w="1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1,321</w:t>
            </w:r>
          </w:p>
        </w:tc>
        <w:tc>
          <w:tcPr>
            <w:tcW w:w="3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0" w:type="dxa"/>
            <w:vAlign w:val="bottom"/>
            <w:gridSpan w:val="2"/>
          </w:tcPr>
          <w:p>
            <w:pPr>
              <w:jc w:val="right"/>
              <w:ind w:right="260"/>
              <w:spacing w:after="0"/>
              <w:rPr>
                <w:sz w:val="20"/>
                <w:szCs w:val="20"/>
                <w:color w:val="auto"/>
              </w:rPr>
            </w:pPr>
            <w:r>
              <w:rPr>
                <w:rFonts w:ascii="Arial" w:cs="Arial" w:eastAsia="Arial" w:hAnsi="Arial"/>
                <w:sz w:val="18"/>
                <w:szCs w:val="18"/>
                <w:color w:val="auto"/>
              </w:rPr>
              <w:t>(649 )</w:t>
            </w:r>
          </w:p>
        </w:tc>
        <w:tc>
          <w:tcPr>
            <w:tcW w:w="140" w:type="dxa"/>
            <w:vAlign w:val="bottom"/>
          </w:tcPr>
          <w:p>
            <w:pPr>
              <w:spacing w:after="0"/>
              <w:rPr>
                <w:sz w:val="20"/>
                <w:szCs w:val="20"/>
                <w:color w:val="auto"/>
              </w:rPr>
            </w:pPr>
          </w:p>
        </w:tc>
        <w:tc>
          <w:tcPr>
            <w:tcW w:w="1460" w:type="dxa"/>
            <w:vAlign w:val="bottom"/>
            <w:gridSpan w:val="2"/>
          </w:tcPr>
          <w:p>
            <w:pPr>
              <w:jc w:val="right"/>
              <w:ind w:right="260"/>
              <w:spacing w:after="0"/>
              <w:rPr>
                <w:sz w:val="20"/>
                <w:szCs w:val="20"/>
                <w:color w:val="auto"/>
              </w:rPr>
            </w:pPr>
            <w:r>
              <w:rPr>
                <w:rFonts w:ascii="Arial" w:cs="Arial" w:eastAsia="Arial" w:hAnsi="Arial"/>
                <w:sz w:val="18"/>
                <w:szCs w:val="18"/>
                <w:color w:val="auto"/>
              </w:rPr>
              <w:t>(3,470 )</w:t>
            </w:r>
          </w:p>
        </w:tc>
        <w:tc>
          <w:tcPr>
            <w:tcW w:w="320" w:type="dxa"/>
            <w:vAlign w:val="bottom"/>
          </w:tcPr>
          <w:p>
            <w:pPr>
              <w:spacing w:after="0"/>
              <w:rPr>
                <w:sz w:val="20"/>
                <w:szCs w:val="20"/>
                <w:color w:val="auto"/>
              </w:rPr>
            </w:pP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(3,336 )</w:t>
            </w:r>
          </w:p>
        </w:tc>
        <w:tc>
          <w:tcPr>
            <w:tcW w:w="60" w:type="dxa"/>
            <w:vAlign w:val="bottom"/>
          </w:tcPr>
          <w:p>
            <w:pPr>
              <w:spacing w:after="0"/>
              <w:rPr>
                <w:sz w:val="20"/>
                <w:szCs w:val="20"/>
                <w:color w:val="auto"/>
              </w:rPr>
            </w:pPr>
          </w:p>
        </w:tc>
      </w:tr>
      <w:tr>
        <w:trPr>
          <w:trHeight w:val="249"/>
        </w:trPr>
        <w:tc>
          <w:tcPr>
            <w:tcW w:w="4760" w:type="dxa"/>
            <w:vAlign w:val="bottom"/>
            <w:shd w:val="clear" w:color="auto" w:fill="CFF0FC"/>
          </w:tcPr>
          <w:p>
            <w:pPr>
              <w:ind w:left="120"/>
              <w:spacing w:after="0"/>
              <w:rPr>
                <w:sz w:val="20"/>
                <w:szCs w:val="20"/>
                <w:color w:val="auto"/>
              </w:rPr>
            </w:pPr>
            <w:r>
              <w:rPr>
                <w:rFonts w:ascii="Arial" w:cs="Arial" w:eastAsia="Arial" w:hAnsi="Arial"/>
                <w:sz w:val="18"/>
                <w:szCs w:val="18"/>
                <w:color w:val="auto"/>
              </w:rPr>
              <w:t>Stock-based compensation expense (b)</w:t>
            </w:r>
          </w:p>
        </w:tc>
        <w:tc>
          <w:tcPr>
            <w:tcW w:w="120" w:type="dxa"/>
            <w:vAlign w:val="bottom"/>
            <w:shd w:val="clear" w:color="auto" w:fill="CFF0FC"/>
          </w:tcPr>
          <w:p>
            <w:pPr>
              <w:spacing w:after="0"/>
              <w:rPr>
                <w:sz w:val="21"/>
                <w:szCs w:val="21"/>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6,522</w:t>
            </w:r>
          </w:p>
        </w:tc>
        <w:tc>
          <w:tcPr>
            <w:tcW w:w="3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5,461</w:t>
            </w:r>
          </w:p>
        </w:tc>
        <w:tc>
          <w:tcPr>
            <w:tcW w:w="3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17,876</w:t>
            </w:r>
          </w:p>
        </w:tc>
        <w:tc>
          <w:tcPr>
            <w:tcW w:w="32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16,959</w:t>
            </w: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r>
      <w:tr>
        <w:trPr>
          <w:trHeight w:val="236"/>
        </w:trPr>
        <w:tc>
          <w:tcPr>
            <w:tcW w:w="4760" w:type="dxa"/>
            <w:vAlign w:val="bottom"/>
          </w:tcPr>
          <w:p>
            <w:pPr>
              <w:ind w:left="120"/>
              <w:spacing w:after="0"/>
              <w:rPr>
                <w:sz w:val="20"/>
                <w:szCs w:val="20"/>
                <w:color w:val="auto"/>
              </w:rPr>
            </w:pPr>
            <w:r>
              <w:rPr>
                <w:rFonts w:ascii="Arial" w:cs="Arial" w:eastAsia="Arial" w:hAnsi="Arial"/>
                <w:sz w:val="18"/>
                <w:szCs w:val="18"/>
                <w:color w:val="auto"/>
              </w:rPr>
              <w:t>Acquisition expenses (c)</w:t>
            </w:r>
          </w:p>
        </w:tc>
        <w:tc>
          <w:tcPr>
            <w:tcW w:w="1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912</w:t>
            </w:r>
          </w:p>
        </w:tc>
        <w:tc>
          <w:tcPr>
            <w:tcW w:w="3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1,303</w:t>
            </w: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2,651</w:t>
            </w:r>
          </w:p>
        </w:tc>
        <w:tc>
          <w:tcPr>
            <w:tcW w:w="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2,541</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49"/>
        </w:trPr>
        <w:tc>
          <w:tcPr>
            <w:tcW w:w="4760" w:type="dxa"/>
            <w:vAlign w:val="bottom"/>
            <w:shd w:val="clear" w:color="auto" w:fill="CFF0FC"/>
          </w:tcPr>
          <w:p>
            <w:pPr>
              <w:ind w:left="120"/>
              <w:spacing w:after="0"/>
              <w:rPr>
                <w:sz w:val="20"/>
                <w:szCs w:val="20"/>
                <w:color w:val="auto"/>
              </w:rPr>
            </w:pPr>
            <w:r>
              <w:rPr>
                <w:rFonts w:ascii="Arial" w:cs="Arial" w:eastAsia="Arial" w:hAnsi="Arial"/>
                <w:sz w:val="18"/>
                <w:szCs w:val="18"/>
                <w:color w:val="auto"/>
              </w:rPr>
              <w:t>Non-cash rent expense (d)</w:t>
            </w:r>
          </w:p>
        </w:tc>
        <w:tc>
          <w:tcPr>
            <w:tcW w:w="120" w:type="dxa"/>
            <w:vAlign w:val="bottom"/>
            <w:shd w:val="clear" w:color="auto" w:fill="CFF0FC"/>
          </w:tcPr>
          <w:p>
            <w:pPr>
              <w:spacing w:after="0"/>
              <w:rPr>
                <w:sz w:val="21"/>
                <w:szCs w:val="21"/>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1,409</w:t>
            </w:r>
          </w:p>
        </w:tc>
        <w:tc>
          <w:tcPr>
            <w:tcW w:w="3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745</w:t>
            </w:r>
          </w:p>
        </w:tc>
        <w:tc>
          <w:tcPr>
            <w:tcW w:w="3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3,623</w:t>
            </w:r>
          </w:p>
        </w:tc>
        <w:tc>
          <w:tcPr>
            <w:tcW w:w="32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1,820</w:t>
            </w: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r>
      <w:tr>
        <w:trPr>
          <w:trHeight w:val="236"/>
        </w:trPr>
        <w:tc>
          <w:tcPr>
            <w:tcW w:w="4760" w:type="dxa"/>
            <w:vAlign w:val="bottom"/>
          </w:tcPr>
          <w:p>
            <w:pPr>
              <w:ind w:left="120"/>
              <w:spacing w:after="0"/>
              <w:rPr>
                <w:sz w:val="20"/>
                <w:szCs w:val="20"/>
                <w:color w:val="auto"/>
              </w:rPr>
            </w:pPr>
            <w:r>
              <w:rPr>
                <w:rFonts w:ascii="Arial" w:cs="Arial" w:eastAsia="Arial" w:hAnsi="Arial"/>
                <w:sz w:val="18"/>
                <w:szCs w:val="18"/>
                <w:color w:val="auto"/>
              </w:rPr>
              <w:t>Expenses associated with initial public offering (e)</w:t>
            </w:r>
          </w:p>
        </w:tc>
        <w:tc>
          <w:tcPr>
            <w:tcW w:w="1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272</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49"/>
        </w:trPr>
        <w:tc>
          <w:tcPr>
            <w:tcW w:w="476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18"/>
                <w:szCs w:val="18"/>
                <w:color w:val="auto"/>
              </w:rPr>
              <w:t>Other (f)</w:t>
            </w:r>
          </w:p>
        </w:tc>
        <w:tc>
          <w:tcPr>
            <w:tcW w:w="120" w:type="dxa"/>
            <w:vAlign w:val="bottom"/>
            <w:tcBorders>
              <w:bottom w:val="single" w:sz="8" w:color="auto"/>
            </w:tcBorders>
            <w:shd w:val="clear" w:color="auto" w:fill="CFF0FC"/>
          </w:tcPr>
          <w:p>
            <w:pPr>
              <w:spacing w:after="0"/>
              <w:rPr>
                <w:sz w:val="21"/>
                <w:szCs w:val="21"/>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780</w:t>
            </w:r>
          </w:p>
        </w:tc>
        <w:tc>
          <w:tcPr>
            <w:tcW w:w="36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spacing w:after="0"/>
              <w:rPr>
                <w:sz w:val="21"/>
                <w:szCs w:val="21"/>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1,168</w:t>
            </w:r>
          </w:p>
        </w:tc>
        <w:tc>
          <w:tcPr>
            <w:tcW w:w="34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3,067</w:t>
            </w:r>
          </w:p>
        </w:tc>
        <w:tc>
          <w:tcPr>
            <w:tcW w:w="32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spacing w:after="0"/>
              <w:rPr>
                <w:sz w:val="21"/>
                <w:szCs w:val="21"/>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2,767</w:t>
            </w:r>
          </w:p>
        </w:tc>
        <w:tc>
          <w:tcPr>
            <w:tcW w:w="100" w:type="dxa"/>
            <w:vAlign w:val="bottom"/>
            <w:tcBorders>
              <w:bottom w:val="single" w:sz="8" w:color="CFF0FC"/>
            </w:tcBorders>
            <w:shd w:val="clear" w:color="auto" w:fill="CFF0FC"/>
          </w:tcPr>
          <w:p>
            <w:pPr>
              <w:spacing w:after="0"/>
              <w:rPr>
                <w:sz w:val="21"/>
                <w:szCs w:val="21"/>
                <w:color w:val="auto"/>
              </w:rPr>
            </w:pPr>
          </w:p>
        </w:tc>
        <w:tc>
          <w:tcPr>
            <w:tcW w:w="60" w:type="dxa"/>
            <w:vAlign w:val="bottom"/>
          </w:tcPr>
          <w:p>
            <w:pPr>
              <w:spacing w:after="0"/>
              <w:rPr>
                <w:sz w:val="21"/>
                <w:szCs w:val="21"/>
                <w:color w:val="auto"/>
              </w:rPr>
            </w:pPr>
          </w:p>
        </w:tc>
      </w:tr>
      <w:tr>
        <w:trPr>
          <w:trHeight w:val="236"/>
        </w:trPr>
        <w:tc>
          <w:tcPr>
            <w:tcW w:w="4760" w:type="dxa"/>
            <w:vAlign w:val="bottom"/>
          </w:tcPr>
          <w:p>
            <w:pPr>
              <w:ind w:left="20"/>
              <w:spacing w:after="0"/>
              <w:rPr>
                <w:sz w:val="20"/>
                <w:szCs w:val="20"/>
                <w:color w:val="auto"/>
              </w:rPr>
            </w:pPr>
            <w:r>
              <w:rPr>
                <w:rFonts w:ascii="Arial" w:cs="Arial" w:eastAsia="Arial" w:hAnsi="Arial"/>
                <w:sz w:val="18"/>
                <w:szCs w:val="18"/>
                <w:color w:val="auto"/>
              </w:rPr>
              <w:t>Adjusted EBITDA</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71,598</w:t>
            </w:r>
          </w:p>
        </w:tc>
        <w:tc>
          <w:tcPr>
            <w:tcW w:w="360" w:type="dxa"/>
            <w:vAlign w:val="bottom"/>
          </w:tcPr>
          <w:p>
            <w:pPr>
              <w:spacing w:after="0"/>
              <w:rPr>
                <w:sz w:val="20"/>
                <w:szCs w:val="20"/>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66,132</w:t>
            </w:r>
          </w:p>
        </w:tc>
        <w:tc>
          <w:tcPr>
            <w:tcW w:w="34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216,434</w:t>
            </w:r>
          </w:p>
        </w:tc>
        <w:tc>
          <w:tcPr>
            <w:tcW w:w="320" w:type="dxa"/>
            <w:vAlign w:val="bottom"/>
          </w:tcPr>
          <w:p>
            <w:pPr>
              <w:spacing w:after="0"/>
              <w:rPr>
                <w:sz w:val="20"/>
                <w:szCs w:val="20"/>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215,457</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0"/>
        </w:trPr>
        <w:tc>
          <w:tcPr>
            <w:tcW w:w="47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23"/>
        </w:trPr>
        <w:tc>
          <w:tcPr>
            <w:tcW w:w="476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Revenues</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234,076</w:t>
            </w:r>
          </w:p>
        </w:tc>
        <w:tc>
          <w:tcPr>
            <w:tcW w:w="36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217,576</w:t>
            </w:r>
          </w:p>
        </w:tc>
        <w:tc>
          <w:tcPr>
            <w:tcW w:w="34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696,930</w:t>
            </w:r>
          </w:p>
        </w:tc>
        <w:tc>
          <w:tcPr>
            <w:tcW w:w="320" w:type="dxa"/>
            <w:vAlign w:val="bottom"/>
            <w:shd w:val="clear" w:color="auto" w:fill="CFF0FC"/>
          </w:tcPr>
          <w:p>
            <w:pPr>
              <w:spacing w:after="0"/>
              <w:rPr>
                <w:sz w:val="19"/>
                <w:szCs w:val="19"/>
                <w:color w:val="auto"/>
              </w:rPr>
            </w:pPr>
          </w:p>
        </w:tc>
        <w:tc>
          <w:tcPr>
            <w:tcW w:w="32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662,154</w:t>
            </w:r>
          </w:p>
        </w:tc>
        <w:tc>
          <w:tcPr>
            <w:tcW w:w="100" w:type="dxa"/>
            <w:vAlign w:val="bottom"/>
            <w:shd w:val="clear" w:color="auto" w:fill="CFF0FC"/>
          </w:tcPr>
          <w:p>
            <w:pPr>
              <w:spacing w:after="0"/>
              <w:rPr>
                <w:sz w:val="19"/>
                <w:szCs w:val="19"/>
                <w:color w:val="auto"/>
              </w:rPr>
            </w:pPr>
          </w:p>
        </w:tc>
        <w:tc>
          <w:tcPr>
            <w:tcW w:w="60" w:type="dxa"/>
            <w:vAlign w:val="bottom"/>
          </w:tcPr>
          <w:p>
            <w:pPr>
              <w:spacing w:after="0"/>
              <w:rPr>
                <w:sz w:val="19"/>
                <w:szCs w:val="19"/>
                <w:color w:val="auto"/>
              </w:rPr>
            </w:pPr>
          </w:p>
        </w:tc>
      </w:tr>
      <w:tr>
        <w:trPr>
          <w:trHeight w:val="230"/>
        </w:trPr>
        <w:tc>
          <w:tcPr>
            <w:tcW w:w="4760" w:type="dxa"/>
            <w:vAlign w:val="bottom"/>
          </w:tcPr>
          <w:p>
            <w:pPr>
              <w:ind w:left="20"/>
              <w:spacing w:after="0"/>
              <w:rPr>
                <w:sz w:val="20"/>
                <w:szCs w:val="20"/>
                <w:color w:val="auto"/>
              </w:rPr>
            </w:pPr>
            <w:r>
              <w:rPr>
                <w:rFonts w:ascii="Arial" w:cs="Arial" w:eastAsia="Arial" w:hAnsi="Arial"/>
                <w:sz w:val="18"/>
                <w:szCs w:val="18"/>
                <w:color w:val="auto"/>
              </w:rPr>
              <w:t>Adjusted EBITDA margin</w:t>
            </w:r>
          </w:p>
        </w:tc>
        <w:tc>
          <w:tcPr>
            <w:tcW w:w="120" w:type="dxa"/>
            <w:vAlign w:val="bottom"/>
          </w:tcPr>
          <w:p>
            <w:pPr>
              <w:spacing w:after="0"/>
              <w:rPr>
                <w:sz w:val="20"/>
                <w:szCs w:val="20"/>
                <w:color w:val="auto"/>
              </w:rPr>
            </w:pPr>
          </w:p>
        </w:tc>
        <w:tc>
          <w:tcPr>
            <w:tcW w:w="1540" w:type="dxa"/>
            <w:vAlign w:val="bottom"/>
            <w:gridSpan w:val="2"/>
          </w:tcPr>
          <w:p>
            <w:pPr>
              <w:jc w:val="right"/>
              <w:ind w:right="200"/>
              <w:spacing w:after="0"/>
              <w:rPr>
                <w:sz w:val="20"/>
                <w:szCs w:val="20"/>
                <w:color w:val="auto"/>
              </w:rPr>
            </w:pPr>
            <w:r>
              <w:rPr>
                <w:rFonts w:ascii="Arial" w:cs="Arial" w:eastAsia="Arial" w:hAnsi="Arial"/>
                <w:sz w:val="18"/>
                <w:szCs w:val="18"/>
                <w:color w:val="auto"/>
              </w:rPr>
              <w:t>30.6 %</w:t>
            </w:r>
          </w:p>
        </w:tc>
        <w:tc>
          <w:tcPr>
            <w:tcW w:w="300" w:type="dxa"/>
            <w:vAlign w:val="bottom"/>
          </w:tcPr>
          <w:p>
            <w:pPr>
              <w:spacing w:after="0"/>
              <w:rPr>
                <w:sz w:val="20"/>
                <w:szCs w:val="20"/>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30.4 %</w:t>
            </w:r>
          </w:p>
        </w:tc>
        <w:tc>
          <w:tcPr>
            <w:tcW w:w="140" w:type="dxa"/>
            <w:vAlign w:val="bottom"/>
          </w:tcPr>
          <w:p>
            <w:pPr>
              <w:spacing w:after="0"/>
              <w:rPr>
                <w:sz w:val="20"/>
                <w:szCs w:val="20"/>
                <w:color w:val="auto"/>
              </w:rPr>
            </w:pPr>
          </w:p>
        </w:tc>
        <w:tc>
          <w:tcPr>
            <w:tcW w:w="1460" w:type="dxa"/>
            <w:vAlign w:val="bottom"/>
            <w:gridSpan w:val="2"/>
          </w:tcPr>
          <w:p>
            <w:pPr>
              <w:jc w:val="right"/>
              <w:ind w:right="160"/>
              <w:spacing w:after="0"/>
              <w:rPr>
                <w:sz w:val="20"/>
                <w:szCs w:val="20"/>
                <w:color w:val="auto"/>
              </w:rPr>
            </w:pPr>
            <w:r>
              <w:rPr>
                <w:rFonts w:ascii="Arial" w:cs="Arial" w:eastAsia="Arial" w:hAnsi="Arial"/>
                <w:sz w:val="18"/>
                <w:szCs w:val="18"/>
                <w:color w:val="auto"/>
              </w:rPr>
              <w:t>31.1 %</w:t>
            </w:r>
          </w:p>
        </w:tc>
        <w:tc>
          <w:tcPr>
            <w:tcW w:w="320" w:type="dxa"/>
            <w:vAlign w:val="bottom"/>
          </w:tcPr>
          <w:p>
            <w:pPr>
              <w:spacing w:after="0"/>
              <w:rPr>
                <w:sz w:val="20"/>
                <w:szCs w:val="20"/>
                <w:color w:val="auto"/>
              </w:rPr>
            </w:pPr>
          </w:p>
        </w:tc>
        <w:tc>
          <w:tcPr>
            <w:tcW w:w="1260" w:type="dxa"/>
            <w:vAlign w:val="bottom"/>
            <w:gridSpan w:val="3"/>
          </w:tcPr>
          <w:p>
            <w:pPr>
              <w:jc w:val="right"/>
              <w:spacing w:after="0"/>
              <w:rPr>
                <w:sz w:val="20"/>
                <w:szCs w:val="20"/>
                <w:color w:val="auto"/>
              </w:rPr>
            </w:pPr>
            <w:r>
              <w:rPr>
                <w:rFonts w:ascii="Arial" w:cs="Arial" w:eastAsia="Arial" w:hAnsi="Arial"/>
                <w:sz w:val="18"/>
                <w:szCs w:val="18"/>
                <w:color w:val="auto"/>
              </w:rPr>
              <w:t>32.5 %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3849370</wp:posOffset>
            </wp:positionH>
            <wp:positionV relativeFrom="paragraph">
              <wp:posOffset>-488315</wp:posOffset>
            </wp:positionV>
            <wp:extent cx="76835" cy="18859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6835" cy="188595"/>
                    </a:xfrm>
                    <a:prstGeom prst="rect">
                      <a:avLst/>
                    </a:prstGeom>
                    <a:noFill/>
                  </pic:spPr>
                </pic:pic>
              </a:graphicData>
            </a:graphic>
          </wp:anchor>
        </w:drawing>
        <w:drawing>
          <wp:anchor simplePos="0" relativeHeight="251657728" behindDoc="1" locked="0" layoutInCell="0" allowOverlap="1">
            <wp:simplePos x="0" y="0"/>
            <wp:positionH relativeFrom="column">
              <wp:posOffset>4945380</wp:posOffset>
            </wp:positionH>
            <wp:positionV relativeFrom="paragraph">
              <wp:posOffset>-488315</wp:posOffset>
            </wp:positionV>
            <wp:extent cx="68580" cy="18859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5964555</wp:posOffset>
            </wp:positionH>
            <wp:positionV relativeFrom="paragraph">
              <wp:posOffset>-488315</wp:posOffset>
            </wp:positionV>
            <wp:extent cx="68580" cy="18859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-488315</wp:posOffset>
            </wp:positionV>
            <wp:extent cx="68580" cy="18859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68580" cy="188595"/>
                    </a:xfrm>
                    <a:prstGeom prst="rect">
                      <a:avLst/>
                    </a:prstGeom>
                    <a:noFill/>
                  </pic:spPr>
                </pic:pic>
              </a:graphicData>
            </a:graphic>
          </wp:anchor>
        </w:drawing>
      </w:r>
    </w:p>
    <w:p>
      <w:pPr>
        <w:spacing w:after="0" w:line="86" w:lineRule="exact"/>
        <w:rPr>
          <w:sz w:val="20"/>
          <w:szCs w:val="20"/>
          <w:color w:val="auto"/>
        </w:rPr>
      </w:pPr>
    </w:p>
    <w:p>
      <w:pPr>
        <w:ind w:left="1020" w:right="320" w:hanging="504"/>
        <w:spacing w:after="0" w:line="277" w:lineRule="auto"/>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Consists of (gains) and losses on the disposition of assets associated with sale-leaseback transactions, store closures or the sale of property and equipment.</w:t>
      </w:r>
    </w:p>
    <w:p>
      <w:pPr>
        <w:spacing w:after="0" w:line="61" w:lineRule="exact"/>
        <w:rPr>
          <w:rFonts w:ascii="Arial" w:cs="Arial" w:eastAsia="Arial" w:hAnsi="Arial"/>
          <w:sz w:val="18"/>
          <w:szCs w:val="18"/>
          <w:color w:val="auto"/>
        </w:rPr>
      </w:pPr>
    </w:p>
    <w:p>
      <w:pPr>
        <w:ind w:left="1020" w:hanging="504"/>
        <w:spacing w:after="0"/>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Represents non-cash expense associated with our share-based payments as well as related taxes.</w:t>
      </w:r>
    </w:p>
    <w:p>
      <w:pPr>
        <w:spacing w:after="0" w:line="116" w:lineRule="exact"/>
        <w:rPr>
          <w:rFonts w:ascii="Arial" w:cs="Arial" w:eastAsia="Arial" w:hAnsi="Arial"/>
          <w:sz w:val="18"/>
          <w:szCs w:val="18"/>
          <w:color w:val="auto"/>
        </w:rPr>
      </w:pPr>
    </w:p>
    <w:p>
      <w:pPr>
        <w:ind w:left="1020" w:right="140" w:hanging="504"/>
        <w:spacing w:after="0" w:line="286" w:lineRule="auto"/>
        <w:tabs>
          <w:tab w:leader="none" w:pos="1020" w:val="left"/>
        </w:tabs>
        <w:numPr>
          <w:ilvl w:val="0"/>
          <w:numId w:val="10"/>
        </w:numPr>
        <w:rPr>
          <w:rFonts w:ascii="Arial" w:cs="Arial" w:eastAsia="Arial" w:hAnsi="Arial"/>
          <w:sz w:val="17"/>
          <w:szCs w:val="17"/>
          <w:color w:val="auto"/>
        </w:rPr>
      </w:pPr>
      <w:r>
        <w:rPr>
          <w:rFonts w:ascii="Arial" w:cs="Arial" w:eastAsia="Arial" w:hAnsi="Arial"/>
          <w:sz w:val="17"/>
          <w:szCs w:val="17"/>
          <w:color w:val="auto"/>
        </w:rPr>
        <w:t>Represents expenses incurred in strategic acquisitions, including professional fees for accounting and auditing services, appraisals, legal fees and financial services, one-time costs associated with supplies for rebranding the acquired stores, and distinct travel expenses for related, distinct integration efforts by team members who are not part of our dedicated integration team.</w:t>
      </w:r>
    </w:p>
    <w:p>
      <w:pPr>
        <w:spacing w:after="0" w:line="56" w:lineRule="exact"/>
        <w:rPr>
          <w:rFonts w:ascii="Arial" w:cs="Arial" w:eastAsia="Arial" w:hAnsi="Arial"/>
          <w:sz w:val="17"/>
          <w:szCs w:val="17"/>
          <w:color w:val="auto"/>
        </w:rPr>
      </w:pPr>
    </w:p>
    <w:p>
      <w:pPr>
        <w:ind w:left="1020" w:hanging="504"/>
        <w:spacing w:after="0"/>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Represents the difference between cash paid for rent expense and U.S. GAAP rent expense.</w:t>
      </w:r>
    </w:p>
    <w:p>
      <w:pPr>
        <w:spacing w:after="0" w:line="116" w:lineRule="exact"/>
        <w:rPr>
          <w:rFonts w:ascii="Arial" w:cs="Arial" w:eastAsia="Arial" w:hAnsi="Arial"/>
          <w:sz w:val="18"/>
          <w:szCs w:val="18"/>
          <w:color w:val="auto"/>
        </w:rPr>
      </w:pPr>
    </w:p>
    <w:p>
      <w:pPr>
        <w:ind w:left="1020" w:hanging="504"/>
        <w:spacing w:after="0"/>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Represents nonrecurring expenses associated with the consummation of our IPO in June 2021.</w:t>
      </w:r>
    </w:p>
    <w:p>
      <w:pPr>
        <w:spacing w:after="0" w:line="116" w:lineRule="exact"/>
        <w:rPr>
          <w:rFonts w:ascii="Arial" w:cs="Arial" w:eastAsia="Arial" w:hAnsi="Arial"/>
          <w:sz w:val="18"/>
          <w:szCs w:val="18"/>
          <w:color w:val="auto"/>
        </w:rPr>
      </w:pPr>
    </w:p>
    <w:p>
      <w:pPr>
        <w:ind w:left="1020" w:right="400" w:hanging="504"/>
        <w:spacing w:after="0" w:line="263" w:lineRule="auto"/>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Consists of other items as determined by management not to be reflective of our ongoing operating performance, such as costs associated with severance pay, non-deferred legal fees and other expenses related to credit agreement amendments, legal settlements and legal fees related to contract terminations, and nonrecurring strategic project costs.</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 for the Three Months Ended September 30, 2023 and 2022 (Unaudited)</w:t>
      </w:r>
    </w:p>
    <w:p>
      <w:pPr>
        <w:spacing w:after="0" w:line="121"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color w:val="auto"/>
        </w:rPr>
        <w:t>The unaudited results of operations data for the three months ended September 30, 2023 and 2022 have been derived from the unaudited condensed consolidated financial statements included elsewhere in this Quarterly Report on Form 10-Q.</w:t>
      </w:r>
    </w:p>
    <w:p>
      <w:pPr>
        <w:spacing w:after="0" w:line="169"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320" w:top="341" w:right="279" w:bottom="1440" w:gutter="0" w:footer="0" w:header="0"/>
        </w:sectPr>
      </w:pPr>
    </w:p>
    <w:bookmarkStart w:id="26" w:name="page27"/>
    <w:bookmarkEnd w:id="26"/>
    <w:tbl>
      <w:tblPr>
        <w:tblLayout w:type="fixed"/>
        <w:tblInd w:w="0" w:type="dxa"/>
        <w:tblCellMar>
          <w:top w:w="0" w:type="dxa"/>
          <w:left w:w="0" w:type="dxa"/>
          <w:bottom w:w="0" w:type="dxa"/>
          <w:right w:w="0" w:type="dxa"/>
        </w:tblCellMar>
      </w:tblPr>
      <w:tr>
        <w:trPr>
          <w:trHeight w:val="241"/>
        </w:trPr>
        <w:tc>
          <w:tcPr>
            <w:tcW w:w="38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3300" w:type="dxa"/>
            <w:vAlign w:val="bottom"/>
            <w:tcBorders>
              <w:bottom w:val="single" w:sz="8" w:color="auto"/>
            </w:tcBorders>
            <w:gridSpan w:val="9"/>
          </w:tcPr>
          <w:p>
            <w:pPr>
              <w:ind w:left="60"/>
              <w:spacing w:after="0"/>
              <w:rPr>
                <w:sz w:val="20"/>
                <w:szCs w:val="20"/>
                <w:color w:val="auto"/>
              </w:rPr>
            </w:pPr>
            <w:r>
              <w:rPr>
                <w:rFonts w:ascii="Arial" w:cs="Arial" w:eastAsia="Arial" w:hAnsi="Arial"/>
                <w:sz w:val="18"/>
                <w:szCs w:val="18"/>
                <w:b w:val="1"/>
                <w:bCs w:val="1"/>
                <w:color w:val="auto"/>
              </w:rPr>
              <w:t>Three Months Ended September 30,</w:t>
            </w:r>
          </w:p>
        </w:tc>
        <w:tc>
          <w:tcPr>
            <w:tcW w:w="13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38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gridSpan w:val="4"/>
          </w:tcPr>
          <w:p>
            <w:pPr>
              <w:jc w:val="right"/>
              <w:ind w:right="140"/>
              <w:spacing w:after="0"/>
              <w:rPr>
                <w:sz w:val="20"/>
                <w:szCs w:val="20"/>
                <w:color w:val="auto"/>
              </w:rPr>
            </w:pPr>
            <w:r>
              <w:rPr>
                <w:rFonts w:ascii="Arial" w:cs="Arial" w:eastAsia="Arial" w:hAnsi="Arial"/>
                <w:sz w:val="18"/>
                <w:szCs w:val="18"/>
                <w:b w:val="1"/>
                <w:bCs w:val="1"/>
                <w:color w:val="auto"/>
              </w:rPr>
              <w:t>2023</w:t>
            </w:r>
          </w:p>
        </w:tc>
        <w:tc>
          <w:tcPr>
            <w:tcW w:w="1080" w:type="dxa"/>
            <w:vAlign w:val="bottom"/>
            <w:tcBorders>
              <w:bottom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8"/>
                <w:szCs w:val="18"/>
                <w:b w:val="1"/>
                <w:bCs w:val="1"/>
                <w:color w:val="auto"/>
              </w:rPr>
              <w:t>2022</w:t>
            </w:r>
          </w:p>
        </w:tc>
        <w:tc>
          <w:tcPr>
            <w:tcW w:w="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38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jc w:val="right"/>
              <w:ind w:right="290"/>
              <w:spacing w:after="0"/>
              <w:rPr>
                <w:sz w:val="20"/>
                <w:szCs w:val="20"/>
                <w:color w:val="auto"/>
              </w:rPr>
            </w:pPr>
            <w:r>
              <w:rPr>
                <w:rFonts w:ascii="Arial" w:cs="Arial" w:eastAsia="Arial" w:hAnsi="Arial"/>
                <w:sz w:val="18"/>
                <w:szCs w:val="18"/>
                <w:b w:val="1"/>
                <w:bCs w:val="1"/>
                <w:color w:val="auto"/>
              </w:rPr>
              <w:t>% of</w:t>
            </w: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3860" w:type="dxa"/>
            <w:vAlign w:val="bottom"/>
          </w:tcPr>
          <w:p>
            <w:pPr>
              <w:ind w:left="1420"/>
              <w:spacing w:after="0"/>
              <w:rPr>
                <w:sz w:val="20"/>
                <w:szCs w:val="20"/>
                <w:color w:val="auto"/>
              </w:rPr>
            </w:pPr>
            <w:r>
              <w:rPr>
                <w:rFonts w:ascii="Arial" w:cs="Arial" w:eastAsia="Arial" w:hAnsi="Arial"/>
                <w:sz w:val="18"/>
                <w:szCs w:val="18"/>
                <w:b w:val="1"/>
                <w:bCs w:val="1"/>
                <w:color w:val="auto"/>
              </w:rPr>
              <w:t>(Dollars in thousands)</w:t>
            </w:r>
          </w:p>
        </w:tc>
        <w:tc>
          <w:tcPr>
            <w:tcW w:w="9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60" w:type="dxa"/>
            <w:vAlign w:val="bottom"/>
            <w:gridSpan w:val="5"/>
          </w:tcPr>
          <w:p>
            <w:pPr>
              <w:jc w:val="right"/>
              <w:ind w:right="740"/>
              <w:spacing w:after="0"/>
              <w:rPr>
                <w:sz w:val="20"/>
                <w:szCs w:val="20"/>
                <w:color w:val="auto"/>
              </w:rPr>
            </w:pPr>
            <w:r>
              <w:rPr>
                <w:rFonts w:ascii="Arial" w:cs="Arial" w:eastAsia="Arial" w:hAnsi="Arial"/>
                <w:sz w:val="18"/>
                <w:szCs w:val="18"/>
                <w:b w:val="1"/>
                <w:bCs w:val="1"/>
                <w:color w:val="auto"/>
              </w:rPr>
              <w:t>Amount</w:t>
            </w:r>
          </w:p>
        </w:tc>
        <w:tc>
          <w:tcPr>
            <w:tcW w:w="1420" w:type="dxa"/>
            <w:vAlign w:val="bottom"/>
            <w:gridSpan w:val="3"/>
          </w:tcPr>
          <w:p>
            <w:pPr>
              <w:jc w:val="right"/>
              <w:ind w:right="560"/>
              <w:spacing w:after="0"/>
              <w:rPr>
                <w:sz w:val="20"/>
                <w:szCs w:val="20"/>
                <w:color w:val="auto"/>
              </w:rPr>
            </w:pPr>
            <w:r>
              <w:rPr>
                <w:rFonts w:ascii="Arial" w:cs="Arial" w:eastAsia="Arial" w:hAnsi="Arial"/>
                <w:sz w:val="18"/>
                <w:szCs w:val="18"/>
                <w:b w:val="1"/>
                <w:bCs w:val="1"/>
                <w:color w:val="auto"/>
              </w:rPr>
              <w:t>Revenue</w:t>
            </w:r>
          </w:p>
        </w:tc>
        <w:tc>
          <w:tcPr>
            <w:tcW w:w="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40" w:type="dxa"/>
            <w:vAlign w:val="bottom"/>
            <w:gridSpan w:val="4"/>
          </w:tcPr>
          <w:p>
            <w:pPr>
              <w:ind w:left="100"/>
              <w:spacing w:after="0"/>
              <w:rPr>
                <w:sz w:val="20"/>
                <w:szCs w:val="20"/>
                <w:color w:val="auto"/>
              </w:rPr>
            </w:pPr>
            <w:r>
              <w:rPr>
                <w:rFonts w:ascii="Arial" w:cs="Arial" w:eastAsia="Arial" w:hAnsi="Arial"/>
                <w:sz w:val="18"/>
                <w:szCs w:val="18"/>
                <w:b w:val="1"/>
                <w:bCs w:val="1"/>
                <w:color w:val="auto"/>
              </w:rPr>
              <w:t>Amount</w:t>
            </w:r>
          </w:p>
        </w:tc>
        <w:tc>
          <w:tcPr>
            <w:tcW w:w="1540" w:type="dxa"/>
            <w:vAlign w:val="bottom"/>
            <w:gridSpan w:val="3"/>
          </w:tcPr>
          <w:p>
            <w:pPr>
              <w:jc w:val="right"/>
              <w:ind w:right="340"/>
              <w:spacing w:after="0"/>
              <w:rPr>
                <w:sz w:val="20"/>
                <w:szCs w:val="20"/>
                <w:color w:val="auto"/>
              </w:rPr>
            </w:pPr>
            <w:r>
              <w:rPr>
                <w:rFonts w:ascii="Arial" w:cs="Arial" w:eastAsia="Arial" w:hAnsi="Arial"/>
                <w:sz w:val="18"/>
                <w:szCs w:val="18"/>
                <w:b w:val="1"/>
                <w:bCs w:val="1"/>
                <w:color w:val="auto"/>
                <w:w w:val="99"/>
              </w:rPr>
              <w:t>% of Revenue</w:t>
            </w:r>
          </w:p>
        </w:tc>
        <w:tc>
          <w:tcPr>
            <w:tcW w:w="0" w:type="dxa"/>
            <w:vAlign w:val="bottom"/>
          </w:tcPr>
          <w:p>
            <w:pPr>
              <w:spacing w:after="0"/>
              <w:rPr>
                <w:sz w:val="1"/>
                <w:szCs w:val="1"/>
                <w:color w:val="auto"/>
              </w:rPr>
            </w:pPr>
          </w:p>
        </w:tc>
      </w:tr>
      <w:tr>
        <w:trPr>
          <w:trHeight w:val="224"/>
        </w:trPr>
        <w:tc>
          <w:tcPr>
            <w:tcW w:w="3860" w:type="dxa"/>
            <w:vAlign w:val="bottom"/>
          </w:tcPr>
          <w:p>
            <w:pPr>
              <w:ind w:left="20"/>
              <w:spacing w:after="0"/>
              <w:rPr>
                <w:sz w:val="20"/>
                <w:szCs w:val="20"/>
                <w:color w:val="auto"/>
              </w:rPr>
            </w:pPr>
            <w:r>
              <w:rPr>
                <w:rFonts w:ascii="Arial" w:cs="Arial" w:eastAsia="Arial" w:hAnsi="Arial"/>
                <w:sz w:val="18"/>
                <w:szCs w:val="18"/>
                <w:color w:val="auto"/>
              </w:rPr>
              <w:t>Net revenues</w:t>
            </w:r>
          </w:p>
        </w:tc>
        <w:tc>
          <w:tcPr>
            <w:tcW w:w="920" w:type="dxa"/>
            <w:vAlign w:val="bottom"/>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color w:val="auto"/>
              </w:rPr>
              <w:t>234,076</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340" w:type="dxa"/>
            <w:vAlign w:val="bottom"/>
            <w:gridSpan w:val="2"/>
          </w:tcPr>
          <w:p>
            <w:pPr>
              <w:jc w:val="right"/>
              <w:ind w:right="180"/>
              <w:spacing w:after="0"/>
              <w:rPr>
                <w:sz w:val="20"/>
                <w:szCs w:val="20"/>
                <w:color w:val="auto"/>
              </w:rPr>
            </w:pPr>
            <w:r>
              <w:rPr>
                <w:rFonts w:ascii="Arial" w:cs="Arial" w:eastAsia="Arial" w:hAnsi="Arial"/>
                <w:sz w:val="18"/>
                <w:szCs w:val="18"/>
                <w:color w:val="auto"/>
                <w:w w:val="87"/>
              </w:rPr>
              <w:t>%</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8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217,576</w:t>
            </w:r>
          </w:p>
        </w:tc>
        <w:tc>
          <w:tcPr>
            <w:tcW w:w="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485"/>
        </w:trPr>
        <w:tc>
          <w:tcPr>
            <w:tcW w:w="3860" w:type="dxa"/>
            <w:vAlign w:val="bottom"/>
          </w:tcPr>
          <w:p>
            <w:pPr>
              <w:ind w:left="20"/>
              <w:spacing w:after="0"/>
              <w:rPr>
                <w:sz w:val="20"/>
                <w:szCs w:val="20"/>
                <w:color w:val="auto"/>
              </w:rPr>
            </w:pPr>
            <w:r>
              <w:rPr>
                <w:rFonts w:ascii="Arial" w:cs="Arial" w:eastAsia="Arial" w:hAnsi="Arial"/>
                <w:sz w:val="18"/>
                <w:szCs w:val="18"/>
                <w:color w:val="auto"/>
              </w:rPr>
              <w:t>Store operating costs:</w:t>
            </w: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860" w:type="dxa"/>
            <w:vAlign w:val="bottom"/>
          </w:tcPr>
          <w:p>
            <w:pPr>
              <w:ind w:left="20"/>
              <w:spacing w:after="0"/>
              <w:rPr>
                <w:sz w:val="20"/>
                <w:szCs w:val="20"/>
                <w:color w:val="auto"/>
              </w:rPr>
            </w:pPr>
            <w:r>
              <w:rPr>
                <w:rFonts w:ascii="Arial" w:cs="Arial" w:eastAsia="Arial" w:hAnsi="Arial"/>
                <w:sz w:val="18"/>
                <w:szCs w:val="18"/>
                <w:color w:val="auto"/>
              </w:rPr>
              <w:t>Cost of labor and chemicals</w:t>
            </w:r>
          </w:p>
        </w:tc>
        <w:tc>
          <w:tcPr>
            <w:tcW w:w="9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w w:val="90"/>
              </w:rPr>
              <w:t>72,760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20" w:type="dxa"/>
            <w:vAlign w:val="bottom"/>
            <w:gridSpan w:val="3"/>
          </w:tcPr>
          <w:p>
            <w:pPr>
              <w:jc w:val="right"/>
              <w:ind w:right="180"/>
              <w:spacing w:after="0"/>
              <w:rPr>
                <w:sz w:val="20"/>
                <w:szCs w:val="20"/>
                <w:color w:val="auto"/>
              </w:rPr>
            </w:pPr>
            <w:r>
              <w:rPr>
                <w:rFonts w:ascii="Arial" w:cs="Arial" w:eastAsia="Arial" w:hAnsi="Arial"/>
                <w:sz w:val="18"/>
                <w:szCs w:val="18"/>
                <w:color w:val="auto"/>
              </w:rPr>
              <w:t>31 %</w:t>
            </w:r>
          </w:p>
        </w:tc>
        <w:tc>
          <w:tcPr>
            <w:tcW w:w="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68,228</w:t>
            </w:r>
          </w:p>
        </w:tc>
        <w:tc>
          <w:tcPr>
            <w:tcW w:w="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540" w:type="dxa"/>
            <w:vAlign w:val="bottom"/>
            <w:gridSpan w:val="3"/>
          </w:tcPr>
          <w:p>
            <w:pPr>
              <w:jc w:val="right"/>
              <w:ind w:right="40"/>
              <w:spacing w:after="0"/>
              <w:rPr>
                <w:sz w:val="20"/>
                <w:szCs w:val="20"/>
                <w:color w:val="auto"/>
              </w:rPr>
            </w:pPr>
            <w:r>
              <w:rPr>
                <w:rFonts w:ascii="Arial" w:cs="Arial" w:eastAsia="Arial" w:hAnsi="Arial"/>
                <w:sz w:val="18"/>
                <w:szCs w:val="18"/>
                <w:color w:val="auto"/>
              </w:rPr>
              <w:t>31 %</w:t>
            </w:r>
          </w:p>
        </w:tc>
        <w:tc>
          <w:tcPr>
            <w:tcW w:w="0" w:type="dxa"/>
            <w:vAlign w:val="bottom"/>
          </w:tcPr>
          <w:p>
            <w:pPr>
              <w:spacing w:after="0"/>
              <w:rPr>
                <w:sz w:val="1"/>
                <w:szCs w:val="1"/>
                <w:color w:val="auto"/>
              </w:rPr>
            </w:pPr>
          </w:p>
        </w:tc>
      </w:tr>
      <w:tr>
        <w:trPr>
          <w:trHeight w:val="243"/>
        </w:trPr>
        <w:tc>
          <w:tcPr>
            <w:tcW w:w="3860" w:type="dxa"/>
            <w:vAlign w:val="bottom"/>
          </w:tcPr>
          <w:p>
            <w:pPr>
              <w:ind w:left="20"/>
              <w:spacing w:after="0"/>
              <w:rPr>
                <w:sz w:val="20"/>
                <w:szCs w:val="20"/>
                <w:color w:val="auto"/>
              </w:rPr>
            </w:pPr>
            <w:r>
              <w:rPr>
                <w:rFonts w:ascii="Arial" w:cs="Arial" w:eastAsia="Arial" w:hAnsi="Arial"/>
                <w:sz w:val="18"/>
                <w:szCs w:val="18"/>
                <w:color w:val="auto"/>
              </w:rPr>
              <w:t>Other store operating expenses</w:t>
            </w:r>
          </w:p>
        </w:tc>
        <w:tc>
          <w:tcPr>
            <w:tcW w:w="9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w w:val="90"/>
              </w:rPr>
              <w:t>90,514</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20" w:type="dxa"/>
            <w:vAlign w:val="bottom"/>
            <w:gridSpan w:val="3"/>
          </w:tcPr>
          <w:p>
            <w:pPr>
              <w:jc w:val="right"/>
              <w:ind w:right="180"/>
              <w:spacing w:after="0"/>
              <w:rPr>
                <w:sz w:val="20"/>
                <w:szCs w:val="20"/>
                <w:color w:val="auto"/>
              </w:rPr>
            </w:pPr>
            <w:r>
              <w:rPr>
                <w:rFonts w:ascii="Arial" w:cs="Arial" w:eastAsia="Arial" w:hAnsi="Arial"/>
                <w:sz w:val="18"/>
                <w:szCs w:val="18"/>
                <w:color w:val="auto"/>
              </w:rPr>
              <w:t>39 %</w:t>
            </w:r>
          </w:p>
        </w:tc>
        <w:tc>
          <w:tcPr>
            <w:tcW w:w="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82,343</w:t>
            </w:r>
          </w:p>
        </w:tc>
        <w:tc>
          <w:tcPr>
            <w:tcW w:w="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540" w:type="dxa"/>
            <w:vAlign w:val="bottom"/>
            <w:gridSpan w:val="3"/>
          </w:tcPr>
          <w:p>
            <w:pPr>
              <w:jc w:val="right"/>
              <w:ind w:right="40"/>
              <w:spacing w:after="0"/>
              <w:rPr>
                <w:sz w:val="20"/>
                <w:szCs w:val="20"/>
                <w:color w:val="auto"/>
              </w:rPr>
            </w:pPr>
            <w:r>
              <w:rPr>
                <w:rFonts w:ascii="Arial" w:cs="Arial" w:eastAsia="Arial" w:hAnsi="Arial"/>
                <w:sz w:val="18"/>
                <w:szCs w:val="18"/>
                <w:color w:val="auto"/>
              </w:rPr>
              <w:t>38 %</w:t>
            </w:r>
          </w:p>
        </w:tc>
        <w:tc>
          <w:tcPr>
            <w:tcW w:w="0" w:type="dxa"/>
            <w:vAlign w:val="bottom"/>
          </w:tcPr>
          <w:p>
            <w:pPr>
              <w:spacing w:after="0"/>
              <w:rPr>
                <w:sz w:val="1"/>
                <w:szCs w:val="1"/>
                <w:color w:val="auto"/>
              </w:rPr>
            </w:pPr>
          </w:p>
        </w:tc>
      </w:tr>
      <w:tr>
        <w:trPr>
          <w:trHeight w:val="243"/>
        </w:trPr>
        <w:tc>
          <w:tcPr>
            <w:tcW w:w="3860" w:type="dxa"/>
            <w:vAlign w:val="bottom"/>
          </w:tcPr>
          <w:p>
            <w:pPr>
              <w:ind w:left="20"/>
              <w:spacing w:after="0"/>
              <w:rPr>
                <w:sz w:val="20"/>
                <w:szCs w:val="20"/>
                <w:color w:val="auto"/>
              </w:rPr>
            </w:pPr>
            <w:r>
              <w:rPr>
                <w:rFonts w:ascii="Arial" w:cs="Arial" w:eastAsia="Arial" w:hAnsi="Arial"/>
                <w:sz w:val="18"/>
                <w:szCs w:val="18"/>
                <w:color w:val="auto"/>
              </w:rPr>
              <w:t>General and administrative</w:t>
            </w:r>
          </w:p>
        </w:tc>
        <w:tc>
          <w:tcPr>
            <w:tcW w:w="9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w w:val="90"/>
              </w:rPr>
              <w:t>26,426</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20" w:type="dxa"/>
            <w:vAlign w:val="bottom"/>
            <w:gridSpan w:val="3"/>
          </w:tcPr>
          <w:p>
            <w:pPr>
              <w:jc w:val="right"/>
              <w:ind w:right="180"/>
              <w:spacing w:after="0"/>
              <w:rPr>
                <w:sz w:val="20"/>
                <w:szCs w:val="20"/>
                <w:color w:val="auto"/>
              </w:rPr>
            </w:pPr>
            <w:r>
              <w:rPr>
                <w:rFonts w:ascii="Arial" w:cs="Arial" w:eastAsia="Arial" w:hAnsi="Arial"/>
                <w:sz w:val="18"/>
                <w:szCs w:val="18"/>
                <w:color w:val="auto"/>
              </w:rPr>
              <w:t>11 %</w:t>
            </w:r>
          </w:p>
        </w:tc>
        <w:tc>
          <w:tcPr>
            <w:tcW w:w="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24,743</w:t>
            </w:r>
          </w:p>
        </w:tc>
        <w:tc>
          <w:tcPr>
            <w:tcW w:w="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540" w:type="dxa"/>
            <w:vAlign w:val="bottom"/>
            <w:gridSpan w:val="3"/>
          </w:tcPr>
          <w:p>
            <w:pPr>
              <w:jc w:val="right"/>
              <w:ind w:right="40"/>
              <w:spacing w:after="0"/>
              <w:rPr>
                <w:sz w:val="20"/>
                <w:szCs w:val="20"/>
                <w:color w:val="auto"/>
              </w:rPr>
            </w:pPr>
            <w:r>
              <w:rPr>
                <w:rFonts w:ascii="Arial" w:cs="Arial" w:eastAsia="Arial" w:hAnsi="Arial"/>
                <w:sz w:val="18"/>
                <w:szCs w:val="18"/>
                <w:color w:val="auto"/>
              </w:rPr>
              <w:t>11 %</w:t>
            </w:r>
          </w:p>
        </w:tc>
        <w:tc>
          <w:tcPr>
            <w:tcW w:w="0" w:type="dxa"/>
            <w:vAlign w:val="bottom"/>
          </w:tcPr>
          <w:p>
            <w:pPr>
              <w:spacing w:after="0"/>
              <w:rPr>
                <w:sz w:val="1"/>
                <w:szCs w:val="1"/>
                <w:color w:val="auto"/>
              </w:rPr>
            </w:pPr>
          </w:p>
        </w:tc>
      </w:tr>
      <w:tr>
        <w:trPr>
          <w:trHeight w:val="256"/>
        </w:trPr>
        <w:tc>
          <w:tcPr>
            <w:tcW w:w="3860" w:type="dxa"/>
            <w:vAlign w:val="bottom"/>
          </w:tcPr>
          <w:p>
            <w:pPr>
              <w:ind w:left="20"/>
              <w:spacing w:after="0"/>
              <w:rPr>
                <w:sz w:val="20"/>
                <w:szCs w:val="20"/>
                <w:color w:val="auto"/>
              </w:rPr>
            </w:pPr>
            <w:r>
              <w:rPr>
                <w:rFonts w:ascii="Arial" w:cs="Arial" w:eastAsia="Arial" w:hAnsi="Arial"/>
                <w:sz w:val="18"/>
                <w:szCs w:val="18"/>
                <w:color w:val="auto"/>
              </w:rPr>
              <w:t>(Gain) loss on sale of assets, net</w:t>
            </w:r>
          </w:p>
        </w:tc>
        <w:tc>
          <w:tcPr>
            <w:tcW w:w="9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1,321</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420" w:type="dxa"/>
            <w:vAlign w:val="bottom"/>
            <w:gridSpan w:val="3"/>
          </w:tcPr>
          <w:p>
            <w:pPr>
              <w:jc w:val="right"/>
              <w:ind w:right="180"/>
              <w:spacing w:after="0"/>
              <w:rPr>
                <w:sz w:val="20"/>
                <w:szCs w:val="20"/>
                <w:color w:val="auto"/>
              </w:rPr>
            </w:pPr>
            <w:r>
              <w:rPr>
                <w:rFonts w:ascii="Arial" w:cs="Arial" w:eastAsia="Arial" w:hAnsi="Arial"/>
                <w:sz w:val="18"/>
                <w:szCs w:val="18"/>
                <w:color w:val="auto"/>
              </w:rPr>
              <w:t>1 %</w:t>
            </w:r>
          </w:p>
        </w:tc>
        <w:tc>
          <w:tcPr>
            <w:tcW w:w="1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520" w:type="dxa"/>
            <w:vAlign w:val="bottom"/>
            <w:gridSpan w:val="3"/>
          </w:tcPr>
          <w:p>
            <w:pPr>
              <w:jc w:val="right"/>
              <w:ind w:right="280"/>
              <w:spacing w:after="0"/>
              <w:rPr>
                <w:sz w:val="20"/>
                <w:szCs w:val="20"/>
                <w:color w:val="auto"/>
              </w:rPr>
            </w:pPr>
            <w:r>
              <w:rPr>
                <w:rFonts w:ascii="Arial" w:cs="Arial" w:eastAsia="Arial" w:hAnsi="Arial"/>
                <w:sz w:val="18"/>
                <w:szCs w:val="18"/>
                <w:color w:val="auto"/>
              </w:rPr>
              <w:t>(649 )</w:t>
            </w:r>
          </w:p>
        </w:tc>
        <w:tc>
          <w:tcPr>
            <w:tcW w:w="20" w:type="dxa"/>
            <w:vAlign w:val="bottom"/>
          </w:tcPr>
          <w:p>
            <w:pPr>
              <w:spacing w:after="0"/>
              <w:rPr>
                <w:sz w:val="22"/>
                <w:szCs w:val="22"/>
                <w:color w:val="auto"/>
              </w:rPr>
            </w:pPr>
          </w:p>
        </w:tc>
        <w:tc>
          <w:tcPr>
            <w:tcW w:w="1540" w:type="dxa"/>
            <w:vAlign w:val="bottom"/>
            <w:gridSpan w:val="3"/>
          </w:tcPr>
          <w:p>
            <w:pPr>
              <w:jc w:val="right"/>
              <w:spacing w:after="0"/>
              <w:rPr>
                <w:sz w:val="20"/>
                <w:szCs w:val="20"/>
                <w:color w:val="auto"/>
              </w:rPr>
            </w:pPr>
            <w:r>
              <w:rPr>
                <w:rFonts w:ascii="Arial" w:cs="Arial" w:eastAsia="Arial" w:hAnsi="Arial"/>
                <w:sz w:val="18"/>
                <w:szCs w:val="18"/>
                <w:color w:val="auto"/>
              </w:rPr>
              <w:t>(0 )%</w:t>
            </w:r>
          </w:p>
        </w:tc>
        <w:tc>
          <w:tcPr>
            <w:tcW w:w="0" w:type="dxa"/>
            <w:vAlign w:val="bottom"/>
          </w:tcPr>
          <w:p>
            <w:pPr>
              <w:spacing w:after="0"/>
              <w:rPr>
                <w:sz w:val="1"/>
                <w:szCs w:val="1"/>
                <w:color w:val="auto"/>
              </w:rPr>
            </w:pPr>
          </w:p>
        </w:tc>
      </w:tr>
      <w:tr>
        <w:trPr>
          <w:trHeight w:val="236"/>
        </w:trPr>
        <w:tc>
          <w:tcPr>
            <w:tcW w:w="3860" w:type="dxa"/>
            <w:vAlign w:val="bottom"/>
          </w:tcPr>
          <w:p>
            <w:pPr>
              <w:ind w:left="20"/>
              <w:spacing w:after="0"/>
              <w:rPr>
                <w:sz w:val="20"/>
                <w:szCs w:val="20"/>
                <w:color w:val="auto"/>
              </w:rPr>
            </w:pPr>
            <w:r>
              <w:rPr>
                <w:rFonts w:ascii="Arial" w:cs="Arial" w:eastAsia="Arial" w:hAnsi="Arial"/>
                <w:sz w:val="18"/>
                <w:szCs w:val="18"/>
                <w:color w:val="auto"/>
              </w:rPr>
              <w:t>Total costs and expenses</w:t>
            </w:r>
          </w:p>
        </w:tc>
        <w:tc>
          <w:tcPr>
            <w:tcW w:w="92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118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rPr>
              <w:t>191,021</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82</w:t>
            </w:r>
          </w:p>
        </w:tc>
        <w:tc>
          <w:tcPr>
            <w:tcW w:w="340" w:type="dxa"/>
            <w:vAlign w:val="bottom"/>
            <w:gridSpan w:val="2"/>
          </w:tcPr>
          <w:p>
            <w:pPr>
              <w:jc w:val="right"/>
              <w:ind w:right="180"/>
              <w:spacing w:after="0"/>
              <w:rPr>
                <w:sz w:val="20"/>
                <w:szCs w:val="20"/>
                <w:color w:val="auto"/>
              </w:rPr>
            </w:pPr>
            <w:r>
              <w:rPr>
                <w:rFonts w:ascii="Arial" w:cs="Arial" w:eastAsia="Arial" w:hAnsi="Arial"/>
                <w:sz w:val="18"/>
                <w:szCs w:val="18"/>
                <w:color w:val="auto"/>
                <w:w w:val="87"/>
              </w:rPr>
              <w:t>%</w:t>
            </w:r>
          </w:p>
        </w:tc>
        <w:tc>
          <w:tcPr>
            <w:tcW w:w="160" w:type="dxa"/>
            <w:vAlign w:val="bottom"/>
            <w:tcBorders>
              <w:top w:val="single" w:sz="8" w:color="auto"/>
              <w:bottom w:val="single" w:sz="8" w:color="auto"/>
            </w:tcBorders>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118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174,665</w:t>
            </w: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80</w:t>
            </w: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36"/>
        </w:trPr>
        <w:tc>
          <w:tcPr>
            <w:tcW w:w="3860" w:type="dxa"/>
            <w:vAlign w:val="bottom"/>
          </w:tcPr>
          <w:p>
            <w:pPr>
              <w:ind w:left="120"/>
              <w:spacing w:after="0"/>
              <w:rPr>
                <w:sz w:val="20"/>
                <w:szCs w:val="20"/>
                <w:color w:val="auto"/>
              </w:rPr>
            </w:pPr>
            <w:r>
              <w:rPr>
                <w:rFonts w:ascii="Arial" w:cs="Arial" w:eastAsia="Arial" w:hAnsi="Arial"/>
                <w:sz w:val="18"/>
                <w:szCs w:val="18"/>
                <w:color w:val="auto"/>
              </w:rPr>
              <w:t>Operating income</w:t>
            </w:r>
          </w:p>
        </w:tc>
        <w:tc>
          <w:tcPr>
            <w:tcW w:w="9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w w:val="90"/>
              </w:rPr>
              <w:t>43,055</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20" w:type="dxa"/>
            <w:vAlign w:val="bottom"/>
            <w:gridSpan w:val="3"/>
          </w:tcPr>
          <w:p>
            <w:pPr>
              <w:jc w:val="right"/>
              <w:ind w:right="180"/>
              <w:spacing w:after="0"/>
              <w:rPr>
                <w:sz w:val="20"/>
                <w:szCs w:val="20"/>
                <w:color w:val="auto"/>
              </w:rPr>
            </w:pPr>
            <w:r>
              <w:rPr>
                <w:rFonts w:ascii="Arial" w:cs="Arial" w:eastAsia="Arial" w:hAnsi="Arial"/>
                <w:sz w:val="18"/>
                <w:szCs w:val="18"/>
                <w:color w:val="auto"/>
              </w:rPr>
              <w:t xml:space="preserve">18 </w:t>
            </w:r>
            <w:r>
              <w:rPr>
                <w:rFonts w:ascii="Arial" w:cs="Arial" w:eastAsia="Arial" w:hAnsi="Arial"/>
                <w:sz w:val="18"/>
                <w:szCs w:val="18"/>
                <w:color w:val="auto"/>
                <w:highlight w:val="white"/>
              </w:rPr>
              <w:t>%</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42,911</w:t>
            </w: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540" w:type="dxa"/>
            <w:vAlign w:val="bottom"/>
            <w:gridSpan w:val="3"/>
          </w:tcPr>
          <w:p>
            <w:pPr>
              <w:jc w:val="right"/>
              <w:ind w:right="40"/>
              <w:spacing w:after="0"/>
              <w:rPr>
                <w:sz w:val="20"/>
                <w:szCs w:val="20"/>
                <w:color w:val="auto"/>
              </w:rPr>
            </w:pPr>
            <w:r>
              <w:rPr>
                <w:rFonts w:ascii="Arial" w:cs="Arial" w:eastAsia="Arial" w:hAnsi="Arial"/>
                <w:sz w:val="18"/>
                <w:szCs w:val="18"/>
                <w:color w:val="auto"/>
              </w:rPr>
              <w:t xml:space="preserve">20 </w:t>
            </w:r>
            <w:r>
              <w:rPr>
                <w:rFonts w:ascii="Arial" w:cs="Arial" w:eastAsia="Arial" w:hAnsi="Arial"/>
                <w:sz w:val="18"/>
                <w:szCs w:val="18"/>
                <w:color w:val="auto"/>
                <w:highlight w:val="white"/>
              </w:rPr>
              <w:t>%</w:t>
            </w:r>
          </w:p>
        </w:tc>
        <w:tc>
          <w:tcPr>
            <w:tcW w:w="0" w:type="dxa"/>
            <w:vAlign w:val="bottom"/>
          </w:tcPr>
          <w:p>
            <w:pPr>
              <w:spacing w:after="0"/>
              <w:rPr>
                <w:sz w:val="1"/>
                <w:szCs w:val="1"/>
                <w:color w:val="auto"/>
              </w:rPr>
            </w:pPr>
          </w:p>
        </w:tc>
      </w:tr>
      <w:tr>
        <w:trPr>
          <w:trHeight w:val="236"/>
        </w:trPr>
        <w:tc>
          <w:tcPr>
            <w:tcW w:w="3860" w:type="dxa"/>
            <w:vAlign w:val="bottom"/>
            <w:shd w:val="clear" w:color="auto" w:fill="CFF0FC"/>
          </w:tcPr>
          <w:p>
            <w:pPr>
              <w:ind w:left="20"/>
              <w:spacing w:after="0"/>
              <w:rPr>
                <w:sz w:val="20"/>
                <w:szCs w:val="20"/>
                <w:color w:val="auto"/>
              </w:rPr>
            </w:pPr>
            <w:r>
              <w:rPr>
                <w:rFonts w:ascii="Arial" w:cs="Arial" w:eastAsia="Arial" w:hAnsi="Arial"/>
                <w:sz w:val="18"/>
                <w:szCs w:val="18"/>
                <w:color w:val="auto"/>
              </w:rPr>
              <w:t>Other expense:</w:t>
            </w:r>
          </w:p>
        </w:tc>
        <w:tc>
          <w:tcPr>
            <w:tcW w:w="920" w:type="dxa"/>
            <w:vAlign w:val="bottom"/>
            <w:shd w:val="clear" w:color="auto" w:fill="CFF0FC"/>
          </w:tcPr>
          <w:p>
            <w:pPr>
              <w:spacing w:after="0"/>
              <w:rPr>
                <w:sz w:val="20"/>
                <w:szCs w:val="20"/>
                <w:color w:val="auto"/>
              </w:rPr>
            </w:pPr>
          </w:p>
        </w:tc>
        <w:tc>
          <w:tcPr>
            <w:tcW w:w="160" w:type="dxa"/>
            <w:vAlign w:val="bottom"/>
            <w:tcBorders>
              <w:top w:val="single" w:sz="8" w:color="auto"/>
            </w:tcBorders>
            <w:shd w:val="clear" w:color="auto" w:fill="CFF0FC"/>
          </w:tcPr>
          <w:p>
            <w:pPr>
              <w:spacing w:after="0"/>
              <w:rPr>
                <w:sz w:val="20"/>
                <w:szCs w:val="20"/>
                <w:color w:val="auto"/>
              </w:rPr>
            </w:pPr>
          </w:p>
        </w:tc>
        <w:tc>
          <w:tcPr>
            <w:tcW w:w="640" w:type="dxa"/>
            <w:vAlign w:val="bottom"/>
            <w:tcBorders>
              <w:top w:val="single" w:sz="8" w:color="auto"/>
            </w:tcBorders>
            <w:shd w:val="clear" w:color="auto" w:fill="CFF0FC"/>
          </w:tcPr>
          <w:p>
            <w:pPr>
              <w:spacing w:after="0"/>
              <w:rPr>
                <w:sz w:val="20"/>
                <w:szCs w:val="20"/>
                <w:color w:val="auto"/>
              </w:rPr>
            </w:pPr>
          </w:p>
        </w:tc>
        <w:tc>
          <w:tcPr>
            <w:tcW w:w="340" w:type="dxa"/>
            <w:vAlign w:val="bottom"/>
            <w:tcBorders>
              <w:top w:val="single" w:sz="8" w:color="auto"/>
            </w:tcBorders>
            <w:shd w:val="clear" w:color="auto" w:fill="CFF0FC"/>
          </w:tcPr>
          <w:p>
            <w:pPr>
              <w:spacing w:after="0"/>
              <w:rPr>
                <w:sz w:val="20"/>
                <w:szCs w:val="20"/>
                <w:color w:val="auto"/>
              </w:rPr>
            </w:pPr>
          </w:p>
        </w:tc>
        <w:tc>
          <w:tcPr>
            <w:tcW w:w="200" w:type="dxa"/>
            <w:vAlign w:val="bottom"/>
            <w:tcBorders>
              <w:top w:val="single" w:sz="8" w:color="auto"/>
            </w:tcBorders>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080" w:type="dxa"/>
            <w:vAlign w:val="bottom"/>
            <w:tcBorders>
              <w:top w:val="single" w:sz="8" w:color="auto"/>
            </w:tcBorders>
            <w:shd w:val="clear" w:color="auto" w:fill="CFF0FC"/>
          </w:tcPr>
          <w:p>
            <w:pPr>
              <w:spacing w:after="0"/>
              <w:rPr>
                <w:sz w:val="20"/>
                <w:szCs w:val="20"/>
                <w:color w:val="auto"/>
              </w:rPr>
            </w:pPr>
          </w:p>
        </w:tc>
        <w:tc>
          <w:tcPr>
            <w:tcW w:w="4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60" w:type="dxa"/>
            <w:vAlign w:val="bottom"/>
            <w:tcBorders>
              <w:top w:val="single" w:sz="8" w:color="auto"/>
            </w:tcBorders>
            <w:shd w:val="clear" w:color="auto" w:fill="CFF0FC"/>
          </w:tcPr>
          <w:p>
            <w:pPr>
              <w:spacing w:after="0"/>
              <w:rPr>
                <w:sz w:val="20"/>
                <w:szCs w:val="20"/>
                <w:color w:val="auto"/>
              </w:rPr>
            </w:pPr>
          </w:p>
        </w:tc>
        <w:tc>
          <w:tcPr>
            <w:tcW w:w="180" w:type="dxa"/>
            <w:vAlign w:val="bottom"/>
            <w:tcBorders>
              <w:top w:val="single" w:sz="8" w:color="auto"/>
            </w:tcBorders>
            <w:shd w:val="clear" w:color="auto" w:fill="CFF0FC"/>
          </w:tcPr>
          <w:p>
            <w:pPr>
              <w:spacing w:after="0"/>
              <w:rPr>
                <w:sz w:val="20"/>
                <w:szCs w:val="20"/>
                <w:color w:val="auto"/>
              </w:rPr>
            </w:pPr>
          </w:p>
        </w:tc>
        <w:tc>
          <w:tcPr>
            <w:tcW w:w="1100" w:type="dxa"/>
            <w:vAlign w:val="bottom"/>
            <w:tcBorders>
              <w:top w:val="single" w:sz="8" w:color="auto"/>
            </w:tcBorders>
            <w:shd w:val="clear" w:color="auto" w:fill="CFF0FC"/>
          </w:tcPr>
          <w:p>
            <w:pPr>
              <w:spacing w:after="0"/>
              <w:rPr>
                <w:sz w:val="20"/>
                <w:szCs w:val="20"/>
                <w:color w:val="auto"/>
              </w:rPr>
            </w:pPr>
          </w:p>
        </w:tc>
        <w:tc>
          <w:tcPr>
            <w:tcW w:w="80" w:type="dxa"/>
            <w:vAlign w:val="bottom"/>
            <w:tcBorders>
              <w:top w:val="single" w:sz="8" w:color="auto"/>
            </w:tcBorders>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134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3860" w:type="dxa"/>
            <w:vAlign w:val="bottom"/>
          </w:tcPr>
          <w:p>
            <w:pPr>
              <w:ind w:left="20"/>
              <w:spacing w:after="0"/>
              <w:rPr>
                <w:sz w:val="20"/>
                <w:szCs w:val="20"/>
                <w:color w:val="auto"/>
              </w:rPr>
            </w:pPr>
            <w:r>
              <w:rPr>
                <w:rFonts w:ascii="Arial" w:cs="Arial" w:eastAsia="Arial" w:hAnsi="Arial"/>
                <w:sz w:val="18"/>
                <w:szCs w:val="18"/>
                <w:color w:val="auto"/>
              </w:rPr>
              <w:t>Interest expense, net</w:t>
            </w:r>
          </w:p>
        </w:tc>
        <w:tc>
          <w:tcPr>
            <w:tcW w:w="9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w w:val="90"/>
              </w:rPr>
              <w:t>19,100</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20" w:type="dxa"/>
            <w:vAlign w:val="bottom"/>
            <w:gridSpan w:val="3"/>
          </w:tcPr>
          <w:p>
            <w:pPr>
              <w:jc w:val="right"/>
              <w:ind w:right="180"/>
              <w:spacing w:after="0"/>
              <w:rPr>
                <w:sz w:val="20"/>
                <w:szCs w:val="20"/>
                <w:color w:val="auto"/>
              </w:rPr>
            </w:pPr>
            <w:r>
              <w:rPr>
                <w:rFonts w:ascii="Arial" w:cs="Arial" w:eastAsia="Arial" w:hAnsi="Arial"/>
                <w:sz w:val="18"/>
                <w:szCs w:val="18"/>
                <w:color w:val="auto"/>
              </w:rPr>
              <w:t>8 %</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10,100</w:t>
            </w: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540" w:type="dxa"/>
            <w:vAlign w:val="bottom"/>
            <w:gridSpan w:val="3"/>
          </w:tcPr>
          <w:p>
            <w:pPr>
              <w:jc w:val="right"/>
              <w:ind w:right="40"/>
              <w:spacing w:after="0"/>
              <w:rPr>
                <w:sz w:val="20"/>
                <w:szCs w:val="20"/>
                <w:color w:val="auto"/>
              </w:rPr>
            </w:pPr>
            <w:r>
              <w:rPr>
                <w:rFonts w:ascii="Arial" w:cs="Arial" w:eastAsia="Arial" w:hAnsi="Arial"/>
                <w:sz w:val="18"/>
                <w:szCs w:val="18"/>
                <w:color w:val="auto"/>
              </w:rPr>
              <w:t>5 %</w:t>
            </w:r>
          </w:p>
        </w:tc>
        <w:tc>
          <w:tcPr>
            <w:tcW w:w="0" w:type="dxa"/>
            <w:vAlign w:val="bottom"/>
          </w:tcPr>
          <w:p>
            <w:pPr>
              <w:spacing w:after="0"/>
              <w:rPr>
                <w:sz w:val="1"/>
                <w:szCs w:val="1"/>
                <w:color w:val="auto"/>
              </w:rPr>
            </w:pPr>
          </w:p>
        </w:tc>
      </w:tr>
      <w:tr>
        <w:trPr>
          <w:trHeight w:val="242"/>
        </w:trPr>
        <w:tc>
          <w:tcPr>
            <w:tcW w:w="3860" w:type="dxa"/>
            <w:vAlign w:val="bottom"/>
            <w:tcBorders>
              <w:top w:val="single" w:sz="8" w:color="CFF0FC"/>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other expense</w:t>
            </w:r>
          </w:p>
        </w:tc>
        <w:tc>
          <w:tcPr>
            <w:tcW w:w="920" w:type="dxa"/>
            <w:vAlign w:val="bottom"/>
            <w:tcBorders>
              <w:top w:val="single" w:sz="8" w:color="CFF0FC"/>
              <w:bottom w:val="single" w:sz="8" w:color="CFF0FC"/>
            </w:tcBorders>
            <w:shd w:val="clear" w:color="auto" w:fill="CFF0FC"/>
          </w:tcPr>
          <w:p>
            <w:pPr>
              <w:spacing w:after="0"/>
              <w:rPr>
                <w:sz w:val="21"/>
                <w:szCs w:val="21"/>
                <w:color w:val="auto"/>
              </w:rPr>
            </w:pPr>
          </w:p>
        </w:tc>
        <w:tc>
          <w:tcPr>
            <w:tcW w:w="160" w:type="dxa"/>
            <w:vAlign w:val="bottom"/>
            <w:tcBorders>
              <w:top w:val="single" w:sz="8" w:color="auto"/>
              <w:bottom w:val="single" w:sz="8" w:color="auto"/>
            </w:tcBorders>
            <w:shd w:val="clear" w:color="auto" w:fill="CFF0FC"/>
          </w:tcPr>
          <w:p>
            <w:pPr>
              <w:spacing w:after="0"/>
              <w:rPr>
                <w:sz w:val="21"/>
                <w:szCs w:val="21"/>
                <w:color w:val="auto"/>
              </w:rPr>
            </w:pPr>
          </w:p>
        </w:tc>
        <w:tc>
          <w:tcPr>
            <w:tcW w:w="640" w:type="dxa"/>
            <w:vAlign w:val="bottom"/>
            <w:tcBorders>
              <w:top w:val="single" w:sz="8" w:color="auto"/>
              <w:bottom w:val="single" w:sz="8" w:color="auto"/>
            </w:tcBorders>
            <w:shd w:val="clear" w:color="auto" w:fill="CFF0FC"/>
          </w:tcPr>
          <w:p>
            <w:pPr>
              <w:spacing w:after="0"/>
              <w:rPr>
                <w:sz w:val="21"/>
                <w:szCs w:val="21"/>
                <w:color w:val="auto"/>
              </w:rPr>
            </w:pPr>
          </w:p>
        </w:tc>
        <w:tc>
          <w:tcPr>
            <w:tcW w:w="54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w w:val="90"/>
              </w:rPr>
              <w:t>19,100</w:t>
            </w:r>
          </w:p>
        </w:tc>
        <w:tc>
          <w:tcPr>
            <w:tcW w:w="120" w:type="dxa"/>
            <w:vAlign w:val="bottom"/>
            <w:tcBorders>
              <w:top w:val="single" w:sz="8" w:color="CFF0FC"/>
              <w:bottom w:val="single" w:sz="8" w:color="CFF0FC"/>
            </w:tcBorders>
            <w:shd w:val="clear" w:color="auto" w:fill="CFF0FC"/>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340" w:type="dxa"/>
            <w:vAlign w:val="bottom"/>
            <w:gridSpan w:val="2"/>
          </w:tcPr>
          <w:p>
            <w:pPr>
              <w:jc w:val="right"/>
              <w:ind w:right="180"/>
              <w:spacing w:after="0"/>
              <w:rPr>
                <w:sz w:val="20"/>
                <w:szCs w:val="20"/>
                <w:color w:val="auto"/>
              </w:rPr>
            </w:pPr>
            <w:r>
              <w:rPr>
                <w:rFonts w:ascii="Arial" w:cs="Arial" w:eastAsia="Arial" w:hAnsi="Arial"/>
                <w:sz w:val="18"/>
                <w:szCs w:val="18"/>
                <w:color w:val="auto"/>
                <w:w w:val="87"/>
              </w:rPr>
              <w:t>%</w:t>
            </w:r>
          </w:p>
        </w:tc>
        <w:tc>
          <w:tcPr>
            <w:tcW w:w="160" w:type="dxa"/>
            <w:vAlign w:val="bottom"/>
            <w:tcBorders>
              <w:top w:val="single" w:sz="8" w:color="auto"/>
              <w:bottom w:val="single" w:sz="8" w:color="auto"/>
            </w:tcBorders>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118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10,100</w:t>
            </w:r>
          </w:p>
        </w:tc>
        <w:tc>
          <w:tcPr>
            <w:tcW w:w="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24"/>
        </w:trPr>
        <w:tc>
          <w:tcPr>
            <w:tcW w:w="3860" w:type="dxa"/>
            <w:vAlign w:val="bottom"/>
          </w:tcPr>
          <w:p>
            <w:pPr>
              <w:ind w:left="20"/>
              <w:spacing w:after="0"/>
              <w:rPr>
                <w:sz w:val="20"/>
                <w:szCs w:val="20"/>
                <w:color w:val="auto"/>
              </w:rPr>
            </w:pPr>
            <w:r>
              <w:rPr>
                <w:rFonts w:ascii="Arial" w:cs="Arial" w:eastAsia="Arial" w:hAnsi="Arial"/>
                <w:sz w:val="18"/>
                <w:szCs w:val="18"/>
                <w:color w:val="auto"/>
              </w:rPr>
              <w:t>Income before taxes</w:t>
            </w:r>
          </w:p>
        </w:tc>
        <w:tc>
          <w:tcPr>
            <w:tcW w:w="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w w:val="90"/>
              </w:rPr>
              <w:t>23,955</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20" w:type="dxa"/>
            <w:vAlign w:val="bottom"/>
            <w:gridSpan w:val="3"/>
          </w:tcPr>
          <w:p>
            <w:pPr>
              <w:jc w:val="right"/>
              <w:ind w:right="180"/>
              <w:spacing w:after="0"/>
              <w:rPr>
                <w:sz w:val="20"/>
                <w:szCs w:val="20"/>
                <w:color w:val="auto"/>
              </w:rPr>
            </w:pPr>
            <w:r>
              <w:rPr>
                <w:rFonts w:ascii="Arial" w:cs="Arial" w:eastAsia="Arial" w:hAnsi="Arial"/>
                <w:sz w:val="18"/>
                <w:szCs w:val="18"/>
                <w:color w:val="auto"/>
              </w:rPr>
              <w:t>10 %</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32,811</w:t>
            </w:r>
          </w:p>
        </w:tc>
        <w:tc>
          <w:tcPr>
            <w:tcW w:w="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540" w:type="dxa"/>
            <w:vAlign w:val="bottom"/>
            <w:gridSpan w:val="3"/>
          </w:tcPr>
          <w:p>
            <w:pPr>
              <w:jc w:val="right"/>
              <w:ind w:right="40"/>
              <w:spacing w:after="0"/>
              <w:rPr>
                <w:sz w:val="20"/>
                <w:szCs w:val="20"/>
                <w:color w:val="auto"/>
              </w:rPr>
            </w:pPr>
            <w:r>
              <w:rPr>
                <w:rFonts w:ascii="Arial" w:cs="Arial" w:eastAsia="Arial" w:hAnsi="Arial"/>
                <w:sz w:val="18"/>
                <w:szCs w:val="18"/>
                <w:color w:val="auto"/>
              </w:rPr>
              <w:t>15 %</w:t>
            </w:r>
          </w:p>
        </w:tc>
        <w:tc>
          <w:tcPr>
            <w:tcW w:w="0" w:type="dxa"/>
            <w:vAlign w:val="bottom"/>
          </w:tcPr>
          <w:p>
            <w:pPr>
              <w:spacing w:after="0"/>
              <w:rPr>
                <w:sz w:val="1"/>
                <w:szCs w:val="1"/>
                <w:color w:val="auto"/>
              </w:rPr>
            </w:pPr>
          </w:p>
        </w:tc>
      </w:tr>
      <w:tr>
        <w:trPr>
          <w:trHeight w:val="255"/>
        </w:trPr>
        <w:tc>
          <w:tcPr>
            <w:tcW w:w="3860" w:type="dxa"/>
            <w:vAlign w:val="bottom"/>
          </w:tcPr>
          <w:p>
            <w:pPr>
              <w:ind w:left="20"/>
              <w:spacing w:after="0"/>
              <w:rPr>
                <w:sz w:val="20"/>
                <w:szCs w:val="20"/>
                <w:color w:val="auto"/>
              </w:rPr>
            </w:pPr>
            <w:r>
              <w:rPr>
                <w:rFonts w:ascii="Arial" w:cs="Arial" w:eastAsia="Arial" w:hAnsi="Arial"/>
                <w:sz w:val="18"/>
                <w:szCs w:val="18"/>
                <w:color w:val="auto"/>
              </w:rPr>
              <w:t>Income tax provision</w:t>
            </w:r>
          </w:p>
        </w:tc>
        <w:tc>
          <w:tcPr>
            <w:tcW w:w="9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4,470</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420" w:type="dxa"/>
            <w:vAlign w:val="bottom"/>
            <w:gridSpan w:val="3"/>
          </w:tcPr>
          <w:p>
            <w:pPr>
              <w:jc w:val="right"/>
              <w:ind w:right="180"/>
              <w:spacing w:after="0"/>
              <w:rPr>
                <w:sz w:val="20"/>
                <w:szCs w:val="20"/>
                <w:color w:val="auto"/>
              </w:rPr>
            </w:pPr>
            <w:r>
              <w:rPr>
                <w:rFonts w:ascii="Arial" w:cs="Arial" w:eastAsia="Arial" w:hAnsi="Arial"/>
                <w:sz w:val="18"/>
                <w:szCs w:val="18"/>
                <w:color w:val="auto"/>
              </w:rPr>
              <w:t>2 %</w:t>
            </w:r>
          </w:p>
        </w:tc>
        <w:tc>
          <w:tcPr>
            <w:tcW w:w="1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8,814</w:t>
            </w:r>
          </w:p>
        </w:tc>
        <w:tc>
          <w:tcPr>
            <w:tcW w:w="3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540" w:type="dxa"/>
            <w:vAlign w:val="bottom"/>
            <w:gridSpan w:val="3"/>
          </w:tcPr>
          <w:p>
            <w:pPr>
              <w:jc w:val="right"/>
              <w:ind w:right="40"/>
              <w:spacing w:after="0"/>
              <w:rPr>
                <w:sz w:val="20"/>
                <w:szCs w:val="20"/>
                <w:color w:val="auto"/>
              </w:rPr>
            </w:pPr>
            <w:r>
              <w:rPr>
                <w:rFonts w:ascii="Arial" w:cs="Arial" w:eastAsia="Arial" w:hAnsi="Arial"/>
                <w:sz w:val="18"/>
                <w:szCs w:val="18"/>
                <w:color w:val="auto"/>
              </w:rPr>
              <w:t>4 %</w:t>
            </w:r>
          </w:p>
        </w:tc>
        <w:tc>
          <w:tcPr>
            <w:tcW w:w="0" w:type="dxa"/>
            <w:vAlign w:val="bottom"/>
          </w:tcPr>
          <w:p>
            <w:pPr>
              <w:spacing w:after="0"/>
              <w:rPr>
                <w:sz w:val="1"/>
                <w:szCs w:val="1"/>
                <w:color w:val="auto"/>
              </w:rPr>
            </w:pPr>
          </w:p>
        </w:tc>
      </w:tr>
      <w:tr>
        <w:trPr>
          <w:trHeight w:val="20"/>
        </w:trPr>
        <w:tc>
          <w:tcPr>
            <w:tcW w:w="38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386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9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w w:val="90"/>
              </w:rPr>
              <w:t>19,485</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20" w:type="dxa"/>
            <w:vAlign w:val="bottom"/>
            <w:gridSpan w:val="3"/>
          </w:tcPr>
          <w:p>
            <w:pPr>
              <w:jc w:val="right"/>
              <w:ind w:right="180"/>
              <w:spacing w:after="0"/>
              <w:rPr>
                <w:sz w:val="20"/>
                <w:szCs w:val="20"/>
                <w:color w:val="auto"/>
              </w:rPr>
            </w:pPr>
            <w:r>
              <w:rPr>
                <w:rFonts w:ascii="Arial" w:cs="Arial" w:eastAsia="Arial" w:hAnsi="Arial"/>
                <w:sz w:val="18"/>
                <w:szCs w:val="18"/>
                <w:color w:val="auto"/>
              </w:rPr>
              <w:t xml:space="preserve">8 </w:t>
            </w:r>
            <w:r>
              <w:rPr>
                <w:rFonts w:ascii="Arial" w:cs="Arial" w:eastAsia="Arial" w:hAnsi="Arial"/>
                <w:sz w:val="18"/>
                <w:szCs w:val="18"/>
                <w:color w:val="auto"/>
                <w:highlight w:val="white"/>
              </w:rPr>
              <w:t>%</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23,997</w:t>
            </w: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540" w:type="dxa"/>
            <w:vAlign w:val="bottom"/>
            <w:gridSpan w:val="3"/>
          </w:tcPr>
          <w:p>
            <w:pPr>
              <w:jc w:val="right"/>
              <w:ind w:right="40"/>
              <w:spacing w:after="0"/>
              <w:rPr>
                <w:sz w:val="20"/>
                <w:szCs w:val="20"/>
                <w:color w:val="auto"/>
              </w:rPr>
            </w:pPr>
            <w:r>
              <w:rPr>
                <w:rFonts w:ascii="Arial" w:cs="Arial" w:eastAsia="Arial" w:hAnsi="Arial"/>
                <w:sz w:val="18"/>
                <w:szCs w:val="18"/>
                <w:color w:val="auto"/>
              </w:rPr>
              <w:t xml:space="preserve">11 </w:t>
            </w:r>
            <w:r>
              <w:rPr>
                <w:rFonts w:ascii="Arial" w:cs="Arial" w:eastAsia="Arial" w:hAnsi="Arial"/>
                <w:sz w:val="18"/>
                <w:szCs w:val="18"/>
                <w:color w:val="auto"/>
                <w:highlight w:val="white"/>
              </w:rPr>
              <w:t>%</w:t>
            </w:r>
          </w:p>
        </w:tc>
        <w:tc>
          <w:tcPr>
            <w:tcW w:w="0" w:type="dxa"/>
            <w:vAlign w:val="bottom"/>
          </w:tcPr>
          <w:p>
            <w:pPr>
              <w:spacing w:after="0"/>
              <w:rPr>
                <w:sz w:val="1"/>
                <w:szCs w:val="1"/>
                <w:color w:val="auto"/>
              </w:rPr>
            </w:pPr>
          </w:p>
        </w:tc>
      </w:tr>
      <w:tr>
        <w:trPr>
          <w:trHeight w:val="20"/>
        </w:trPr>
        <w:tc>
          <w:tcPr>
            <w:tcW w:w="3860" w:type="dxa"/>
            <w:vAlign w:val="bottom"/>
            <w:vMerge w:val="restart"/>
          </w:tcPr>
          <w:p>
            <w:pPr>
              <w:spacing w:after="0"/>
              <w:rPr>
                <w:sz w:val="20"/>
                <w:szCs w:val="20"/>
                <w:color w:val="auto"/>
              </w:rPr>
            </w:pPr>
            <w:r>
              <w:rPr>
                <w:rFonts w:ascii="Arial" w:cs="Arial" w:eastAsia="Arial" w:hAnsi="Arial"/>
                <w:sz w:val="18"/>
                <w:szCs w:val="18"/>
                <w:b w:val="1"/>
                <w:bCs w:val="1"/>
                <w:i w:val="1"/>
                <w:iCs w:val="1"/>
                <w:color w:val="auto"/>
              </w:rPr>
              <w:t>Net Revenues</w:t>
            </w:r>
          </w:p>
        </w:tc>
        <w:tc>
          <w:tcPr>
            <w:tcW w:w="9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7"/>
        </w:trPr>
        <w:tc>
          <w:tcPr>
            <w:tcW w:w="3860" w:type="dxa"/>
            <w:vAlign w:val="bottom"/>
            <w:vMerge w:val="continue"/>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9"/>
        </w:trPr>
        <w:tc>
          <w:tcPr>
            <w:tcW w:w="3860" w:type="dxa"/>
            <w:vAlign w:val="bottom"/>
          </w:tcPr>
          <w:p>
            <w:pPr>
              <w:spacing w:after="0"/>
              <w:rPr>
                <w:sz w:val="24"/>
                <w:szCs w:val="24"/>
                <w:color w:val="auto"/>
              </w:rPr>
            </w:pPr>
          </w:p>
        </w:tc>
        <w:tc>
          <w:tcPr>
            <w:tcW w:w="4060" w:type="dxa"/>
            <w:vAlign w:val="bottom"/>
            <w:gridSpan w:val="10"/>
          </w:tcPr>
          <w:p>
            <w:pPr>
              <w:jc w:val="right"/>
              <w:ind w:right="780"/>
              <w:spacing w:after="0"/>
              <w:rPr>
                <w:sz w:val="20"/>
                <w:szCs w:val="20"/>
                <w:color w:val="auto"/>
              </w:rPr>
            </w:pPr>
            <w:r>
              <w:rPr>
                <w:rFonts w:ascii="Arial" w:cs="Arial" w:eastAsia="Arial" w:hAnsi="Arial"/>
                <w:sz w:val="18"/>
                <w:szCs w:val="18"/>
                <w:b w:val="1"/>
                <w:bCs w:val="1"/>
                <w:color w:val="auto"/>
              </w:rPr>
              <w:t>Three Months Ended September 30,</w:t>
            </w: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860" w:type="dxa"/>
            <w:vAlign w:val="bottom"/>
          </w:tcPr>
          <w:p>
            <w:pPr>
              <w:ind w:left="960"/>
              <w:spacing w:after="0"/>
              <w:rPr>
                <w:sz w:val="20"/>
                <w:szCs w:val="20"/>
                <w:color w:val="auto"/>
              </w:rPr>
            </w:pPr>
            <w:r>
              <w:rPr>
                <w:rFonts w:ascii="Arial" w:cs="Arial" w:eastAsia="Arial" w:hAnsi="Arial"/>
                <w:sz w:val="18"/>
                <w:szCs w:val="18"/>
                <w:b w:val="1"/>
                <w:bCs w:val="1"/>
                <w:color w:val="auto"/>
              </w:rPr>
              <w:t>(Dollars in thousands)</w:t>
            </w:r>
          </w:p>
        </w:tc>
        <w:tc>
          <w:tcPr>
            <w:tcW w:w="108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2023</w:t>
            </w:r>
          </w:p>
        </w:tc>
        <w:tc>
          <w:tcPr>
            <w:tcW w:w="640" w:type="dxa"/>
            <w:vAlign w:val="bottom"/>
            <w:tcBorders>
              <w:top w:val="single" w:sz="8" w:color="auto"/>
            </w:tcBorders>
          </w:tcPr>
          <w:p>
            <w:pPr>
              <w:spacing w:after="0"/>
              <w:rPr>
                <w:sz w:val="21"/>
                <w:szCs w:val="21"/>
                <w:color w:val="auto"/>
              </w:rPr>
            </w:pPr>
          </w:p>
        </w:tc>
        <w:tc>
          <w:tcPr>
            <w:tcW w:w="340" w:type="dxa"/>
            <w:vAlign w:val="bottom"/>
            <w:tcBorders>
              <w:top w:val="single" w:sz="8" w:color="auto"/>
            </w:tcBorders>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1080" w:type="dxa"/>
            <w:vAlign w:val="bottom"/>
            <w:tcBorders>
              <w:top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2022</w:t>
            </w:r>
          </w:p>
        </w:tc>
        <w:tc>
          <w:tcPr>
            <w:tcW w:w="40" w:type="dxa"/>
            <w:vAlign w:val="bottom"/>
            <w:tcBorders>
              <w:top w:val="single" w:sz="8" w:color="auto"/>
            </w:tcBorders>
          </w:tcPr>
          <w:p>
            <w:pPr>
              <w:spacing w:after="0"/>
              <w:rPr>
                <w:sz w:val="21"/>
                <w:szCs w:val="21"/>
                <w:color w:val="auto"/>
              </w:rPr>
            </w:pPr>
          </w:p>
        </w:tc>
        <w:tc>
          <w:tcPr>
            <w:tcW w:w="3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40" w:type="dxa"/>
            <w:vAlign w:val="bottom"/>
            <w:gridSpan w:val="4"/>
          </w:tcPr>
          <w:p>
            <w:pPr>
              <w:ind w:left="100"/>
              <w:spacing w:after="0"/>
              <w:rPr>
                <w:sz w:val="20"/>
                <w:szCs w:val="20"/>
                <w:color w:val="auto"/>
              </w:rPr>
            </w:pPr>
            <w:r>
              <w:rPr>
                <w:rFonts w:ascii="Arial" w:cs="Arial" w:eastAsia="Arial" w:hAnsi="Arial"/>
                <w:sz w:val="18"/>
                <w:szCs w:val="18"/>
                <w:b w:val="1"/>
                <w:bCs w:val="1"/>
                <w:color w:val="auto"/>
              </w:rPr>
              <w:t>$ Change</w:t>
            </w:r>
          </w:p>
        </w:tc>
        <w:tc>
          <w:tcPr>
            <w:tcW w:w="1540" w:type="dxa"/>
            <w:vAlign w:val="bottom"/>
            <w:gridSpan w:val="3"/>
          </w:tcPr>
          <w:p>
            <w:pPr>
              <w:jc w:val="right"/>
              <w:ind w:right="480"/>
              <w:spacing w:after="0"/>
              <w:rPr>
                <w:sz w:val="20"/>
                <w:szCs w:val="20"/>
                <w:color w:val="auto"/>
              </w:rPr>
            </w:pPr>
            <w:r>
              <w:rPr>
                <w:rFonts w:ascii="Arial" w:cs="Arial" w:eastAsia="Arial" w:hAnsi="Arial"/>
                <w:sz w:val="18"/>
                <w:szCs w:val="18"/>
                <w:b w:val="1"/>
                <w:bCs w:val="1"/>
                <w:color w:val="auto"/>
              </w:rPr>
              <w:t>% Change</w:t>
            </w:r>
          </w:p>
        </w:tc>
        <w:tc>
          <w:tcPr>
            <w:tcW w:w="0" w:type="dxa"/>
            <w:vAlign w:val="bottom"/>
          </w:tcPr>
          <w:p>
            <w:pPr>
              <w:spacing w:after="0"/>
              <w:rPr>
                <w:sz w:val="1"/>
                <w:szCs w:val="1"/>
                <w:color w:val="auto"/>
              </w:rPr>
            </w:pPr>
          </w:p>
        </w:tc>
      </w:tr>
      <w:tr>
        <w:trPr>
          <w:trHeight w:val="224"/>
        </w:trPr>
        <w:tc>
          <w:tcPr>
            <w:tcW w:w="3860" w:type="dxa"/>
            <w:vAlign w:val="bottom"/>
          </w:tcPr>
          <w:p>
            <w:pPr>
              <w:ind w:left="20"/>
              <w:spacing w:after="0"/>
              <w:rPr>
                <w:sz w:val="20"/>
                <w:szCs w:val="20"/>
                <w:color w:val="auto"/>
              </w:rPr>
            </w:pPr>
            <w:r>
              <w:rPr>
                <w:rFonts w:ascii="Arial" w:cs="Arial" w:eastAsia="Arial" w:hAnsi="Arial"/>
                <w:sz w:val="18"/>
                <w:szCs w:val="18"/>
                <w:color w:val="auto"/>
              </w:rPr>
              <w:t>Net revenues</w:t>
            </w:r>
          </w:p>
        </w:tc>
        <w:tc>
          <w:tcPr>
            <w:tcW w:w="920" w:type="dxa"/>
            <w:vAlign w:val="bottom"/>
            <w:tcBorders>
              <w:top w:val="single" w:sz="8" w:color="auto"/>
            </w:tcBorders>
          </w:tcPr>
          <w:p>
            <w:pPr>
              <w:jc w:val="right"/>
              <w:ind w:right="730"/>
              <w:spacing w:after="0"/>
              <w:rPr>
                <w:sz w:val="20"/>
                <w:szCs w:val="20"/>
                <w:color w:val="auto"/>
              </w:rPr>
            </w:pPr>
            <w:r>
              <w:rPr>
                <w:rFonts w:ascii="Arial" w:cs="Arial" w:eastAsia="Arial" w:hAnsi="Arial"/>
                <w:sz w:val="18"/>
                <w:szCs w:val="18"/>
                <w:color w:val="auto"/>
                <w:w w:val="79"/>
              </w:rPr>
              <w:t>$</w:t>
            </w:r>
          </w:p>
        </w:tc>
        <w:tc>
          <w:tcPr>
            <w:tcW w:w="16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2"/>
              </w:rPr>
              <w:t>234,076</w:t>
            </w:r>
          </w:p>
        </w:tc>
        <w:tc>
          <w:tcPr>
            <w:tcW w:w="340" w:type="dxa"/>
            <w:vAlign w:val="bottom"/>
          </w:tcPr>
          <w:p>
            <w:pPr>
              <w:spacing w:after="0"/>
              <w:rPr>
                <w:sz w:val="19"/>
                <w:szCs w:val="19"/>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 w:type="dxa"/>
            <w:vAlign w:val="bottom"/>
            <w:tcBorders>
              <w:top w:val="single" w:sz="8" w:color="auto"/>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217,576</w:t>
            </w: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16,500</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-3373755</wp:posOffset>
            </wp:positionV>
            <wp:extent cx="7132320" cy="15430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-2911475</wp:posOffset>
            </wp:positionV>
            <wp:extent cx="7132320" cy="15430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-2602865</wp:posOffset>
            </wp:positionV>
            <wp:extent cx="7132320" cy="15430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-2286000</wp:posOffset>
            </wp:positionV>
            <wp:extent cx="7132320" cy="32512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32320" cy="32512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-1664970</wp:posOffset>
            </wp:positionV>
            <wp:extent cx="7145020" cy="68072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45020" cy="68072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15430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94" w:lineRule="exact"/>
        <w:rPr>
          <w:sz w:val="20"/>
          <w:szCs w:val="20"/>
          <w:color w:val="auto"/>
        </w:rPr>
      </w:pPr>
    </w:p>
    <w:p>
      <w:pPr>
        <w:ind w:right="460" w:firstLine="509"/>
        <w:spacing w:after="0" w:line="277" w:lineRule="auto"/>
        <w:rPr>
          <w:sz w:val="20"/>
          <w:szCs w:val="20"/>
          <w:color w:val="auto"/>
        </w:rPr>
      </w:pPr>
      <w:r>
        <w:rPr>
          <w:rFonts w:ascii="Arial" w:cs="Arial" w:eastAsia="Arial" w:hAnsi="Arial"/>
          <w:sz w:val="18"/>
          <w:szCs w:val="18"/>
          <w:color w:val="auto"/>
        </w:rPr>
        <w:t>The increase in net revenues was primarily attributable to the increase in car wash sales due to growth in UWC Members and the year-over-year addition of 42 locations.</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Store Operating Costs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Labor and Chemicals</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940" w:type="dxa"/>
            <w:vAlign w:val="bottom"/>
          </w:tcPr>
          <w:p>
            <w:pPr>
              <w:spacing w:after="0"/>
              <w:rPr>
                <w:sz w:val="20"/>
                <w:szCs w:val="20"/>
                <w:color w:val="auto"/>
              </w:rPr>
            </w:pPr>
          </w:p>
        </w:tc>
        <w:tc>
          <w:tcPr>
            <w:tcW w:w="330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Three Months Ended September 30,</w:t>
            </w:r>
          </w:p>
        </w:tc>
        <w:tc>
          <w:tcPr>
            <w:tcW w:w="520" w:type="dxa"/>
            <w:vAlign w:val="bottom"/>
            <w:tcBorders>
              <w:bottom w:val="single" w:sz="8" w:color="auto"/>
            </w:tcBorders>
          </w:tcPr>
          <w:p>
            <w:pPr>
              <w:spacing w:after="0"/>
              <w:rPr>
                <w:sz w:val="20"/>
                <w:szCs w:val="20"/>
                <w:color w:val="auto"/>
              </w:rPr>
            </w:pPr>
          </w:p>
        </w:tc>
        <w:tc>
          <w:tcPr>
            <w:tcW w:w="4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243"/>
        </w:trPr>
        <w:tc>
          <w:tcPr>
            <w:tcW w:w="3940" w:type="dxa"/>
            <w:vAlign w:val="bottom"/>
          </w:tcPr>
          <w:p>
            <w:pPr>
              <w:ind w:left="980"/>
              <w:spacing w:after="0"/>
              <w:rPr>
                <w:sz w:val="20"/>
                <w:szCs w:val="20"/>
                <w:color w:val="auto"/>
              </w:rPr>
            </w:pPr>
            <w:r>
              <w:rPr>
                <w:rFonts w:ascii="Arial" w:cs="Arial" w:eastAsia="Arial" w:hAnsi="Arial"/>
                <w:sz w:val="18"/>
                <w:szCs w:val="18"/>
                <w:b w:val="1"/>
                <w:bCs w:val="1"/>
                <w:color w:val="auto"/>
              </w:rPr>
              <w:t>(Dollars in thousands)</w:t>
            </w: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2023</w:t>
            </w:r>
          </w:p>
        </w:tc>
        <w:tc>
          <w:tcPr>
            <w:tcW w:w="5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240" w:type="dxa"/>
            <w:vAlign w:val="bottom"/>
          </w:tcPr>
          <w:p>
            <w:pPr>
              <w:jc w:val="right"/>
              <w:ind w:right="90"/>
              <w:spacing w:after="0"/>
              <w:rPr>
                <w:sz w:val="20"/>
                <w:szCs w:val="20"/>
                <w:color w:val="auto"/>
              </w:rPr>
            </w:pPr>
            <w:r>
              <w:rPr>
                <w:rFonts w:ascii="Arial" w:cs="Arial" w:eastAsia="Arial" w:hAnsi="Arial"/>
                <w:sz w:val="18"/>
                <w:szCs w:val="18"/>
                <w:b w:val="1"/>
                <w:bCs w:val="1"/>
                <w:color w:val="auto"/>
              </w:rPr>
              <w:t>2022</w:t>
            </w:r>
          </w:p>
        </w:tc>
        <w:tc>
          <w:tcPr>
            <w:tcW w:w="5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80" w:type="dxa"/>
            <w:vAlign w:val="bottom"/>
          </w:tcPr>
          <w:p>
            <w:pPr>
              <w:jc w:val="right"/>
              <w:ind w:right="190"/>
              <w:spacing w:after="0"/>
              <w:rPr>
                <w:sz w:val="20"/>
                <w:szCs w:val="20"/>
                <w:color w:val="auto"/>
              </w:rPr>
            </w:pPr>
            <w:r>
              <w:rPr>
                <w:rFonts w:ascii="Arial" w:cs="Arial" w:eastAsia="Arial" w:hAnsi="Arial"/>
                <w:sz w:val="18"/>
                <w:szCs w:val="18"/>
                <w:b w:val="1"/>
                <w:bCs w:val="1"/>
                <w:color w:val="auto"/>
                <w:w w:val="96"/>
              </w:rPr>
              <w:t>$ Change</w:t>
            </w:r>
          </w:p>
        </w:tc>
        <w:tc>
          <w:tcPr>
            <w:tcW w:w="320" w:type="dxa"/>
            <w:vAlign w:val="bottom"/>
          </w:tcPr>
          <w:p>
            <w:pPr>
              <w:spacing w:after="0"/>
              <w:rPr>
                <w:sz w:val="21"/>
                <w:szCs w:val="21"/>
                <w:color w:val="auto"/>
              </w:rPr>
            </w:pPr>
          </w:p>
        </w:tc>
        <w:tc>
          <w:tcPr>
            <w:tcW w:w="1520" w:type="dxa"/>
            <w:vAlign w:val="bottom"/>
            <w:gridSpan w:val="2"/>
          </w:tcPr>
          <w:p>
            <w:pPr>
              <w:jc w:val="right"/>
              <w:ind w:right="350"/>
              <w:spacing w:after="0"/>
              <w:rPr>
                <w:sz w:val="20"/>
                <w:szCs w:val="20"/>
                <w:color w:val="auto"/>
              </w:rPr>
            </w:pPr>
            <w:r>
              <w:rPr>
                <w:rFonts w:ascii="Arial" w:cs="Arial" w:eastAsia="Arial" w:hAnsi="Arial"/>
                <w:sz w:val="18"/>
                <w:szCs w:val="18"/>
                <w:b w:val="1"/>
                <w:bCs w:val="1"/>
                <w:color w:val="auto"/>
              </w:rPr>
              <w:t>% Change</w:t>
            </w:r>
          </w:p>
        </w:tc>
      </w:tr>
      <w:tr>
        <w:trPr>
          <w:trHeight w:val="224"/>
        </w:trPr>
        <w:tc>
          <w:tcPr>
            <w:tcW w:w="3940" w:type="dxa"/>
            <w:vAlign w:val="bottom"/>
          </w:tcPr>
          <w:p>
            <w:pPr>
              <w:ind w:left="20"/>
              <w:spacing w:after="0"/>
              <w:rPr>
                <w:sz w:val="20"/>
                <w:szCs w:val="20"/>
                <w:color w:val="auto"/>
              </w:rPr>
            </w:pPr>
            <w:r>
              <w:rPr>
                <w:rFonts w:ascii="Arial" w:cs="Arial" w:eastAsia="Arial" w:hAnsi="Arial"/>
                <w:sz w:val="18"/>
                <w:szCs w:val="18"/>
                <w:color w:val="auto"/>
              </w:rPr>
              <w:t>Cost of labor and chemicals</w:t>
            </w:r>
          </w:p>
        </w:tc>
        <w:tc>
          <w:tcPr>
            <w:tcW w:w="1060" w:type="dxa"/>
            <w:vAlign w:val="bottom"/>
            <w:tcBorders>
              <w:top w:val="single" w:sz="8" w:color="auto"/>
            </w:tcBorders>
          </w:tcPr>
          <w:p>
            <w:pPr>
              <w:jc w:val="right"/>
              <w:ind w:right="870"/>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72,760</w:t>
            </w:r>
          </w:p>
        </w:tc>
        <w:tc>
          <w:tcPr>
            <w:tcW w:w="440" w:type="dxa"/>
            <w:vAlign w:val="bottom"/>
          </w:tcPr>
          <w:p>
            <w:pPr>
              <w:spacing w:after="0"/>
              <w:rPr>
                <w:sz w:val="19"/>
                <w:szCs w:val="19"/>
                <w:color w:val="auto"/>
              </w:rPr>
            </w:pPr>
          </w:p>
        </w:tc>
        <w:tc>
          <w:tcPr>
            <w:tcW w:w="1240" w:type="dxa"/>
            <w:vAlign w:val="bottom"/>
            <w:tcBorders>
              <w:top w:val="single" w:sz="8" w:color="auto"/>
            </w:tcBorders>
          </w:tcPr>
          <w:p>
            <w:pPr>
              <w:jc w:val="right"/>
              <w:ind w:right="1030"/>
              <w:spacing w:after="0"/>
              <w:rPr>
                <w:sz w:val="20"/>
                <w:szCs w:val="20"/>
                <w:color w:val="auto"/>
              </w:rPr>
            </w:pPr>
            <w:r>
              <w:rPr>
                <w:rFonts w:ascii="Arial" w:cs="Arial" w:eastAsia="Arial" w:hAnsi="Arial"/>
                <w:sz w:val="18"/>
                <w:szCs w:val="18"/>
                <w:color w:val="auto"/>
                <w:w w:val="99"/>
              </w:rPr>
              <w:t>$</w:t>
            </w: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7"/>
              </w:rPr>
              <w:t>68,228</w:t>
            </w:r>
          </w:p>
        </w:tc>
        <w:tc>
          <w:tcPr>
            <w:tcW w:w="420" w:type="dxa"/>
            <w:vAlign w:val="bottom"/>
          </w:tcPr>
          <w:p>
            <w:pPr>
              <w:spacing w:after="0"/>
              <w:rPr>
                <w:sz w:val="19"/>
                <w:szCs w:val="19"/>
                <w:color w:val="auto"/>
              </w:rPr>
            </w:pPr>
          </w:p>
        </w:tc>
        <w:tc>
          <w:tcPr>
            <w:tcW w:w="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4,532</w:t>
            </w:r>
          </w:p>
        </w:tc>
        <w:tc>
          <w:tcPr>
            <w:tcW w:w="320" w:type="dxa"/>
            <w:vAlign w:val="bottom"/>
          </w:tcPr>
          <w:p>
            <w:pPr>
              <w:spacing w:after="0"/>
              <w:rPr>
                <w:sz w:val="19"/>
                <w:szCs w:val="19"/>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160" w:type="dxa"/>
            <w:vAlign w:val="bottom"/>
          </w:tcPr>
          <w:p>
            <w:pPr>
              <w:jc w:val="right"/>
              <w:spacing w:after="0"/>
              <w:rPr>
                <w:sz w:val="20"/>
                <w:szCs w:val="20"/>
                <w:color w:val="auto"/>
              </w:rPr>
            </w:pPr>
            <w:r>
              <w:rPr>
                <w:rFonts w:ascii="Arial" w:cs="Arial" w:eastAsia="Arial" w:hAnsi="Arial"/>
                <w:sz w:val="18"/>
                <w:szCs w:val="18"/>
                <w:color w:val="auto"/>
                <w:w w:val="87"/>
              </w:rPr>
              <w:t>%</w:t>
            </w:r>
          </w:p>
        </w:tc>
      </w:tr>
      <w:tr>
        <w:trPr>
          <w:trHeight w:val="242"/>
        </w:trPr>
        <w:tc>
          <w:tcPr>
            <w:tcW w:w="3940" w:type="dxa"/>
            <w:vAlign w:val="bottom"/>
          </w:tcPr>
          <w:p>
            <w:pPr>
              <w:ind w:left="20"/>
              <w:spacing w:after="0"/>
              <w:rPr>
                <w:sz w:val="20"/>
                <w:szCs w:val="20"/>
                <w:color w:val="auto"/>
              </w:rPr>
            </w:pPr>
            <w:r>
              <w:rPr>
                <w:rFonts w:ascii="Arial" w:cs="Arial" w:eastAsia="Arial" w:hAnsi="Arial"/>
                <w:sz w:val="18"/>
                <w:szCs w:val="18"/>
                <w:color w:val="auto"/>
              </w:rPr>
              <w:t>Percentage of net revenues</w:t>
            </w:r>
          </w:p>
        </w:tc>
        <w:tc>
          <w:tcPr>
            <w:tcW w:w="1060" w:type="dxa"/>
            <w:vAlign w:val="bottom"/>
          </w:tcPr>
          <w:p>
            <w:pPr>
              <w:spacing w:after="0"/>
              <w:rPr>
                <w:sz w:val="21"/>
                <w:szCs w:val="21"/>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31 %</w:t>
            </w:r>
          </w:p>
        </w:tc>
        <w:tc>
          <w:tcPr>
            <w:tcW w:w="1240" w:type="dxa"/>
            <w:vAlign w:val="bottom"/>
          </w:tcPr>
          <w:p>
            <w:pPr>
              <w:spacing w:after="0"/>
              <w:rPr>
                <w:sz w:val="21"/>
                <w:szCs w:val="21"/>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31 %</w:t>
            </w:r>
          </w:p>
        </w:tc>
        <w:tc>
          <w:tcPr>
            <w:tcW w:w="2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60" w:type="dxa"/>
            <w:vAlign w:val="bottom"/>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-299085</wp:posOffset>
            </wp:positionV>
            <wp:extent cx="7132320" cy="15430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9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increase in the cost of labor and chemicals is primarily attributable to the year-over-year addition of 42 locations.</w:t>
      </w:r>
    </w:p>
    <w:p>
      <w:pPr>
        <w:spacing w:after="0" w:line="33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720" w:type="dxa"/>
            <w:vAlign w:val="bottom"/>
          </w:tcPr>
          <w:p>
            <w:pPr>
              <w:spacing w:after="0"/>
              <w:rPr>
                <w:sz w:val="20"/>
                <w:szCs w:val="20"/>
                <w:color w:val="auto"/>
              </w:rPr>
            </w:pPr>
            <w:r>
              <w:rPr>
                <w:rFonts w:ascii="Arial" w:cs="Arial" w:eastAsia="Arial" w:hAnsi="Arial"/>
                <w:sz w:val="18"/>
                <w:szCs w:val="18"/>
                <w:b w:val="1"/>
                <w:bCs w:val="1"/>
                <w:i w:val="1"/>
                <w:iCs w:val="1"/>
                <w:color w:val="auto"/>
              </w:rPr>
              <w:t>Other Store Operating Expenses</w:t>
            </w:r>
          </w:p>
        </w:tc>
        <w:tc>
          <w:tcPr>
            <w:tcW w:w="2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479"/>
        </w:trPr>
        <w:tc>
          <w:tcPr>
            <w:tcW w:w="37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60" w:type="dxa"/>
            <w:vAlign w:val="bottom"/>
            <w:gridSpan w:val="5"/>
          </w:tcPr>
          <w:p>
            <w:pPr>
              <w:jc w:val="right"/>
              <w:ind w:right="760"/>
              <w:spacing w:after="0"/>
              <w:rPr>
                <w:sz w:val="20"/>
                <w:szCs w:val="20"/>
                <w:color w:val="auto"/>
              </w:rPr>
            </w:pPr>
            <w:r>
              <w:rPr>
                <w:rFonts w:ascii="Arial" w:cs="Arial" w:eastAsia="Arial" w:hAnsi="Arial"/>
                <w:sz w:val="18"/>
                <w:szCs w:val="18"/>
                <w:b w:val="1"/>
                <w:bCs w:val="1"/>
                <w:color w:val="auto"/>
                <w:w w:val="94"/>
              </w:rPr>
              <w:t>Three Months Ended September 30,</w:t>
            </w:r>
          </w:p>
        </w:tc>
        <w:tc>
          <w:tcPr>
            <w:tcW w:w="2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43"/>
        </w:trPr>
        <w:tc>
          <w:tcPr>
            <w:tcW w:w="3720" w:type="dxa"/>
            <w:vAlign w:val="bottom"/>
          </w:tcPr>
          <w:p>
            <w:pPr>
              <w:ind w:left="880"/>
              <w:spacing w:after="0"/>
              <w:rPr>
                <w:sz w:val="20"/>
                <w:szCs w:val="20"/>
                <w:color w:val="auto"/>
              </w:rPr>
            </w:pPr>
            <w:r>
              <w:rPr>
                <w:rFonts w:ascii="Arial" w:cs="Arial" w:eastAsia="Arial" w:hAnsi="Arial"/>
                <w:sz w:val="18"/>
                <w:szCs w:val="18"/>
                <w:b w:val="1"/>
                <w:bCs w:val="1"/>
                <w:color w:val="auto"/>
              </w:rPr>
              <w:t>(Dollars in thousands)</w:t>
            </w:r>
          </w:p>
        </w:tc>
        <w:tc>
          <w:tcPr>
            <w:tcW w:w="240" w:type="dxa"/>
            <w:vAlign w:val="bottom"/>
            <w:tcBorders>
              <w:top w:val="single" w:sz="8" w:color="auto"/>
            </w:tcBorders>
          </w:tcPr>
          <w:p>
            <w:pPr>
              <w:spacing w:after="0"/>
              <w:rPr>
                <w:sz w:val="21"/>
                <w:szCs w:val="21"/>
                <w:color w:val="auto"/>
              </w:rPr>
            </w:pPr>
          </w:p>
        </w:tc>
        <w:tc>
          <w:tcPr>
            <w:tcW w:w="1280" w:type="dxa"/>
            <w:vAlign w:val="bottom"/>
            <w:tcBorders>
              <w:top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2023</w:t>
            </w:r>
          </w:p>
        </w:tc>
        <w:tc>
          <w:tcPr>
            <w:tcW w:w="380" w:type="dxa"/>
            <w:vAlign w:val="bottom"/>
            <w:tcBorders>
              <w:top w:val="single" w:sz="8" w:color="auto"/>
            </w:tcBorders>
          </w:tcPr>
          <w:p>
            <w:pPr>
              <w:spacing w:after="0"/>
              <w:rPr>
                <w:sz w:val="21"/>
                <w:szCs w:val="21"/>
                <w:color w:val="auto"/>
              </w:rPr>
            </w:pPr>
          </w:p>
        </w:tc>
        <w:tc>
          <w:tcPr>
            <w:tcW w:w="360" w:type="dxa"/>
            <w:vAlign w:val="bottom"/>
            <w:tcBorders>
              <w:top w:val="single" w:sz="8" w:color="auto"/>
            </w:tcBorders>
          </w:tcPr>
          <w:p>
            <w:pPr>
              <w:spacing w:after="0"/>
              <w:rPr>
                <w:sz w:val="21"/>
                <w:szCs w:val="21"/>
                <w:color w:val="auto"/>
              </w:rPr>
            </w:pPr>
          </w:p>
        </w:tc>
        <w:tc>
          <w:tcPr>
            <w:tcW w:w="1260" w:type="dxa"/>
            <w:vAlign w:val="bottom"/>
            <w:tcBorders>
              <w:top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2022</w:t>
            </w:r>
          </w:p>
        </w:tc>
        <w:tc>
          <w:tcPr>
            <w:tcW w:w="3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80" w:type="dxa"/>
            <w:vAlign w:val="bottom"/>
          </w:tcPr>
          <w:p>
            <w:pPr>
              <w:jc w:val="right"/>
              <w:ind w:right="310"/>
              <w:spacing w:after="0"/>
              <w:rPr>
                <w:sz w:val="20"/>
                <w:szCs w:val="20"/>
                <w:color w:val="auto"/>
              </w:rPr>
            </w:pPr>
            <w:r>
              <w:rPr>
                <w:rFonts w:ascii="Arial" w:cs="Arial" w:eastAsia="Arial" w:hAnsi="Arial"/>
                <w:sz w:val="18"/>
                <w:szCs w:val="18"/>
                <w:b w:val="1"/>
                <w:bCs w:val="1"/>
                <w:color w:val="auto"/>
              </w:rPr>
              <w:t>$ Change</w:t>
            </w:r>
          </w:p>
        </w:tc>
        <w:tc>
          <w:tcPr>
            <w:tcW w:w="360" w:type="dxa"/>
            <w:vAlign w:val="bottom"/>
          </w:tcPr>
          <w:p>
            <w:pPr>
              <w:spacing w:after="0"/>
              <w:rPr>
                <w:sz w:val="21"/>
                <w:szCs w:val="21"/>
                <w:color w:val="auto"/>
              </w:rPr>
            </w:pPr>
          </w:p>
        </w:tc>
        <w:tc>
          <w:tcPr>
            <w:tcW w:w="1780" w:type="dxa"/>
            <w:vAlign w:val="bottom"/>
            <w:gridSpan w:val="2"/>
          </w:tcPr>
          <w:p>
            <w:pPr>
              <w:jc w:val="right"/>
              <w:ind w:right="470"/>
              <w:spacing w:after="0"/>
              <w:rPr>
                <w:sz w:val="20"/>
                <w:szCs w:val="20"/>
                <w:color w:val="auto"/>
              </w:rPr>
            </w:pPr>
            <w:r>
              <w:rPr>
                <w:rFonts w:ascii="Arial" w:cs="Arial" w:eastAsia="Arial" w:hAnsi="Arial"/>
                <w:sz w:val="18"/>
                <w:szCs w:val="18"/>
                <w:b w:val="1"/>
                <w:bCs w:val="1"/>
                <w:color w:val="auto"/>
              </w:rPr>
              <w:t>% Change</w:t>
            </w:r>
          </w:p>
        </w:tc>
      </w:tr>
      <w:tr>
        <w:trPr>
          <w:trHeight w:val="224"/>
        </w:trPr>
        <w:tc>
          <w:tcPr>
            <w:tcW w:w="3720" w:type="dxa"/>
            <w:vAlign w:val="bottom"/>
          </w:tcPr>
          <w:p>
            <w:pPr>
              <w:ind w:left="20"/>
              <w:spacing w:after="0"/>
              <w:rPr>
                <w:sz w:val="20"/>
                <w:szCs w:val="20"/>
                <w:color w:val="auto"/>
              </w:rPr>
            </w:pPr>
            <w:r>
              <w:rPr>
                <w:rFonts w:ascii="Arial" w:cs="Arial" w:eastAsia="Arial" w:hAnsi="Arial"/>
                <w:sz w:val="18"/>
                <w:szCs w:val="18"/>
                <w:color w:val="auto"/>
              </w:rPr>
              <w:t>Other store operating expenses</w:t>
            </w:r>
          </w:p>
        </w:tc>
        <w:tc>
          <w:tcPr>
            <w:tcW w:w="2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90,514</w:t>
            </w:r>
          </w:p>
        </w:tc>
        <w:tc>
          <w:tcPr>
            <w:tcW w:w="380" w:type="dxa"/>
            <w:vAlign w:val="bottom"/>
          </w:tcPr>
          <w:p>
            <w:pPr>
              <w:spacing w:after="0"/>
              <w:rPr>
                <w:sz w:val="19"/>
                <w:szCs w:val="19"/>
                <w:color w:val="auto"/>
              </w:rPr>
            </w:pPr>
          </w:p>
        </w:tc>
        <w:tc>
          <w:tcPr>
            <w:tcW w:w="36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82,343</w:t>
            </w:r>
          </w:p>
        </w:tc>
        <w:tc>
          <w:tcPr>
            <w:tcW w:w="380" w:type="dxa"/>
            <w:vAlign w:val="bottom"/>
          </w:tcPr>
          <w:p>
            <w:pPr>
              <w:spacing w:after="0"/>
              <w:rPr>
                <w:sz w:val="19"/>
                <w:szCs w:val="19"/>
                <w:color w:val="auto"/>
              </w:rPr>
            </w:pPr>
          </w:p>
        </w:tc>
        <w:tc>
          <w:tcPr>
            <w:tcW w:w="2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8,171</w:t>
            </w:r>
          </w:p>
        </w:tc>
        <w:tc>
          <w:tcPr>
            <w:tcW w:w="360" w:type="dxa"/>
            <w:vAlign w:val="bottom"/>
          </w:tcPr>
          <w:p>
            <w:pPr>
              <w:spacing w:after="0"/>
              <w:rPr>
                <w:sz w:val="19"/>
                <w:szCs w:val="19"/>
                <w:color w:val="auto"/>
              </w:rPr>
            </w:pPr>
          </w:p>
        </w:tc>
        <w:tc>
          <w:tcPr>
            <w:tcW w:w="1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60" w:type="dxa"/>
            <w:vAlign w:val="bottom"/>
          </w:tcPr>
          <w:p>
            <w:pPr>
              <w:jc w:val="right"/>
              <w:spacing w:after="0"/>
              <w:rPr>
                <w:sz w:val="20"/>
                <w:szCs w:val="20"/>
                <w:color w:val="auto"/>
              </w:rPr>
            </w:pPr>
            <w:r>
              <w:rPr>
                <w:rFonts w:ascii="Arial" w:cs="Arial" w:eastAsia="Arial" w:hAnsi="Arial"/>
                <w:sz w:val="18"/>
                <w:szCs w:val="18"/>
                <w:color w:val="auto"/>
                <w:w w:val="87"/>
              </w:rPr>
              <w:t>%</w:t>
            </w:r>
          </w:p>
        </w:tc>
      </w:tr>
      <w:tr>
        <w:trPr>
          <w:trHeight w:val="242"/>
        </w:trPr>
        <w:tc>
          <w:tcPr>
            <w:tcW w:w="3720" w:type="dxa"/>
            <w:vAlign w:val="bottom"/>
          </w:tcPr>
          <w:p>
            <w:pPr>
              <w:ind w:left="20"/>
              <w:spacing w:after="0"/>
              <w:rPr>
                <w:sz w:val="20"/>
                <w:szCs w:val="20"/>
                <w:color w:val="auto"/>
              </w:rPr>
            </w:pPr>
            <w:r>
              <w:rPr>
                <w:rFonts w:ascii="Arial" w:cs="Arial" w:eastAsia="Arial" w:hAnsi="Arial"/>
                <w:sz w:val="18"/>
                <w:szCs w:val="18"/>
                <w:color w:val="auto"/>
              </w:rPr>
              <w:t>Percentage of net revenues</w:t>
            </w:r>
          </w:p>
        </w:tc>
        <w:tc>
          <w:tcPr>
            <w:tcW w:w="240" w:type="dxa"/>
            <w:vAlign w:val="bottom"/>
          </w:tcPr>
          <w:p>
            <w:pPr>
              <w:spacing w:after="0"/>
              <w:rPr>
                <w:sz w:val="21"/>
                <w:szCs w:val="21"/>
                <w:color w:val="auto"/>
              </w:rPr>
            </w:pPr>
          </w:p>
        </w:tc>
        <w:tc>
          <w:tcPr>
            <w:tcW w:w="1660" w:type="dxa"/>
            <w:vAlign w:val="bottom"/>
            <w:gridSpan w:val="2"/>
          </w:tcPr>
          <w:p>
            <w:pPr>
              <w:jc w:val="right"/>
              <w:ind w:right="220"/>
              <w:spacing w:after="0"/>
              <w:rPr>
                <w:sz w:val="20"/>
                <w:szCs w:val="20"/>
                <w:color w:val="auto"/>
              </w:rPr>
            </w:pPr>
            <w:r>
              <w:rPr>
                <w:rFonts w:ascii="Arial" w:cs="Arial" w:eastAsia="Arial" w:hAnsi="Arial"/>
                <w:sz w:val="18"/>
                <w:szCs w:val="18"/>
                <w:color w:val="auto"/>
              </w:rPr>
              <w:t>39 %</w:t>
            </w:r>
          </w:p>
        </w:tc>
        <w:tc>
          <w:tcPr>
            <w:tcW w:w="360" w:type="dxa"/>
            <w:vAlign w:val="bottom"/>
          </w:tcPr>
          <w:p>
            <w:pPr>
              <w:spacing w:after="0"/>
              <w:rPr>
                <w:sz w:val="21"/>
                <w:szCs w:val="21"/>
                <w:color w:val="auto"/>
              </w:rPr>
            </w:pPr>
          </w:p>
        </w:tc>
        <w:tc>
          <w:tcPr>
            <w:tcW w:w="1640" w:type="dxa"/>
            <w:vAlign w:val="bottom"/>
            <w:gridSpan w:val="2"/>
          </w:tcPr>
          <w:p>
            <w:pPr>
              <w:jc w:val="right"/>
              <w:ind w:right="220"/>
              <w:spacing w:after="0"/>
              <w:rPr>
                <w:sz w:val="20"/>
                <w:szCs w:val="20"/>
                <w:color w:val="auto"/>
              </w:rPr>
            </w:pPr>
            <w:r>
              <w:rPr>
                <w:rFonts w:ascii="Arial" w:cs="Arial" w:eastAsia="Arial" w:hAnsi="Arial"/>
                <w:sz w:val="18"/>
                <w:szCs w:val="18"/>
                <w:color w:val="auto"/>
              </w:rPr>
              <w:t>38 %</w:t>
            </w:r>
          </w:p>
        </w:tc>
        <w:tc>
          <w:tcPr>
            <w:tcW w:w="26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160" w:type="dxa"/>
            <w:vAlign w:val="bottom"/>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-299085</wp:posOffset>
            </wp:positionV>
            <wp:extent cx="7132320" cy="15430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22" w:lineRule="exact"/>
        <w:rPr>
          <w:sz w:val="20"/>
          <w:szCs w:val="20"/>
          <w:color w:val="auto"/>
        </w:rPr>
      </w:pPr>
    </w:p>
    <w:p>
      <w:pPr>
        <w:ind w:right="180" w:firstLine="509"/>
        <w:spacing w:after="0" w:line="341" w:lineRule="auto"/>
        <w:rPr>
          <w:sz w:val="20"/>
          <w:szCs w:val="20"/>
          <w:color w:val="auto"/>
        </w:rPr>
      </w:pPr>
      <w:r>
        <w:rPr>
          <w:rFonts w:ascii="Arial" w:cs="Arial" w:eastAsia="Arial" w:hAnsi="Arial"/>
          <w:sz w:val="16"/>
          <w:szCs w:val="16"/>
          <w:color w:val="auto"/>
        </w:rPr>
        <w:t>The increase in other store operating expenses was attributable to the year-over-year addition of 42 locations and some inflationary pressures on our utilities and maintenance expenses. Rent expense increased approximately $3.8 million primarily due to the addition of 50 new car wash leases.</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w:t>
      </w:r>
    </w:p>
    <w:p>
      <w:pPr>
        <w:spacing w:after="0" w:line="225"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40"/>
          </w:cols>
          <w:pgMar w:left="320" w:top="350" w:right="239" w:bottom="1440" w:gutter="0" w:footer="0" w:header="0"/>
        </w:sectPr>
      </w:pPr>
    </w:p>
    <w:bookmarkStart w:id="27" w:name="page28"/>
    <w:bookmarkEnd w:id="27"/>
    <w:tbl>
      <w:tblPr>
        <w:tblLayout w:type="fixed"/>
        <w:tblInd w:w="0" w:type="dxa"/>
        <w:tblCellMar>
          <w:top w:w="0" w:type="dxa"/>
          <w:left w:w="0" w:type="dxa"/>
          <w:bottom w:w="0" w:type="dxa"/>
          <w:right w:w="0" w:type="dxa"/>
        </w:tblCellMar>
      </w:tblPr>
      <w:tr>
        <w:trPr>
          <w:trHeight w:val="241"/>
        </w:trPr>
        <w:tc>
          <w:tcPr>
            <w:tcW w:w="37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620" w:type="dxa"/>
            <w:vAlign w:val="bottom"/>
            <w:gridSpan w:val="5"/>
          </w:tcPr>
          <w:p>
            <w:pPr>
              <w:jc w:val="right"/>
              <w:ind w:right="720"/>
              <w:spacing w:after="0"/>
              <w:rPr>
                <w:sz w:val="20"/>
                <w:szCs w:val="20"/>
                <w:color w:val="auto"/>
              </w:rPr>
            </w:pPr>
            <w:r>
              <w:rPr>
                <w:rFonts w:ascii="Arial" w:cs="Arial" w:eastAsia="Arial" w:hAnsi="Arial"/>
                <w:sz w:val="18"/>
                <w:szCs w:val="18"/>
                <w:b w:val="1"/>
                <w:bCs w:val="1"/>
                <w:color w:val="auto"/>
                <w:w w:val="94"/>
              </w:rPr>
              <w:t>Three Months Ended September 30,</w:t>
            </w:r>
          </w:p>
        </w:tc>
        <w:tc>
          <w:tcPr>
            <w:tcW w:w="2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243"/>
        </w:trPr>
        <w:tc>
          <w:tcPr>
            <w:tcW w:w="3700" w:type="dxa"/>
            <w:vAlign w:val="bottom"/>
          </w:tcPr>
          <w:p>
            <w:pPr>
              <w:ind w:left="880"/>
              <w:spacing w:after="0"/>
              <w:rPr>
                <w:sz w:val="20"/>
                <w:szCs w:val="20"/>
                <w:color w:val="auto"/>
              </w:rPr>
            </w:pPr>
            <w:r>
              <w:rPr>
                <w:rFonts w:ascii="Arial" w:cs="Arial" w:eastAsia="Arial" w:hAnsi="Arial"/>
                <w:sz w:val="18"/>
                <w:szCs w:val="18"/>
                <w:b w:val="1"/>
                <w:bCs w:val="1"/>
                <w:color w:val="auto"/>
              </w:rPr>
              <w:t>(Dollars in thousands)</w:t>
            </w:r>
          </w:p>
        </w:tc>
        <w:tc>
          <w:tcPr>
            <w:tcW w:w="240" w:type="dxa"/>
            <w:vAlign w:val="bottom"/>
            <w:tcBorders>
              <w:top w:val="single" w:sz="8" w:color="auto"/>
            </w:tcBorders>
          </w:tcPr>
          <w:p>
            <w:pPr>
              <w:spacing w:after="0"/>
              <w:rPr>
                <w:sz w:val="21"/>
                <w:szCs w:val="21"/>
                <w:color w:val="auto"/>
              </w:rPr>
            </w:pPr>
          </w:p>
        </w:tc>
        <w:tc>
          <w:tcPr>
            <w:tcW w:w="1280" w:type="dxa"/>
            <w:vAlign w:val="bottom"/>
            <w:tcBorders>
              <w:top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2023</w:t>
            </w:r>
          </w:p>
        </w:tc>
        <w:tc>
          <w:tcPr>
            <w:tcW w:w="380" w:type="dxa"/>
            <w:vAlign w:val="bottom"/>
            <w:tcBorders>
              <w:top w:val="single" w:sz="8" w:color="auto"/>
            </w:tcBorders>
          </w:tcPr>
          <w:p>
            <w:pPr>
              <w:spacing w:after="0"/>
              <w:rPr>
                <w:sz w:val="21"/>
                <w:szCs w:val="21"/>
                <w:color w:val="auto"/>
              </w:rPr>
            </w:pPr>
          </w:p>
        </w:tc>
        <w:tc>
          <w:tcPr>
            <w:tcW w:w="360" w:type="dxa"/>
            <w:vAlign w:val="bottom"/>
            <w:tcBorders>
              <w:top w:val="single" w:sz="8" w:color="auto"/>
            </w:tcBorders>
          </w:tcPr>
          <w:p>
            <w:pPr>
              <w:spacing w:after="0"/>
              <w:rPr>
                <w:sz w:val="21"/>
                <w:szCs w:val="21"/>
                <w:color w:val="auto"/>
              </w:rPr>
            </w:pPr>
          </w:p>
        </w:tc>
        <w:tc>
          <w:tcPr>
            <w:tcW w:w="1240" w:type="dxa"/>
            <w:vAlign w:val="bottom"/>
            <w:tcBorders>
              <w:top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2022</w:t>
            </w:r>
          </w:p>
        </w:tc>
        <w:tc>
          <w:tcPr>
            <w:tcW w:w="3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ind w:right="350"/>
              <w:spacing w:after="0"/>
              <w:rPr>
                <w:sz w:val="20"/>
                <w:szCs w:val="20"/>
                <w:color w:val="auto"/>
              </w:rPr>
            </w:pPr>
            <w:r>
              <w:rPr>
                <w:rFonts w:ascii="Arial" w:cs="Arial" w:eastAsia="Arial" w:hAnsi="Arial"/>
                <w:sz w:val="18"/>
                <w:szCs w:val="18"/>
                <w:b w:val="1"/>
                <w:bCs w:val="1"/>
                <w:color w:val="auto"/>
              </w:rPr>
              <w:t>$ Change</w:t>
            </w:r>
          </w:p>
        </w:tc>
        <w:tc>
          <w:tcPr>
            <w:tcW w:w="300" w:type="dxa"/>
            <w:vAlign w:val="bottom"/>
          </w:tcPr>
          <w:p>
            <w:pPr>
              <w:spacing w:after="0"/>
              <w:rPr>
                <w:sz w:val="21"/>
                <w:szCs w:val="21"/>
                <w:color w:val="auto"/>
              </w:rPr>
            </w:pPr>
          </w:p>
        </w:tc>
        <w:tc>
          <w:tcPr>
            <w:tcW w:w="1840" w:type="dxa"/>
            <w:vAlign w:val="bottom"/>
            <w:gridSpan w:val="2"/>
          </w:tcPr>
          <w:p>
            <w:pPr>
              <w:jc w:val="right"/>
              <w:ind w:right="510"/>
              <w:spacing w:after="0"/>
              <w:rPr>
                <w:sz w:val="20"/>
                <w:szCs w:val="20"/>
                <w:color w:val="auto"/>
              </w:rPr>
            </w:pPr>
            <w:r>
              <w:rPr>
                <w:rFonts w:ascii="Arial" w:cs="Arial" w:eastAsia="Arial" w:hAnsi="Arial"/>
                <w:sz w:val="18"/>
                <w:szCs w:val="18"/>
                <w:b w:val="1"/>
                <w:bCs w:val="1"/>
                <w:color w:val="auto"/>
              </w:rPr>
              <w:t>% Change</w:t>
            </w:r>
          </w:p>
        </w:tc>
      </w:tr>
      <w:tr>
        <w:trPr>
          <w:trHeight w:val="224"/>
        </w:trPr>
        <w:tc>
          <w:tcPr>
            <w:tcW w:w="3700" w:type="dxa"/>
            <w:vAlign w:val="bottom"/>
          </w:tcPr>
          <w:p>
            <w:pPr>
              <w:ind w:left="20"/>
              <w:spacing w:after="0"/>
              <w:rPr>
                <w:sz w:val="20"/>
                <w:szCs w:val="20"/>
                <w:color w:val="auto"/>
              </w:rPr>
            </w:pPr>
            <w:r>
              <w:rPr>
                <w:rFonts w:ascii="Arial" w:cs="Arial" w:eastAsia="Arial" w:hAnsi="Arial"/>
                <w:sz w:val="18"/>
                <w:szCs w:val="18"/>
                <w:color w:val="auto"/>
              </w:rPr>
              <w:t>General and administrative</w:t>
            </w:r>
          </w:p>
        </w:tc>
        <w:tc>
          <w:tcPr>
            <w:tcW w:w="2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26,426</w:t>
            </w:r>
          </w:p>
        </w:tc>
        <w:tc>
          <w:tcPr>
            <w:tcW w:w="380" w:type="dxa"/>
            <w:vAlign w:val="bottom"/>
          </w:tcPr>
          <w:p>
            <w:pPr>
              <w:spacing w:after="0"/>
              <w:rPr>
                <w:sz w:val="19"/>
                <w:szCs w:val="19"/>
                <w:color w:val="auto"/>
              </w:rPr>
            </w:pPr>
          </w:p>
        </w:tc>
        <w:tc>
          <w:tcPr>
            <w:tcW w:w="36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24,743</w:t>
            </w:r>
          </w:p>
        </w:tc>
        <w:tc>
          <w:tcPr>
            <w:tcW w:w="360" w:type="dxa"/>
            <w:vAlign w:val="bottom"/>
          </w:tcPr>
          <w:p>
            <w:pPr>
              <w:spacing w:after="0"/>
              <w:rPr>
                <w:sz w:val="19"/>
                <w:szCs w:val="19"/>
                <w:color w:val="auto"/>
              </w:rPr>
            </w:pPr>
          </w:p>
        </w:tc>
        <w:tc>
          <w:tcPr>
            <w:tcW w:w="2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1,683</w:t>
            </w:r>
          </w:p>
        </w:tc>
        <w:tc>
          <w:tcPr>
            <w:tcW w:w="300" w:type="dxa"/>
            <w:vAlign w:val="bottom"/>
          </w:tcPr>
          <w:p>
            <w:pPr>
              <w:spacing w:after="0"/>
              <w:rPr>
                <w:sz w:val="19"/>
                <w:szCs w:val="19"/>
                <w:color w:val="auto"/>
              </w:rPr>
            </w:pPr>
          </w:p>
        </w:tc>
        <w:tc>
          <w:tcPr>
            <w:tcW w:w="1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160" w:type="dxa"/>
            <w:vAlign w:val="bottom"/>
          </w:tcPr>
          <w:p>
            <w:pPr>
              <w:jc w:val="right"/>
              <w:spacing w:after="0"/>
              <w:rPr>
                <w:sz w:val="20"/>
                <w:szCs w:val="20"/>
                <w:color w:val="auto"/>
              </w:rPr>
            </w:pPr>
            <w:r>
              <w:rPr>
                <w:rFonts w:ascii="Arial" w:cs="Arial" w:eastAsia="Arial" w:hAnsi="Arial"/>
                <w:sz w:val="18"/>
                <w:szCs w:val="18"/>
                <w:color w:val="auto"/>
                <w:w w:val="87"/>
              </w:rPr>
              <w:t>%</w:t>
            </w:r>
          </w:p>
        </w:tc>
      </w:tr>
      <w:tr>
        <w:trPr>
          <w:trHeight w:val="242"/>
        </w:trPr>
        <w:tc>
          <w:tcPr>
            <w:tcW w:w="3700" w:type="dxa"/>
            <w:vAlign w:val="bottom"/>
          </w:tcPr>
          <w:p>
            <w:pPr>
              <w:ind w:left="20"/>
              <w:spacing w:after="0"/>
              <w:rPr>
                <w:sz w:val="20"/>
                <w:szCs w:val="20"/>
                <w:color w:val="auto"/>
              </w:rPr>
            </w:pPr>
            <w:r>
              <w:rPr>
                <w:rFonts w:ascii="Arial" w:cs="Arial" w:eastAsia="Arial" w:hAnsi="Arial"/>
                <w:sz w:val="18"/>
                <w:szCs w:val="18"/>
                <w:color w:val="auto"/>
              </w:rPr>
              <w:t>Percentage of net revenues</w:t>
            </w:r>
          </w:p>
        </w:tc>
        <w:tc>
          <w:tcPr>
            <w:tcW w:w="240" w:type="dxa"/>
            <w:vAlign w:val="bottom"/>
          </w:tcPr>
          <w:p>
            <w:pPr>
              <w:spacing w:after="0"/>
              <w:rPr>
                <w:sz w:val="21"/>
                <w:szCs w:val="21"/>
                <w:color w:val="auto"/>
              </w:rPr>
            </w:pPr>
          </w:p>
        </w:tc>
        <w:tc>
          <w:tcPr>
            <w:tcW w:w="1660" w:type="dxa"/>
            <w:vAlign w:val="bottom"/>
            <w:gridSpan w:val="2"/>
          </w:tcPr>
          <w:p>
            <w:pPr>
              <w:jc w:val="right"/>
              <w:ind w:right="220"/>
              <w:spacing w:after="0"/>
              <w:rPr>
                <w:sz w:val="20"/>
                <w:szCs w:val="20"/>
                <w:color w:val="auto"/>
              </w:rPr>
            </w:pPr>
            <w:r>
              <w:rPr>
                <w:rFonts w:ascii="Arial" w:cs="Arial" w:eastAsia="Arial" w:hAnsi="Arial"/>
                <w:sz w:val="18"/>
                <w:szCs w:val="18"/>
                <w:color w:val="auto"/>
              </w:rPr>
              <w:t>11 %</w:t>
            </w:r>
          </w:p>
        </w:tc>
        <w:tc>
          <w:tcPr>
            <w:tcW w:w="360" w:type="dxa"/>
            <w:vAlign w:val="bottom"/>
          </w:tcPr>
          <w:p>
            <w:pPr>
              <w:spacing w:after="0"/>
              <w:rPr>
                <w:sz w:val="21"/>
                <w:szCs w:val="21"/>
                <w:color w:val="auto"/>
              </w:rPr>
            </w:pPr>
          </w:p>
        </w:tc>
        <w:tc>
          <w:tcPr>
            <w:tcW w:w="1600" w:type="dxa"/>
            <w:vAlign w:val="bottom"/>
            <w:gridSpan w:val="2"/>
          </w:tcPr>
          <w:p>
            <w:pPr>
              <w:jc w:val="right"/>
              <w:ind w:right="180"/>
              <w:spacing w:after="0"/>
              <w:rPr>
                <w:sz w:val="20"/>
                <w:szCs w:val="20"/>
                <w:color w:val="auto"/>
              </w:rPr>
            </w:pPr>
            <w:r>
              <w:rPr>
                <w:rFonts w:ascii="Arial" w:cs="Arial" w:eastAsia="Arial" w:hAnsi="Arial"/>
                <w:sz w:val="18"/>
                <w:szCs w:val="18"/>
                <w:color w:val="auto"/>
              </w:rPr>
              <w:t>11 %</w:t>
            </w:r>
          </w:p>
        </w:tc>
        <w:tc>
          <w:tcPr>
            <w:tcW w:w="2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160" w:type="dxa"/>
            <w:vAlign w:val="bottom"/>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-299085</wp:posOffset>
            </wp:positionV>
            <wp:extent cx="7132320" cy="15430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22" w:lineRule="exact"/>
        <w:rPr>
          <w:sz w:val="20"/>
          <w:szCs w:val="20"/>
          <w:color w:val="auto"/>
        </w:rPr>
      </w:pPr>
    </w:p>
    <w:p>
      <w:pPr>
        <w:ind w:right="180" w:firstLine="509"/>
        <w:spacing w:after="0" w:line="256" w:lineRule="auto"/>
        <w:rPr>
          <w:sz w:val="20"/>
          <w:szCs w:val="20"/>
          <w:color w:val="auto"/>
        </w:rPr>
      </w:pPr>
      <w:r>
        <w:rPr>
          <w:rFonts w:ascii="Arial" w:cs="Arial" w:eastAsia="Arial" w:hAnsi="Arial"/>
          <w:sz w:val="18"/>
          <w:szCs w:val="18"/>
          <w:color w:val="auto"/>
        </w:rPr>
        <w:t>The increase in general and administrative expenses was primarily driven by an increase of approximately $1.3 million in salaries and benefits, an increase of approximately $1.0 million in stock-based compensation expenses, and an increase of approximately $0.3 million in marketing expenses to support a new product offering, partially offset by a decrease of approximately $0.6 million in corporate insurances and a decrease of approximately $0.4 million in acquisition and new build expenses. As a percentage of net revenues, general and administrative expenses for the three months ended September 30, 2023 remained consistent to the prior year period.</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740" w:type="dxa"/>
            <w:vAlign w:val="bottom"/>
          </w:tcPr>
          <w:p>
            <w:pPr>
              <w:spacing w:after="0"/>
              <w:rPr>
                <w:sz w:val="20"/>
                <w:szCs w:val="20"/>
                <w:color w:val="auto"/>
              </w:rPr>
            </w:pPr>
            <w:r>
              <w:rPr>
                <w:rFonts w:ascii="Arial" w:cs="Arial" w:eastAsia="Arial" w:hAnsi="Arial"/>
                <w:sz w:val="18"/>
                <w:szCs w:val="18"/>
                <w:b w:val="1"/>
                <w:bCs w:val="1"/>
                <w:i w:val="1"/>
                <w:iCs w:val="1"/>
                <w:color w:val="auto"/>
              </w:rPr>
              <w:t>(Gain) loss on Sale of Assets, Net</w:t>
            </w:r>
          </w:p>
        </w:tc>
        <w:tc>
          <w:tcPr>
            <w:tcW w:w="10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200" w:type="dxa"/>
            <w:vAlign w:val="bottom"/>
          </w:tcPr>
          <w:p>
            <w:pPr>
              <w:spacing w:after="0"/>
              <w:rPr>
                <w:sz w:val="20"/>
                <w:szCs w:val="20"/>
                <w:color w:val="auto"/>
              </w:rPr>
            </w:pPr>
          </w:p>
        </w:tc>
      </w:tr>
      <w:tr>
        <w:trPr>
          <w:trHeight w:val="479"/>
        </w:trPr>
        <w:tc>
          <w:tcPr>
            <w:tcW w:w="3740" w:type="dxa"/>
            <w:vAlign w:val="bottom"/>
          </w:tcPr>
          <w:p>
            <w:pPr>
              <w:spacing w:after="0"/>
              <w:rPr>
                <w:sz w:val="24"/>
                <w:szCs w:val="24"/>
                <w:color w:val="auto"/>
              </w:rPr>
            </w:pPr>
          </w:p>
        </w:tc>
        <w:tc>
          <w:tcPr>
            <w:tcW w:w="316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Three Months Ended September 30,</w:t>
            </w:r>
          </w:p>
        </w:tc>
        <w:tc>
          <w:tcPr>
            <w:tcW w:w="360" w:type="dxa"/>
            <w:vAlign w:val="bottom"/>
            <w:tcBorders>
              <w:bottom w:val="single" w:sz="8" w:color="auto"/>
            </w:tcBorders>
          </w:tcPr>
          <w:p>
            <w:pPr>
              <w:spacing w:after="0"/>
              <w:rPr>
                <w:sz w:val="24"/>
                <w:szCs w:val="24"/>
                <w:color w:val="auto"/>
              </w:rPr>
            </w:pP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243"/>
        </w:trPr>
        <w:tc>
          <w:tcPr>
            <w:tcW w:w="3740" w:type="dxa"/>
            <w:vAlign w:val="bottom"/>
          </w:tcPr>
          <w:p>
            <w:pPr>
              <w:ind w:left="900"/>
              <w:spacing w:after="0"/>
              <w:rPr>
                <w:sz w:val="20"/>
                <w:szCs w:val="20"/>
                <w:color w:val="auto"/>
              </w:rPr>
            </w:pPr>
            <w:r>
              <w:rPr>
                <w:rFonts w:ascii="Arial" w:cs="Arial" w:eastAsia="Arial" w:hAnsi="Arial"/>
                <w:sz w:val="18"/>
                <w:szCs w:val="18"/>
                <w:b w:val="1"/>
                <w:bCs w:val="1"/>
                <w:color w:val="auto"/>
              </w:rPr>
              <w:t>(Dollars in thousands)</w:t>
            </w: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2023</w:t>
            </w:r>
          </w:p>
        </w:tc>
        <w:tc>
          <w:tcPr>
            <w:tcW w:w="5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60" w:type="dxa"/>
            <w:vAlign w:val="bottom"/>
          </w:tcPr>
          <w:p>
            <w:pPr>
              <w:jc w:val="right"/>
              <w:ind w:right="190"/>
              <w:spacing w:after="0"/>
              <w:rPr>
                <w:sz w:val="20"/>
                <w:szCs w:val="20"/>
                <w:color w:val="auto"/>
              </w:rPr>
            </w:pPr>
            <w:r>
              <w:rPr>
                <w:rFonts w:ascii="Arial" w:cs="Arial" w:eastAsia="Arial" w:hAnsi="Arial"/>
                <w:sz w:val="18"/>
                <w:szCs w:val="18"/>
                <w:b w:val="1"/>
                <w:bCs w:val="1"/>
                <w:color w:val="auto"/>
              </w:rPr>
              <w:t>2022</w:t>
            </w:r>
          </w:p>
        </w:tc>
        <w:tc>
          <w:tcPr>
            <w:tcW w:w="3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00" w:type="dxa"/>
            <w:vAlign w:val="bottom"/>
          </w:tcPr>
          <w:p>
            <w:pPr>
              <w:jc w:val="right"/>
              <w:ind w:right="330"/>
              <w:spacing w:after="0"/>
              <w:rPr>
                <w:sz w:val="20"/>
                <w:szCs w:val="20"/>
                <w:color w:val="auto"/>
              </w:rPr>
            </w:pPr>
            <w:r>
              <w:rPr>
                <w:rFonts w:ascii="Arial" w:cs="Arial" w:eastAsia="Arial" w:hAnsi="Arial"/>
                <w:sz w:val="18"/>
                <w:szCs w:val="18"/>
                <w:b w:val="1"/>
                <w:bCs w:val="1"/>
                <w:color w:val="auto"/>
              </w:rPr>
              <w:t>$ Change</w:t>
            </w:r>
          </w:p>
        </w:tc>
        <w:tc>
          <w:tcPr>
            <w:tcW w:w="280" w:type="dxa"/>
            <w:vAlign w:val="bottom"/>
          </w:tcPr>
          <w:p>
            <w:pPr>
              <w:spacing w:after="0"/>
              <w:rPr>
                <w:sz w:val="21"/>
                <w:szCs w:val="21"/>
                <w:color w:val="auto"/>
              </w:rPr>
            </w:pPr>
          </w:p>
        </w:tc>
        <w:tc>
          <w:tcPr>
            <w:tcW w:w="1820" w:type="dxa"/>
            <w:vAlign w:val="bottom"/>
            <w:gridSpan w:val="2"/>
          </w:tcPr>
          <w:p>
            <w:pPr>
              <w:jc w:val="right"/>
              <w:ind w:right="510"/>
              <w:spacing w:after="0"/>
              <w:rPr>
                <w:sz w:val="20"/>
                <w:szCs w:val="20"/>
                <w:color w:val="auto"/>
              </w:rPr>
            </w:pPr>
            <w:r>
              <w:rPr>
                <w:rFonts w:ascii="Arial" w:cs="Arial" w:eastAsia="Arial" w:hAnsi="Arial"/>
                <w:sz w:val="18"/>
                <w:szCs w:val="18"/>
                <w:b w:val="1"/>
                <w:bCs w:val="1"/>
                <w:color w:val="auto"/>
              </w:rPr>
              <w:t>% Change</w:t>
            </w:r>
          </w:p>
        </w:tc>
      </w:tr>
      <w:tr>
        <w:trPr>
          <w:trHeight w:val="224"/>
        </w:trPr>
        <w:tc>
          <w:tcPr>
            <w:tcW w:w="3740" w:type="dxa"/>
            <w:vAlign w:val="bottom"/>
          </w:tcPr>
          <w:p>
            <w:pPr>
              <w:ind w:left="20"/>
              <w:spacing w:after="0"/>
              <w:rPr>
                <w:sz w:val="20"/>
                <w:szCs w:val="20"/>
                <w:color w:val="auto"/>
              </w:rPr>
            </w:pPr>
            <w:r>
              <w:rPr>
                <w:rFonts w:ascii="Arial" w:cs="Arial" w:eastAsia="Arial" w:hAnsi="Arial"/>
                <w:sz w:val="18"/>
                <w:szCs w:val="18"/>
                <w:color w:val="auto"/>
              </w:rPr>
              <w:t>(Gain) loss on sale of assets, net</w:t>
            </w:r>
          </w:p>
        </w:tc>
        <w:tc>
          <w:tcPr>
            <w:tcW w:w="1040" w:type="dxa"/>
            <w:vAlign w:val="bottom"/>
            <w:tcBorders>
              <w:top w:val="single" w:sz="8" w:color="auto"/>
            </w:tcBorders>
          </w:tcPr>
          <w:p>
            <w:pPr>
              <w:jc w:val="right"/>
              <w:ind w:right="850"/>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1,321</w:t>
            </w:r>
          </w:p>
        </w:tc>
        <w:tc>
          <w:tcPr>
            <w:tcW w:w="360" w:type="dxa"/>
            <w:vAlign w:val="bottom"/>
          </w:tcPr>
          <w:p>
            <w:pPr>
              <w:spacing w:after="0"/>
              <w:rPr>
                <w:sz w:val="19"/>
                <w:szCs w:val="19"/>
                <w:color w:val="auto"/>
              </w:rPr>
            </w:pPr>
          </w:p>
        </w:tc>
        <w:tc>
          <w:tcPr>
            <w:tcW w:w="1260" w:type="dxa"/>
            <w:vAlign w:val="bottom"/>
            <w:tcBorders>
              <w:top w:val="single" w:sz="8" w:color="auto"/>
            </w:tcBorders>
          </w:tcPr>
          <w:p>
            <w:pPr>
              <w:jc w:val="right"/>
              <w:ind w:right="1070"/>
              <w:spacing w:after="0"/>
              <w:rPr>
                <w:sz w:val="20"/>
                <w:szCs w:val="20"/>
                <w:color w:val="auto"/>
              </w:rPr>
            </w:pPr>
            <w:r>
              <w:rPr>
                <w:rFonts w:ascii="Arial" w:cs="Arial" w:eastAsia="Arial" w:hAnsi="Arial"/>
                <w:sz w:val="18"/>
                <w:szCs w:val="18"/>
                <w:color w:val="auto"/>
                <w:w w:val="79"/>
              </w:rPr>
              <w:t>$</w:t>
            </w:r>
          </w:p>
        </w:tc>
        <w:tc>
          <w:tcPr>
            <w:tcW w:w="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8"/>
              </w:rPr>
              <w:t>(649</w:t>
            </w:r>
          </w:p>
        </w:tc>
        <w:tc>
          <w:tcPr>
            <w:tcW w:w="44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2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1,970</w:t>
            </w:r>
          </w:p>
        </w:tc>
        <w:tc>
          <w:tcPr>
            <w:tcW w:w="280" w:type="dxa"/>
            <w:vAlign w:val="bottom"/>
          </w:tcPr>
          <w:p>
            <w:pPr>
              <w:spacing w:after="0"/>
              <w:rPr>
                <w:sz w:val="19"/>
                <w:szCs w:val="19"/>
                <w:color w:val="auto"/>
              </w:rPr>
            </w:pPr>
          </w:p>
        </w:tc>
        <w:tc>
          <w:tcPr>
            <w:tcW w:w="1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(304</w:t>
            </w:r>
          </w:p>
        </w:tc>
        <w:tc>
          <w:tcPr>
            <w:tcW w:w="200" w:type="dxa"/>
            <w:vAlign w:val="bottom"/>
          </w:tcPr>
          <w:p>
            <w:pPr>
              <w:jc w:val="right"/>
              <w:spacing w:after="0"/>
              <w:rPr>
                <w:sz w:val="20"/>
                <w:szCs w:val="20"/>
                <w:color w:val="auto"/>
              </w:rPr>
            </w:pPr>
            <w:r>
              <w:rPr>
                <w:rFonts w:ascii="Arial" w:cs="Arial" w:eastAsia="Arial" w:hAnsi="Arial"/>
                <w:sz w:val="18"/>
                <w:szCs w:val="18"/>
                <w:color w:val="auto"/>
                <w:w w:val="81"/>
              </w:rPr>
              <w:t>)%</w:t>
            </w:r>
          </w:p>
        </w:tc>
      </w:tr>
      <w:tr>
        <w:trPr>
          <w:trHeight w:val="242"/>
        </w:trPr>
        <w:tc>
          <w:tcPr>
            <w:tcW w:w="3740" w:type="dxa"/>
            <w:vAlign w:val="bottom"/>
          </w:tcPr>
          <w:p>
            <w:pPr>
              <w:ind w:left="20"/>
              <w:spacing w:after="0"/>
              <w:rPr>
                <w:sz w:val="20"/>
                <w:szCs w:val="20"/>
                <w:color w:val="auto"/>
              </w:rPr>
            </w:pPr>
            <w:r>
              <w:rPr>
                <w:rFonts w:ascii="Arial" w:cs="Arial" w:eastAsia="Arial" w:hAnsi="Arial"/>
                <w:sz w:val="18"/>
                <w:szCs w:val="18"/>
                <w:color w:val="auto"/>
              </w:rPr>
              <w:t>Percentage of net revenues</w:t>
            </w:r>
          </w:p>
        </w:tc>
        <w:tc>
          <w:tcPr>
            <w:tcW w:w="1040" w:type="dxa"/>
            <w:vAlign w:val="bottom"/>
          </w:tcPr>
          <w:p>
            <w:pPr>
              <w:spacing w:after="0"/>
              <w:rPr>
                <w:sz w:val="21"/>
                <w:szCs w:val="21"/>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1 %</w:t>
            </w:r>
          </w:p>
        </w:tc>
        <w:tc>
          <w:tcPr>
            <w:tcW w:w="1260" w:type="dxa"/>
            <w:vAlign w:val="bottom"/>
          </w:tcPr>
          <w:p>
            <w:pPr>
              <w:spacing w:after="0"/>
              <w:rPr>
                <w:sz w:val="21"/>
                <w:szCs w:val="21"/>
                <w:color w:val="auto"/>
              </w:rPr>
            </w:pPr>
          </w:p>
        </w:tc>
        <w:tc>
          <w:tcPr>
            <w:tcW w:w="800" w:type="dxa"/>
            <w:vAlign w:val="bottom"/>
            <w:gridSpan w:val="2"/>
          </w:tcPr>
          <w:p>
            <w:pPr>
              <w:jc w:val="right"/>
              <w:ind w:right="130"/>
              <w:spacing w:after="0"/>
              <w:rPr>
                <w:sz w:val="20"/>
                <w:szCs w:val="20"/>
                <w:color w:val="auto"/>
              </w:rPr>
            </w:pPr>
            <w:r>
              <w:rPr>
                <w:rFonts w:ascii="Arial" w:cs="Arial" w:eastAsia="Arial" w:hAnsi="Arial"/>
                <w:sz w:val="18"/>
                <w:szCs w:val="18"/>
                <w:color w:val="auto"/>
              </w:rPr>
              <w:t>(0 )%</w:t>
            </w:r>
          </w:p>
        </w:tc>
        <w:tc>
          <w:tcPr>
            <w:tcW w:w="24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200" w:type="dxa"/>
            <w:vAlign w:val="bottom"/>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-299085</wp:posOffset>
            </wp:positionV>
            <wp:extent cx="7132320" cy="15430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95"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 change in (gain) loss on sale of assets, net was primarily driven by losses associated with our sale-leaseback transactions in the current year.</w:t>
      </w:r>
    </w:p>
    <w:p>
      <w:pPr>
        <w:spacing w:after="0" w:line="35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40" w:type="dxa"/>
            <w:vAlign w:val="bottom"/>
          </w:tcPr>
          <w:p>
            <w:pPr>
              <w:spacing w:after="0"/>
              <w:rPr>
                <w:sz w:val="20"/>
                <w:szCs w:val="20"/>
                <w:color w:val="auto"/>
              </w:rPr>
            </w:pPr>
            <w:r>
              <w:rPr>
                <w:rFonts w:ascii="Arial" w:cs="Arial" w:eastAsia="Arial" w:hAnsi="Arial"/>
                <w:sz w:val="18"/>
                <w:szCs w:val="18"/>
                <w:b w:val="1"/>
                <w:bCs w:val="1"/>
                <w:i w:val="1"/>
                <w:iCs w:val="1"/>
                <w:color w:val="auto"/>
              </w:rPr>
              <w:t>Other Expense</w:t>
            </w:r>
          </w:p>
        </w:tc>
        <w:tc>
          <w:tcPr>
            <w:tcW w:w="2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479"/>
        </w:trPr>
        <w:tc>
          <w:tcPr>
            <w:tcW w:w="3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580" w:type="dxa"/>
            <w:vAlign w:val="bottom"/>
            <w:gridSpan w:val="5"/>
          </w:tcPr>
          <w:p>
            <w:pPr>
              <w:jc w:val="right"/>
              <w:ind w:right="680"/>
              <w:spacing w:after="0"/>
              <w:rPr>
                <w:sz w:val="20"/>
                <w:szCs w:val="20"/>
                <w:color w:val="auto"/>
              </w:rPr>
            </w:pPr>
            <w:r>
              <w:rPr>
                <w:rFonts w:ascii="Arial" w:cs="Arial" w:eastAsia="Arial" w:hAnsi="Arial"/>
                <w:sz w:val="18"/>
                <w:szCs w:val="18"/>
                <w:b w:val="1"/>
                <w:bCs w:val="1"/>
                <w:color w:val="auto"/>
                <w:w w:val="94"/>
              </w:rPr>
              <w:t>Three Months Ended September 30,</w:t>
            </w:r>
          </w:p>
        </w:tc>
        <w:tc>
          <w:tcPr>
            <w:tcW w:w="2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43"/>
        </w:trPr>
        <w:tc>
          <w:tcPr>
            <w:tcW w:w="3640" w:type="dxa"/>
            <w:vAlign w:val="bottom"/>
          </w:tcPr>
          <w:p>
            <w:pPr>
              <w:ind w:left="860"/>
              <w:spacing w:after="0"/>
              <w:rPr>
                <w:sz w:val="20"/>
                <w:szCs w:val="20"/>
                <w:color w:val="auto"/>
              </w:rPr>
            </w:pPr>
            <w:r>
              <w:rPr>
                <w:rFonts w:ascii="Arial" w:cs="Arial" w:eastAsia="Arial" w:hAnsi="Arial"/>
                <w:sz w:val="18"/>
                <w:szCs w:val="18"/>
                <w:b w:val="1"/>
                <w:bCs w:val="1"/>
                <w:color w:val="auto"/>
              </w:rPr>
              <w:t>(Dollars in thousands)</w:t>
            </w:r>
          </w:p>
        </w:tc>
        <w:tc>
          <w:tcPr>
            <w:tcW w:w="220" w:type="dxa"/>
            <w:vAlign w:val="bottom"/>
            <w:tcBorders>
              <w:top w:val="single" w:sz="8" w:color="auto"/>
            </w:tcBorders>
          </w:tcPr>
          <w:p>
            <w:pPr>
              <w:spacing w:after="0"/>
              <w:rPr>
                <w:sz w:val="21"/>
                <w:szCs w:val="21"/>
                <w:color w:val="auto"/>
              </w:rPr>
            </w:pPr>
          </w:p>
        </w:tc>
        <w:tc>
          <w:tcPr>
            <w:tcW w:w="1280" w:type="dxa"/>
            <w:vAlign w:val="bottom"/>
            <w:tcBorders>
              <w:top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2023</w:t>
            </w:r>
          </w:p>
        </w:tc>
        <w:tc>
          <w:tcPr>
            <w:tcW w:w="360" w:type="dxa"/>
            <w:vAlign w:val="bottom"/>
            <w:tcBorders>
              <w:top w:val="single" w:sz="8" w:color="auto"/>
            </w:tcBorders>
          </w:tcPr>
          <w:p>
            <w:pPr>
              <w:spacing w:after="0"/>
              <w:rPr>
                <w:sz w:val="21"/>
                <w:szCs w:val="21"/>
                <w:color w:val="auto"/>
              </w:rPr>
            </w:pPr>
          </w:p>
        </w:tc>
        <w:tc>
          <w:tcPr>
            <w:tcW w:w="360" w:type="dxa"/>
            <w:vAlign w:val="bottom"/>
            <w:tcBorders>
              <w:top w:val="single" w:sz="8" w:color="auto"/>
            </w:tcBorders>
          </w:tcPr>
          <w:p>
            <w:pPr>
              <w:spacing w:after="0"/>
              <w:rPr>
                <w:sz w:val="21"/>
                <w:szCs w:val="21"/>
                <w:color w:val="auto"/>
              </w:rPr>
            </w:pPr>
          </w:p>
        </w:tc>
        <w:tc>
          <w:tcPr>
            <w:tcW w:w="1220" w:type="dxa"/>
            <w:vAlign w:val="bottom"/>
            <w:tcBorders>
              <w:top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2022</w:t>
            </w:r>
          </w:p>
        </w:tc>
        <w:tc>
          <w:tcPr>
            <w:tcW w:w="3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80" w:type="dxa"/>
            <w:vAlign w:val="bottom"/>
          </w:tcPr>
          <w:p>
            <w:pPr>
              <w:jc w:val="right"/>
              <w:ind w:right="390"/>
              <w:spacing w:after="0"/>
              <w:rPr>
                <w:sz w:val="20"/>
                <w:szCs w:val="20"/>
                <w:color w:val="auto"/>
              </w:rPr>
            </w:pPr>
            <w:r>
              <w:rPr>
                <w:rFonts w:ascii="Arial" w:cs="Arial" w:eastAsia="Arial" w:hAnsi="Arial"/>
                <w:sz w:val="18"/>
                <w:szCs w:val="18"/>
                <w:b w:val="1"/>
                <w:bCs w:val="1"/>
                <w:color w:val="auto"/>
              </w:rPr>
              <w:t>$ Change</w:t>
            </w:r>
          </w:p>
        </w:tc>
        <w:tc>
          <w:tcPr>
            <w:tcW w:w="300" w:type="dxa"/>
            <w:vAlign w:val="bottom"/>
          </w:tcPr>
          <w:p>
            <w:pPr>
              <w:spacing w:after="0"/>
              <w:rPr>
                <w:sz w:val="21"/>
                <w:szCs w:val="21"/>
                <w:color w:val="auto"/>
              </w:rPr>
            </w:pPr>
          </w:p>
        </w:tc>
        <w:tc>
          <w:tcPr>
            <w:tcW w:w="1900" w:type="dxa"/>
            <w:vAlign w:val="bottom"/>
            <w:gridSpan w:val="2"/>
          </w:tcPr>
          <w:p>
            <w:pPr>
              <w:jc w:val="right"/>
              <w:ind w:right="530"/>
              <w:spacing w:after="0"/>
              <w:rPr>
                <w:sz w:val="20"/>
                <w:szCs w:val="20"/>
                <w:color w:val="auto"/>
              </w:rPr>
            </w:pPr>
            <w:r>
              <w:rPr>
                <w:rFonts w:ascii="Arial" w:cs="Arial" w:eastAsia="Arial" w:hAnsi="Arial"/>
                <w:sz w:val="18"/>
                <w:szCs w:val="18"/>
                <w:b w:val="1"/>
                <w:bCs w:val="1"/>
                <w:color w:val="auto"/>
              </w:rPr>
              <w:t>% Change</w:t>
            </w:r>
          </w:p>
        </w:tc>
      </w:tr>
      <w:tr>
        <w:trPr>
          <w:trHeight w:val="224"/>
        </w:trPr>
        <w:tc>
          <w:tcPr>
            <w:tcW w:w="3640" w:type="dxa"/>
            <w:vAlign w:val="bottom"/>
          </w:tcPr>
          <w:p>
            <w:pPr>
              <w:ind w:left="20"/>
              <w:spacing w:after="0"/>
              <w:rPr>
                <w:sz w:val="20"/>
                <w:szCs w:val="20"/>
                <w:color w:val="auto"/>
              </w:rPr>
            </w:pPr>
            <w:r>
              <w:rPr>
                <w:rFonts w:ascii="Arial" w:cs="Arial" w:eastAsia="Arial" w:hAnsi="Arial"/>
                <w:sz w:val="18"/>
                <w:szCs w:val="18"/>
                <w:color w:val="auto"/>
              </w:rPr>
              <w:t>Other expense</w:t>
            </w: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19,100</w:t>
            </w:r>
          </w:p>
        </w:tc>
        <w:tc>
          <w:tcPr>
            <w:tcW w:w="360" w:type="dxa"/>
            <w:vAlign w:val="bottom"/>
          </w:tcPr>
          <w:p>
            <w:pPr>
              <w:spacing w:after="0"/>
              <w:rPr>
                <w:sz w:val="19"/>
                <w:szCs w:val="19"/>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10,100</w:t>
            </w:r>
          </w:p>
        </w:tc>
        <w:tc>
          <w:tcPr>
            <w:tcW w:w="360" w:type="dxa"/>
            <w:vAlign w:val="bottom"/>
          </w:tcPr>
          <w:p>
            <w:pPr>
              <w:spacing w:after="0"/>
              <w:rPr>
                <w:sz w:val="19"/>
                <w:szCs w:val="19"/>
                <w:color w:val="auto"/>
              </w:rPr>
            </w:pPr>
          </w:p>
        </w:tc>
        <w:tc>
          <w:tcPr>
            <w:tcW w:w="2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9,000</w:t>
            </w:r>
          </w:p>
        </w:tc>
        <w:tc>
          <w:tcPr>
            <w:tcW w:w="300" w:type="dxa"/>
            <w:vAlign w:val="bottom"/>
          </w:tcPr>
          <w:p>
            <w:pPr>
              <w:spacing w:after="0"/>
              <w:rPr>
                <w:sz w:val="19"/>
                <w:szCs w:val="19"/>
                <w:color w:val="auto"/>
              </w:rPr>
            </w:pPr>
          </w:p>
        </w:tc>
        <w:tc>
          <w:tcPr>
            <w:tcW w:w="1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89</w:t>
            </w:r>
          </w:p>
        </w:tc>
        <w:tc>
          <w:tcPr>
            <w:tcW w:w="160" w:type="dxa"/>
            <w:vAlign w:val="bottom"/>
          </w:tcPr>
          <w:p>
            <w:pPr>
              <w:jc w:val="right"/>
              <w:spacing w:after="0"/>
              <w:rPr>
                <w:sz w:val="20"/>
                <w:szCs w:val="20"/>
                <w:color w:val="auto"/>
              </w:rPr>
            </w:pPr>
            <w:r>
              <w:rPr>
                <w:rFonts w:ascii="Arial" w:cs="Arial" w:eastAsia="Arial" w:hAnsi="Arial"/>
                <w:sz w:val="18"/>
                <w:szCs w:val="18"/>
                <w:color w:val="auto"/>
                <w:w w:val="87"/>
              </w:rPr>
              <w:t>%</w:t>
            </w:r>
          </w:p>
        </w:tc>
      </w:tr>
      <w:tr>
        <w:trPr>
          <w:trHeight w:val="242"/>
        </w:trPr>
        <w:tc>
          <w:tcPr>
            <w:tcW w:w="3640" w:type="dxa"/>
            <w:vAlign w:val="bottom"/>
          </w:tcPr>
          <w:p>
            <w:pPr>
              <w:ind w:left="20"/>
              <w:spacing w:after="0"/>
              <w:rPr>
                <w:sz w:val="20"/>
                <w:szCs w:val="20"/>
                <w:color w:val="auto"/>
              </w:rPr>
            </w:pPr>
            <w:r>
              <w:rPr>
                <w:rFonts w:ascii="Arial" w:cs="Arial" w:eastAsia="Arial" w:hAnsi="Arial"/>
                <w:sz w:val="18"/>
                <w:szCs w:val="18"/>
                <w:color w:val="auto"/>
              </w:rPr>
              <w:t>Percentage of net revenues</w:t>
            </w:r>
          </w:p>
        </w:tc>
        <w:tc>
          <w:tcPr>
            <w:tcW w:w="220" w:type="dxa"/>
            <w:vAlign w:val="bottom"/>
          </w:tcPr>
          <w:p>
            <w:pPr>
              <w:spacing w:after="0"/>
              <w:rPr>
                <w:sz w:val="21"/>
                <w:szCs w:val="21"/>
                <w:color w:val="auto"/>
              </w:rPr>
            </w:pPr>
          </w:p>
        </w:tc>
        <w:tc>
          <w:tcPr>
            <w:tcW w:w="1640" w:type="dxa"/>
            <w:vAlign w:val="bottom"/>
            <w:gridSpan w:val="2"/>
          </w:tcPr>
          <w:p>
            <w:pPr>
              <w:jc w:val="right"/>
              <w:ind w:right="200"/>
              <w:spacing w:after="0"/>
              <w:rPr>
                <w:sz w:val="20"/>
                <w:szCs w:val="20"/>
                <w:color w:val="auto"/>
              </w:rPr>
            </w:pPr>
            <w:r>
              <w:rPr>
                <w:rFonts w:ascii="Arial" w:cs="Arial" w:eastAsia="Arial" w:hAnsi="Arial"/>
                <w:sz w:val="18"/>
                <w:szCs w:val="18"/>
                <w:color w:val="auto"/>
              </w:rPr>
              <w:t>8 %</w:t>
            </w:r>
          </w:p>
        </w:tc>
        <w:tc>
          <w:tcPr>
            <w:tcW w:w="360" w:type="dxa"/>
            <w:vAlign w:val="bottom"/>
          </w:tcPr>
          <w:p>
            <w:pPr>
              <w:spacing w:after="0"/>
              <w:rPr>
                <w:sz w:val="21"/>
                <w:szCs w:val="21"/>
                <w:color w:val="auto"/>
              </w:rPr>
            </w:pPr>
          </w:p>
        </w:tc>
        <w:tc>
          <w:tcPr>
            <w:tcW w:w="1580" w:type="dxa"/>
            <w:vAlign w:val="bottom"/>
            <w:gridSpan w:val="2"/>
          </w:tcPr>
          <w:p>
            <w:pPr>
              <w:jc w:val="right"/>
              <w:ind w:right="180"/>
              <w:spacing w:after="0"/>
              <w:rPr>
                <w:sz w:val="20"/>
                <w:szCs w:val="20"/>
                <w:color w:val="auto"/>
              </w:rPr>
            </w:pPr>
            <w:r>
              <w:rPr>
                <w:rFonts w:ascii="Arial" w:cs="Arial" w:eastAsia="Arial" w:hAnsi="Arial"/>
                <w:sz w:val="18"/>
                <w:szCs w:val="18"/>
                <w:color w:val="auto"/>
              </w:rPr>
              <w:t>5 %</w:t>
            </w:r>
          </w:p>
        </w:tc>
        <w:tc>
          <w:tcPr>
            <w:tcW w:w="28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740" w:type="dxa"/>
            <w:vAlign w:val="bottom"/>
          </w:tcPr>
          <w:p>
            <w:pPr>
              <w:spacing w:after="0"/>
              <w:rPr>
                <w:sz w:val="21"/>
                <w:szCs w:val="21"/>
                <w:color w:val="auto"/>
              </w:rPr>
            </w:pPr>
          </w:p>
        </w:tc>
        <w:tc>
          <w:tcPr>
            <w:tcW w:w="160" w:type="dxa"/>
            <w:vAlign w:val="bottom"/>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-299085</wp:posOffset>
            </wp:positionV>
            <wp:extent cx="7132320" cy="15430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22" w:lineRule="exact"/>
        <w:rPr>
          <w:sz w:val="20"/>
          <w:szCs w:val="20"/>
          <w:color w:val="auto"/>
        </w:rPr>
      </w:pPr>
    </w:p>
    <w:p>
      <w:pPr>
        <w:ind w:right="340" w:firstLine="509"/>
        <w:spacing w:after="0" w:line="277" w:lineRule="auto"/>
        <w:rPr>
          <w:sz w:val="20"/>
          <w:szCs w:val="20"/>
          <w:color w:val="auto"/>
        </w:rPr>
      </w:pPr>
      <w:r>
        <w:rPr>
          <w:rFonts w:ascii="Arial" w:cs="Arial" w:eastAsia="Arial" w:hAnsi="Arial"/>
          <w:sz w:val="18"/>
          <w:szCs w:val="18"/>
          <w:color w:val="auto"/>
        </w:rPr>
        <w:t>The increase in other expense was primarily driven by an increase in interest expense due to higher average interest rates as compared to the prior year period and the expiration of our interest rate hedge in October 2022.</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720" w:type="dxa"/>
            <w:vAlign w:val="bottom"/>
          </w:tcPr>
          <w:p>
            <w:pPr>
              <w:spacing w:after="0"/>
              <w:rPr>
                <w:sz w:val="20"/>
                <w:szCs w:val="20"/>
                <w:color w:val="auto"/>
              </w:rPr>
            </w:pPr>
            <w:r>
              <w:rPr>
                <w:rFonts w:ascii="Arial" w:cs="Arial" w:eastAsia="Arial" w:hAnsi="Arial"/>
                <w:sz w:val="18"/>
                <w:szCs w:val="18"/>
                <w:b w:val="1"/>
                <w:bCs w:val="1"/>
                <w:i w:val="1"/>
                <w:iCs w:val="1"/>
                <w:color w:val="auto"/>
              </w:rPr>
              <w:t>Income Tax Provision</w:t>
            </w:r>
          </w:p>
        </w:tc>
        <w:tc>
          <w:tcPr>
            <w:tcW w:w="2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200" w:type="dxa"/>
            <w:vAlign w:val="bottom"/>
          </w:tcPr>
          <w:p>
            <w:pPr>
              <w:spacing w:after="0"/>
              <w:rPr>
                <w:sz w:val="20"/>
                <w:szCs w:val="20"/>
                <w:color w:val="auto"/>
              </w:rPr>
            </w:pPr>
          </w:p>
        </w:tc>
      </w:tr>
      <w:tr>
        <w:trPr>
          <w:trHeight w:val="479"/>
        </w:trPr>
        <w:tc>
          <w:tcPr>
            <w:tcW w:w="37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60" w:type="dxa"/>
            <w:vAlign w:val="bottom"/>
            <w:gridSpan w:val="5"/>
          </w:tcPr>
          <w:p>
            <w:pPr>
              <w:jc w:val="right"/>
              <w:ind w:right="740"/>
              <w:spacing w:after="0"/>
              <w:rPr>
                <w:sz w:val="20"/>
                <w:szCs w:val="20"/>
                <w:color w:val="auto"/>
              </w:rPr>
            </w:pPr>
            <w:r>
              <w:rPr>
                <w:rFonts w:ascii="Arial" w:cs="Arial" w:eastAsia="Arial" w:hAnsi="Arial"/>
                <w:sz w:val="18"/>
                <w:szCs w:val="18"/>
                <w:b w:val="1"/>
                <w:bCs w:val="1"/>
                <w:color w:val="auto"/>
                <w:w w:val="94"/>
              </w:rPr>
              <w:t>Three Months Ended September 30,</w:t>
            </w:r>
          </w:p>
        </w:tc>
        <w:tc>
          <w:tcPr>
            <w:tcW w:w="2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243"/>
        </w:trPr>
        <w:tc>
          <w:tcPr>
            <w:tcW w:w="3720" w:type="dxa"/>
            <w:vAlign w:val="bottom"/>
          </w:tcPr>
          <w:p>
            <w:pPr>
              <w:ind w:left="900"/>
              <w:spacing w:after="0"/>
              <w:rPr>
                <w:sz w:val="20"/>
                <w:szCs w:val="20"/>
                <w:color w:val="auto"/>
              </w:rPr>
            </w:pPr>
            <w:r>
              <w:rPr>
                <w:rFonts w:ascii="Arial" w:cs="Arial" w:eastAsia="Arial" w:hAnsi="Arial"/>
                <w:sz w:val="18"/>
                <w:szCs w:val="18"/>
                <w:b w:val="1"/>
                <w:bCs w:val="1"/>
                <w:color w:val="auto"/>
              </w:rPr>
              <w:t>(Dollars in thousands)</w:t>
            </w:r>
          </w:p>
        </w:tc>
        <w:tc>
          <w:tcPr>
            <w:tcW w:w="260" w:type="dxa"/>
            <w:vAlign w:val="bottom"/>
            <w:tcBorders>
              <w:top w:val="single" w:sz="8" w:color="auto"/>
            </w:tcBorders>
          </w:tcPr>
          <w:p>
            <w:pPr>
              <w:spacing w:after="0"/>
              <w:rPr>
                <w:sz w:val="21"/>
                <w:szCs w:val="21"/>
                <w:color w:val="auto"/>
              </w:rPr>
            </w:pPr>
          </w:p>
        </w:tc>
        <w:tc>
          <w:tcPr>
            <w:tcW w:w="1280" w:type="dxa"/>
            <w:vAlign w:val="bottom"/>
            <w:tcBorders>
              <w:top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2023</w:t>
            </w:r>
          </w:p>
        </w:tc>
        <w:tc>
          <w:tcPr>
            <w:tcW w:w="380" w:type="dxa"/>
            <w:vAlign w:val="bottom"/>
            <w:tcBorders>
              <w:top w:val="single" w:sz="8" w:color="auto"/>
            </w:tcBorders>
          </w:tcPr>
          <w:p>
            <w:pPr>
              <w:spacing w:after="0"/>
              <w:rPr>
                <w:sz w:val="21"/>
                <w:szCs w:val="21"/>
                <w:color w:val="auto"/>
              </w:rPr>
            </w:pPr>
          </w:p>
        </w:tc>
        <w:tc>
          <w:tcPr>
            <w:tcW w:w="380" w:type="dxa"/>
            <w:vAlign w:val="bottom"/>
            <w:tcBorders>
              <w:top w:val="single" w:sz="8" w:color="auto"/>
            </w:tcBorders>
          </w:tcPr>
          <w:p>
            <w:pPr>
              <w:spacing w:after="0"/>
              <w:rPr>
                <w:sz w:val="21"/>
                <w:szCs w:val="21"/>
                <w:color w:val="auto"/>
              </w:rPr>
            </w:pPr>
          </w:p>
        </w:tc>
        <w:tc>
          <w:tcPr>
            <w:tcW w:w="1260" w:type="dxa"/>
            <w:vAlign w:val="bottom"/>
            <w:tcBorders>
              <w:top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2022</w:t>
            </w:r>
          </w:p>
        </w:tc>
        <w:tc>
          <w:tcPr>
            <w:tcW w:w="3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600" w:type="dxa"/>
            <w:vAlign w:val="bottom"/>
            <w:gridSpan w:val="2"/>
          </w:tcPr>
          <w:p>
            <w:pPr>
              <w:jc w:val="right"/>
              <w:ind w:right="641"/>
              <w:spacing w:after="0"/>
              <w:rPr>
                <w:sz w:val="20"/>
                <w:szCs w:val="20"/>
                <w:color w:val="auto"/>
              </w:rPr>
            </w:pPr>
            <w:r>
              <w:rPr>
                <w:rFonts w:ascii="Arial" w:cs="Arial" w:eastAsia="Arial" w:hAnsi="Arial"/>
                <w:sz w:val="18"/>
                <w:szCs w:val="18"/>
                <w:b w:val="1"/>
                <w:bCs w:val="1"/>
                <w:color w:val="auto"/>
              </w:rPr>
              <w:t>$ Change</w:t>
            </w:r>
          </w:p>
        </w:tc>
        <w:tc>
          <w:tcPr>
            <w:tcW w:w="1840" w:type="dxa"/>
            <w:vAlign w:val="bottom"/>
            <w:gridSpan w:val="2"/>
          </w:tcPr>
          <w:p>
            <w:pPr>
              <w:jc w:val="right"/>
              <w:ind w:right="530"/>
              <w:spacing w:after="0"/>
              <w:rPr>
                <w:sz w:val="20"/>
                <w:szCs w:val="20"/>
                <w:color w:val="auto"/>
              </w:rPr>
            </w:pPr>
            <w:r>
              <w:rPr>
                <w:rFonts w:ascii="Arial" w:cs="Arial" w:eastAsia="Arial" w:hAnsi="Arial"/>
                <w:sz w:val="18"/>
                <w:szCs w:val="18"/>
                <w:b w:val="1"/>
                <w:bCs w:val="1"/>
                <w:color w:val="auto"/>
              </w:rPr>
              <w:t>% Change</w:t>
            </w:r>
          </w:p>
        </w:tc>
      </w:tr>
      <w:tr>
        <w:trPr>
          <w:trHeight w:val="224"/>
        </w:trPr>
        <w:tc>
          <w:tcPr>
            <w:tcW w:w="3720" w:type="dxa"/>
            <w:vAlign w:val="bottom"/>
          </w:tcPr>
          <w:p>
            <w:pPr>
              <w:ind w:left="20"/>
              <w:spacing w:after="0"/>
              <w:rPr>
                <w:sz w:val="20"/>
                <w:szCs w:val="20"/>
                <w:color w:val="auto"/>
              </w:rPr>
            </w:pPr>
            <w:r>
              <w:rPr>
                <w:rFonts w:ascii="Arial" w:cs="Arial" w:eastAsia="Arial" w:hAnsi="Arial"/>
                <w:sz w:val="18"/>
                <w:szCs w:val="18"/>
                <w:color w:val="auto"/>
              </w:rPr>
              <w:t>Income tax provision</w:t>
            </w: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4,470</w:t>
            </w:r>
          </w:p>
        </w:tc>
        <w:tc>
          <w:tcPr>
            <w:tcW w:w="380" w:type="dxa"/>
            <w:vAlign w:val="bottom"/>
          </w:tcPr>
          <w:p>
            <w:pPr>
              <w:spacing w:after="0"/>
              <w:rPr>
                <w:sz w:val="19"/>
                <w:szCs w:val="19"/>
                <w:color w:val="auto"/>
              </w:rPr>
            </w:pPr>
          </w:p>
        </w:tc>
        <w:tc>
          <w:tcPr>
            <w:tcW w:w="38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8,814</w:t>
            </w:r>
          </w:p>
        </w:tc>
        <w:tc>
          <w:tcPr>
            <w:tcW w:w="360" w:type="dxa"/>
            <w:vAlign w:val="bottom"/>
          </w:tcPr>
          <w:p>
            <w:pPr>
              <w:spacing w:after="0"/>
              <w:rPr>
                <w:sz w:val="19"/>
                <w:szCs w:val="19"/>
                <w:color w:val="auto"/>
              </w:rPr>
            </w:pPr>
          </w:p>
        </w:tc>
        <w:tc>
          <w:tcPr>
            <w:tcW w:w="2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(4,344</w:t>
            </w:r>
          </w:p>
        </w:tc>
        <w:tc>
          <w:tcPr>
            <w:tcW w:w="300" w:type="dxa"/>
            <w:vAlign w:val="bottom"/>
          </w:tcPr>
          <w:p>
            <w:pPr>
              <w:jc w:val="right"/>
              <w:ind w:right="161"/>
              <w:spacing w:after="0"/>
              <w:rPr>
                <w:sz w:val="20"/>
                <w:szCs w:val="20"/>
                <w:color w:val="auto"/>
              </w:rPr>
            </w:pPr>
            <w:r>
              <w:rPr>
                <w:rFonts w:ascii="Arial" w:cs="Arial" w:eastAsia="Arial" w:hAnsi="Arial"/>
                <w:sz w:val="16"/>
                <w:szCs w:val="16"/>
                <w:color w:val="auto"/>
                <w:w w:val="74"/>
              </w:rPr>
              <w:t>)</w:t>
            </w:r>
          </w:p>
        </w:tc>
        <w:tc>
          <w:tcPr>
            <w:tcW w:w="1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(49</w:t>
            </w:r>
          </w:p>
        </w:tc>
        <w:tc>
          <w:tcPr>
            <w:tcW w:w="200" w:type="dxa"/>
            <w:vAlign w:val="bottom"/>
          </w:tcPr>
          <w:p>
            <w:pPr>
              <w:jc w:val="right"/>
              <w:spacing w:after="0"/>
              <w:rPr>
                <w:sz w:val="20"/>
                <w:szCs w:val="20"/>
                <w:color w:val="auto"/>
              </w:rPr>
            </w:pPr>
            <w:r>
              <w:rPr>
                <w:rFonts w:ascii="Arial" w:cs="Arial" w:eastAsia="Arial" w:hAnsi="Arial"/>
                <w:sz w:val="18"/>
                <w:szCs w:val="18"/>
                <w:color w:val="auto"/>
                <w:w w:val="81"/>
              </w:rPr>
              <w:t>)%</w:t>
            </w:r>
          </w:p>
        </w:tc>
      </w:tr>
      <w:tr>
        <w:trPr>
          <w:trHeight w:val="242"/>
        </w:trPr>
        <w:tc>
          <w:tcPr>
            <w:tcW w:w="3720" w:type="dxa"/>
            <w:vAlign w:val="bottom"/>
          </w:tcPr>
          <w:p>
            <w:pPr>
              <w:ind w:left="20"/>
              <w:spacing w:after="0"/>
              <w:rPr>
                <w:sz w:val="20"/>
                <w:szCs w:val="20"/>
                <w:color w:val="auto"/>
              </w:rPr>
            </w:pPr>
            <w:r>
              <w:rPr>
                <w:rFonts w:ascii="Arial" w:cs="Arial" w:eastAsia="Arial" w:hAnsi="Arial"/>
                <w:sz w:val="18"/>
                <w:szCs w:val="18"/>
                <w:color w:val="auto"/>
              </w:rPr>
              <w:t>Percentage of net revenues</w:t>
            </w:r>
          </w:p>
        </w:tc>
        <w:tc>
          <w:tcPr>
            <w:tcW w:w="260" w:type="dxa"/>
            <w:vAlign w:val="bottom"/>
          </w:tcPr>
          <w:p>
            <w:pPr>
              <w:spacing w:after="0"/>
              <w:rPr>
                <w:sz w:val="21"/>
                <w:szCs w:val="21"/>
                <w:color w:val="auto"/>
              </w:rPr>
            </w:pPr>
          </w:p>
        </w:tc>
        <w:tc>
          <w:tcPr>
            <w:tcW w:w="1660" w:type="dxa"/>
            <w:vAlign w:val="bottom"/>
            <w:gridSpan w:val="2"/>
          </w:tcPr>
          <w:p>
            <w:pPr>
              <w:jc w:val="right"/>
              <w:ind w:right="220"/>
              <w:spacing w:after="0"/>
              <w:rPr>
                <w:sz w:val="20"/>
                <w:szCs w:val="20"/>
                <w:color w:val="auto"/>
              </w:rPr>
            </w:pPr>
            <w:r>
              <w:rPr>
                <w:rFonts w:ascii="Arial" w:cs="Arial" w:eastAsia="Arial" w:hAnsi="Arial"/>
                <w:sz w:val="18"/>
                <w:szCs w:val="18"/>
                <w:color w:val="auto"/>
              </w:rPr>
              <w:t>2 %</w:t>
            </w:r>
          </w:p>
        </w:tc>
        <w:tc>
          <w:tcPr>
            <w:tcW w:w="380" w:type="dxa"/>
            <w:vAlign w:val="bottom"/>
          </w:tcPr>
          <w:p>
            <w:pPr>
              <w:spacing w:after="0"/>
              <w:rPr>
                <w:sz w:val="21"/>
                <w:szCs w:val="21"/>
                <w:color w:val="auto"/>
              </w:rPr>
            </w:pPr>
          </w:p>
        </w:tc>
        <w:tc>
          <w:tcPr>
            <w:tcW w:w="1620" w:type="dxa"/>
            <w:vAlign w:val="bottom"/>
            <w:gridSpan w:val="2"/>
          </w:tcPr>
          <w:p>
            <w:pPr>
              <w:jc w:val="right"/>
              <w:ind w:right="180"/>
              <w:spacing w:after="0"/>
              <w:rPr>
                <w:sz w:val="20"/>
                <w:szCs w:val="20"/>
                <w:color w:val="auto"/>
              </w:rPr>
            </w:pPr>
            <w:r>
              <w:rPr>
                <w:rFonts w:ascii="Arial" w:cs="Arial" w:eastAsia="Arial" w:hAnsi="Arial"/>
                <w:sz w:val="18"/>
                <w:szCs w:val="18"/>
                <w:color w:val="auto"/>
              </w:rPr>
              <w:t>4 %</w:t>
            </w:r>
          </w:p>
        </w:tc>
        <w:tc>
          <w:tcPr>
            <w:tcW w:w="26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200" w:type="dxa"/>
            <w:vAlign w:val="bottom"/>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-299085</wp:posOffset>
            </wp:positionV>
            <wp:extent cx="7132320" cy="15430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22" w:lineRule="exact"/>
        <w:rPr>
          <w:sz w:val="20"/>
          <w:szCs w:val="20"/>
          <w:color w:val="auto"/>
        </w:rPr>
      </w:pPr>
    </w:p>
    <w:p>
      <w:pPr>
        <w:ind w:right="560" w:firstLine="509"/>
        <w:spacing w:after="0" w:line="277" w:lineRule="auto"/>
        <w:rPr>
          <w:sz w:val="20"/>
          <w:szCs w:val="20"/>
          <w:color w:val="auto"/>
        </w:rPr>
      </w:pPr>
      <w:r>
        <w:rPr>
          <w:rFonts w:ascii="Arial" w:cs="Arial" w:eastAsia="Arial" w:hAnsi="Arial"/>
          <w:sz w:val="18"/>
          <w:szCs w:val="18"/>
          <w:color w:val="auto"/>
        </w:rPr>
        <w:t>The decrease in income tax provision was primarily driven by reduced pre-tax income, net of the increased impact of income tax benefits from equity awards in the current quarter.</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 for the Nine Months Ended September 30, 2023 and 2022 (Unaudited)</w:t>
      </w:r>
    </w:p>
    <w:p>
      <w:pPr>
        <w:spacing w:after="0" w:line="121" w:lineRule="exact"/>
        <w:rPr>
          <w:sz w:val="20"/>
          <w:szCs w:val="20"/>
          <w:color w:val="auto"/>
        </w:rPr>
      </w:pPr>
    </w:p>
    <w:p>
      <w:pPr>
        <w:ind w:right="760"/>
        <w:spacing w:after="0" w:line="277" w:lineRule="auto"/>
        <w:rPr>
          <w:sz w:val="20"/>
          <w:szCs w:val="20"/>
          <w:color w:val="auto"/>
        </w:rPr>
      </w:pPr>
      <w:r>
        <w:rPr>
          <w:rFonts w:ascii="Arial" w:cs="Arial" w:eastAsia="Arial" w:hAnsi="Arial"/>
          <w:sz w:val="18"/>
          <w:szCs w:val="18"/>
          <w:color w:val="auto"/>
        </w:rPr>
        <w:t>The unaudited results of operations data for the nine months ended September 30, 2023 and 2022 have been derived from the unaudited condensed consolidated financial statements included elsewhere in this Quarterly Report on Form 10-Q.</w:t>
      </w:r>
    </w:p>
    <w:p>
      <w:pPr>
        <w:spacing w:after="0" w:line="169"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40"/>
          </w:cols>
          <w:pgMar w:left="320" w:top="350" w:right="239" w:bottom="1440" w:gutter="0" w:footer="0" w:header="0"/>
        </w:sectPr>
      </w:pPr>
    </w:p>
    <w:bookmarkStart w:id="28" w:name="page29"/>
    <w:bookmarkEnd w:id="28"/>
    <w:tbl>
      <w:tblPr>
        <w:tblLayout w:type="fixed"/>
        <w:tblInd w:w="0" w:type="dxa"/>
        <w:tblCellMar>
          <w:top w:w="0" w:type="dxa"/>
          <w:left w:w="0" w:type="dxa"/>
          <w:bottom w:w="0" w:type="dxa"/>
          <w:right w:w="0" w:type="dxa"/>
        </w:tblCellMar>
      </w:tblPr>
      <w:tr>
        <w:trPr>
          <w:trHeight w:val="241"/>
        </w:trPr>
        <w:tc>
          <w:tcPr>
            <w:tcW w:w="48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3320" w:type="dxa"/>
            <w:vAlign w:val="bottom"/>
            <w:tcBorders>
              <w:bottom w:val="single" w:sz="8" w:color="auto"/>
            </w:tcBorders>
            <w:gridSpan w:val="5"/>
          </w:tcPr>
          <w:p>
            <w:pPr>
              <w:jc w:val="right"/>
              <w:ind w:right="560"/>
              <w:spacing w:after="0"/>
              <w:rPr>
                <w:sz w:val="20"/>
                <w:szCs w:val="20"/>
                <w:color w:val="auto"/>
              </w:rPr>
            </w:pPr>
            <w:r>
              <w:rPr>
                <w:rFonts w:ascii="Arial" w:cs="Arial" w:eastAsia="Arial" w:hAnsi="Arial"/>
                <w:sz w:val="18"/>
                <w:szCs w:val="18"/>
                <w:b w:val="1"/>
                <w:bCs w:val="1"/>
                <w:color w:val="auto"/>
                <w:w w:val="92"/>
              </w:rPr>
              <w:t>Nine Months Ended September 30,</w:t>
            </w:r>
          </w:p>
        </w:tc>
        <w:tc>
          <w:tcPr>
            <w:tcW w:w="13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38"/>
        </w:trPr>
        <w:tc>
          <w:tcPr>
            <w:tcW w:w="48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8"/>
                <w:szCs w:val="18"/>
                <w:b w:val="1"/>
                <w:bCs w:val="1"/>
                <w:color w:val="auto"/>
              </w:rPr>
              <w:t>2023</w:t>
            </w:r>
          </w:p>
        </w:tc>
        <w:tc>
          <w:tcPr>
            <w:tcW w:w="118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8"/>
                <w:szCs w:val="18"/>
                <w:b w:val="1"/>
                <w:bCs w:val="1"/>
                <w:color w:val="auto"/>
              </w:rPr>
              <w:t>2022</w:t>
            </w:r>
          </w:p>
        </w:tc>
        <w:tc>
          <w:tcPr>
            <w:tcW w:w="13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9"/>
        </w:trPr>
        <w:tc>
          <w:tcPr>
            <w:tcW w:w="4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tcPr>
          <w:p>
            <w:pPr>
              <w:jc w:val="center"/>
              <w:ind w:right="70"/>
              <w:spacing w:after="0"/>
              <w:rPr>
                <w:sz w:val="20"/>
                <w:szCs w:val="20"/>
                <w:color w:val="auto"/>
              </w:rPr>
            </w:pPr>
            <w:r>
              <w:rPr>
                <w:rFonts w:ascii="Arial" w:cs="Arial" w:eastAsia="Arial" w:hAnsi="Arial"/>
                <w:sz w:val="18"/>
                <w:szCs w:val="18"/>
                <w:b w:val="1"/>
                <w:bCs w:val="1"/>
                <w:color w:val="auto"/>
                <w:w w:val="99"/>
              </w:rPr>
              <w:t>% of</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8"/>
        </w:trPr>
        <w:tc>
          <w:tcPr>
            <w:tcW w:w="4820" w:type="dxa"/>
            <w:vAlign w:val="bottom"/>
          </w:tcPr>
          <w:p>
            <w:pPr>
              <w:ind w:left="1440"/>
              <w:spacing w:after="0"/>
              <w:rPr>
                <w:sz w:val="20"/>
                <w:szCs w:val="20"/>
                <w:color w:val="auto"/>
              </w:rPr>
            </w:pPr>
            <w:r>
              <w:rPr>
                <w:rFonts w:ascii="Arial" w:cs="Arial" w:eastAsia="Arial" w:hAnsi="Arial"/>
                <w:sz w:val="18"/>
                <w:szCs w:val="18"/>
                <w:b w:val="1"/>
                <w:bCs w:val="1"/>
                <w:color w:val="auto"/>
              </w:rPr>
              <w:t>(Dollars in thousands)</w:t>
            </w:r>
          </w:p>
        </w:tc>
        <w:tc>
          <w:tcPr>
            <w:tcW w:w="22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Amount</w:t>
            </w:r>
          </w:p>
        </w:tc>
        <w:tc>
          <w:tcPr>
            <w:tcW w:w="280" w:type="dxa"/>
            <w:vAlign w:val="bottom"/>
          </w:tcPr>
          <w:p>
            <w:pPr>
              <w:spacing w:after="0"/>
              <w:rPr>
                <w:sz w:val="21"/>
                <w:szCs w:val="21"/>
                <w:color w:val="auto"/>
              </w:rPr>
            </w:pPr>
          </w:p>
        </w:tc>
        <w:tc>
          <w:tcPr>
            <w:tcW w:w="118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7"/>
              </w:rPr>
              <w:t>Revenue</w:t>
            </w:r>
          </w:p>
        </w:tc>
        <w:tc>
          <w:tcPr>
            <w:tcW w:w="24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Amount</w:t>
            </w:r>
          </w:p>
        </w:tc>
        <w:tc>
          <w:tcPr>
            <w:tcW w:w="280" w:type="dxa"/>
            <w:vAlign w:val="bottom"/>
          </w:tcPr>
          <w:p>
            <w:pPr>
              <w:spacing w:after="0"/>
              <w:rPr>
                <w:sz w:val="21"/>
                <w:szCs w:val="21"/>
                <w:color w:val="auto"/>
              </w:rPr>
            </w:pPr>
          </w:p>
        </w:tc>
        <w:tc>
          <w:tcPr>
            <w:tcW w:w="1360" w:type="dxa"/>
            <w:vAlign w:val="bottom"/>
            <w:tcBorders>
              <w:bottom w:val="single" w:sz="8" w:color="auto"/>
            </w:tcBorders>
          </w:tcPr>
          <w:p>
            <w:pPr>
              <w:ind w:left="80"/>
              <w:spacing w:after="0"/>
              <w:rPr>
                <w:sz w:val="20"/>
                <w:szCs w:val="20"/>
                <w:color w:val="auto"/>
              </w:rPr>
            </w:pPr>
            <w:r>
              <w:rPr>
                <w:rFonts w:ascii="Arial" w:cs="Arial" w:eastAsia="Arial" w:hAnsi="Arial"/>
                <w:sz w:val="18"/>
                <w:szCs w:val="18"/>
                <w:b w:val="1"/>
                <w:bCs w:val="1"/>
                <w:color w:val="auto"/>
              </w:rPr>
              <w:t>% of Revenue</w:t>
            </w:r>
          </w:p>
        </w:tc>
        <w:tc>
          <w:tcPr>
            <w:tcW w:w="100" w:type="dxa"/>
            <w:vAlign w:val="bottom"/>
          </w:tcPr>
          <w:p>
            <w:pPr>
              <w:spacing w:after="0"/>
              <w:rPr>
                <w:sz w:val="21"/>
                <w:szCs w:val="21"/>
                <w:color w:val="auto"/>
              </w:rPr>
            </w:pPr>
          </w:p>
        </w:tc>
      </w:tr>
      <w:tr>
        <w:trPr>
          <w:trHeight w:val="224"/>
        </w:trPr>
        <w:tc>
          <w:tcPr>
            <w:tcW w:w="4820" w:type="dxa"/>
            <w:vAlign w:val="bottom"/>
          </w:tcPr>
          <w:p>
            <w:pPr>
              <w:ind w:left="20"/>
              <w:spacing w:after="0"/>
              <w:rPr>
                <w:sz w:val="20"/>
                <w:szCs w:val="20"/>
                <w:color w:val="auto"/>
              </w:rPr>
            </w:pPr>
            <w:r>
              <w:rPr>
                <w:rFonts w:ascii="Arial" w:cs="Arial" w:eastAsia="Arial" w:hAnsi="Arial"/>
                <w:sz w:val="18"/>
                <w:szCs w:val="18"/>
                <w:color w:val="auto"/>
              </w:rPr>
              <w:t>Net revenues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ind w:right="50"/>
              <w:spacing w:after="0"/>
              <w:rPr>
                <w:sz w:val="20"/>
                <w:szCs w:val="20"/>
                <w:color w:val="auto"/>
              </w:rPr>
            </w:pPr>
            <w:r>
              <w:rPr>
                <w:rFonts w:ascii="Arial" w:cs="Arial" w:eastAsia="Arial" w:hAnsi="Arial"/>
                <w:sz w:val="18"/>
                <w:szCs w:val="18"/>
                <w:color w:val="auto"/>
              </w:rPr>
              <w:t>696,930</w:t>
            </w:r>
          </w:p>
        </w:tc>
        <w:tc>
          <w:tcPr>
            <w:tcW w:w="280" w:type="dxa"/>
            <w:vAlign w:val="bottom"/>
          </w:tcPr>
          <w:p>
            <w:pPr>
              <w:spacing w:after="0"/>
              <w:rPr>
                <w:sz w:val="19"/>
                <w:szCs w:val="19"/>
                <w:color w:val="auto"/>
              </w:rPr>
            </w:pPr>
          </w:p>
        </w:tc>
        <w:tc>
          <w:tcPr>
            <w:tcW w:w="1700" w:type="dxa"/>
            <w:vAlign w:val="bottom"/>
            <w:gridSpan w:val="3"/>
          </w:tcPr>
          <w:p>
            <w:pPr>
              <w:jc w:val="right"/>
              <w:ind w:right="180"/>
              <w:spacing w:after="0"/>
              <w:rPr>
                <w:sz w:val="20"/>
                <w:szCs w:val="20"/>
                <w:color w:val="auto"/>
              </w:rPr>
            </w:pPr>
            <w:r>
              <w:rPr>
                <w:rFonts w:ascii="Arial" w:cs="Arial" w:eastAsia="Arial" w:hAnsi="Arial"/>
                <w:sz w:val="18"/>
                <w:szCs w:val="18"/>
                <w:color w:val="auto"/>
              </w:rPr>
              <w:t>100 %  $</w:t>
            </w: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662,154</w:t>
            </w:r>
          </w:p>
        </w:tc>
        <w:tc>
          <w:tcPr>
            <w:tcW w:w="280" w:type="dxa"/>
            <w:vAlign w:val="bottom"/>
          </w:tcPr>
          <w:p>
            <w:pPr>
              <w:spacing w:after="0"/>
              <w:rPr>
                <w:sz w:val="19"/>
                <w:szCs w:val="19"/>
                <w:color w:val="auto"/>
              </w:rPr>
            </w:pPr>
          </w:p>
        </w:tc>
        <w:tc>
          <w:tcPr>
            <w:tcW w:w="1460" w:type="dxa"/>
            <w:vAlign w:val="bottom"/>
            <w:gridSpan w:val="2"/>
          </w:tcPr>
          <w:p>
            <w:pPr>
              <w:jc w:val="right"/>
              <w:ind w:right="40"/>
              <w:spacing w:after="0"/>
              <w:rPr>
                <w:sz w:val="20"/>
                <w:szCs w:val="20"/>
                <w:color w:val="auto"/>
              </w:rPr>
            </w:pPr>
            <w:r>
              <w:rPr>
                <w:rFonts w:ascii="Arial" w:cs="Arial" w:eastAsia="Arial" w:hAnsi="Arial"/>
                <w:sz w:val="18"/>
                <w:szCs w:val="18"/>
                <w:color w:val="auto"/>
              </w:rPr>
              <w:t>100 %</w:t>
            </w:r>
          </w:p>
        </w:tc>
      </w:tr>
      <w:tr>
        <w:trPr>
          <w:trHeight w:val="485"/>
        </w:trPr>
        <w:tc>
          <w:tcPr>
            <w:tcW w:w="4820" w:type="dxa"/>
            <w:vAlign w:val="bottom"/>
          </w:tcPr>
          <w:p>
            <w:pPr>
              <w:ind w:left="20"/>
              <w:spacing w:after="0"/>
              <w:rPr>
                <w:sz w:val="20"/>
                <w:szCs w:val="20"/>
                <w:color w:val="auto"/>
              </w:rPr>
            </w:pPr>
            <w:r>
              <w:rPr>
                <w:rFonts w:ascii="Arial" w:cs="Arial" w:eastAsia="Arial" w:hAnsi="Arial"/>
                <w:sz w:val="18"/>
                <w:szCs w:val="18"/>
                <w:color w:val="auto"/>
              </w:rPr>
              <w:t>Store operating costs:</w:t>
            </w: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43"/>
        </w:trPr>
        <w:tc>
          <w:tcPr>
            <w:tcW w:w="4820" w:type="dxa"/>
            <w:vAlign w:val="bottom"/>
          </w:tcPr>
          <w:p>
            <w:pPr>
              <w:ind w:left="20"/>
              <w:spacing w:after="0"/>
              <w:rPr>
                <w:sz w:val="20"/>
                <w:szCs w:val="20"/>
                <w:color w:val="auto"/>
              </w:rPr>
            </w:pPr>
            <w:r>
              <w:rPr>
                <w:rFonts w:ascii="Arial" w:cs="Arial" w:eastAsia="Arial" w:hAnsi="Arial"/>
                <w:sz w:val="18"/>
                <w:szCs w:val="18"/>
                <w:color w:val="auto"/>
              </w:rPr>
              <w:t>Cost of labor and chemicals</w:t>
            </w:r>
          </w:p>
        </w:tc>
        <w:tc>
          <w:tcPr>
            <w:tcW w:w="220" w:type="dxa"/>
            <w:vAlign w:val="bottom"/>
          </w:tcPr>
          <w:p>
            <w:pPr>
              <w:spacing w:after="0"/>
              <w:rPr>
                <w:sz w:val="21"/>
                <w:szCs w:val="21"/>
                <w:color w:val="auto"/>
              </w:rPr>
            </w:pPr>
          </w:p>
        </w:tc>
        <w:tc>
          <w:tcPr>
            <w:tcW w:w="1240" w:type="dxa"/>
            <w:vAlign w:val="bottom"/>
          </w:tcPr>
          <w:p>
            <w:pPr>
              <w:jc w:val="right"/>
              <w:ind w:right="50"/>
              <w:spacing w:after="0"/>
              <w:rPr>
                <w:sz w:val="20"/>
                <w:szCs w:val="20"/>
                <w:color w:val="auto"/>
              </w:rPr>
            </w:pPr>
            <w:r>
              <w:rPr>
                <w:rFonts w:ascii="Arial" w:cs="Arial" w:eastAsia="Arial" w:hAnsi="Arial"/>
                <w:sz w:val="18"/>
                <w:szCs w:val="18"/>
                <w:color w:val="auto"/>
              </w:rPr>
              <w:t>210,376</w:t>
            </w:r>
          </w:p>
        </w:tc>
        <w:tc>
          <w:tcPr>
            <w:tcW w:w="280" w:type="dxa"/>
            <w:vAlign w:val="bottom"/>
          </w:tcPr>
          <w:p>
            <w:pPr>
              <w:spacing w:after="0"/>
              <w:rPr>
                <w:sz w:val="21"/>
                <w:szCs w:val="21"/>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30 %</w:t>
            </w:r>
          </w:p>
        </w:tc>
        <w:tc>
          <w:tcPr>
            <w:tcW w:w="280" w:type="dxa"/>
            <w:vAlign w:val="bottom"/>
          </w:tcPr>
          <w:p>
            <w:pPr>
              <w:spacing w:after="0"/>
              <w:rPr>
                <w:sz w:val="21"/>
                <w:szCs w:val="21"/>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203,117</w:t>
            </w:r>
          </w:p>
        </w:tc>
        <w:tc>
          <w:tcPr>
            <w:tcW w:w="280" w:type="dxa"/>
            <w:vAlign w:val="bottom"/>
          </w:tcPr>
          <w:p>
            <w:pPr>
              <w:spacing w:after="0"/>
              <w:rPr>
                <w:sz w:val="21"/>
                <w:szCs w:val="21"/>
                <w:color w:val="auto"/>
              </w:rPr>
            </w:pPr>
          </w:p>
        </w:tc>
        <w:tc>
          <w:tcPr>
            <w:tcW w:w="1460" w:type="dxa"/>
            <w:vAlign w:val="bottom"/>
            <w:gridSpan w:val="2"/>
          </w:tcPr>
          <w:p>
            <w:pPr>
              <w:jc w:val="right"/>
              <w:ind w:right="40"/>
              <w:spacing w:after="0"/>
              <w:rPr>
                <w:sz w:val="20"/>
                <w:szCs w:val="20"/>
                <w:color w:val="auto"/>
              </w:rPr>
            </w:pPr>
            <w:r>
              <w:rPr>
                <w:rFonts w:ascii="Arial" w:cs="Arial" w:eastAsia="Arial" w:hAnsi="Arial"/>
                <w:sz w:val="18"/>
                <w:szCs w:val="18"/>
                <w:color w:val="auto"/>
              </w:rPr>
              <w:t>31 %</w:t>
            </w:r>
          </w:p>
        </w:tc>
      </w:tr>
      <w:tr>
        <w:trPr>
          <w:trHeight w:val="243"/>
        </w:trPr>
        <w:tc>
          <w:tcPr>
            <w:tcW w:w="4820" w:type="dxa"/>
            <w:vAlign w:val="bottom"/>
          </w:tcPr>
          <w:p>
            <w:pPr>
              <w:ind w:left="20"/>
              <w:spacing w:after="0"/>
              <w:rPr>
                <w:sz w:val="20"/>
                <w:szCs w:val="20"/>
                <w:color w:val="auto"/>
              </w:rPr>
            </w:pPr>
            <w:r>
              <w:rPr>
                <w:rFonts w:ascii="Arial" w:cs="Arial" w:eastAsia="Arial" w:hAnsi="Arial"/>
                <w:sz w:val="18"/>
                <w:szCs w:val="18"/>
                <w:color w:val="auto"/>
              </w:rPr>
              <w:t>Other store operating expenses</w:t>
            </w:r>
          </w:p>
        </w:tc>
        <w:tc>
          <w:tcPr>
            <w:tcW w:w="220" w:type="dxa"/>
            <w:vAlign w:val="bottom"/>
          </w:tcPr>
          <w:p>
            <w:pPr>
              <w:spacing w:after="0"/>
              <w:rPr>
                <w:sz w:val="21"/>
                <w:szCs w:val="21"/>
                <w:color w:val="auto"/>
              </w:rPr>
            </w:pPr>
          </w:p>
        </w:tc>
        <w:tc>
          <w:tcPr>
            <w:tcW w:w="1240" w:type="dxa"/>
            <w:vAlign w:val="bottom"/>
          </w:tcPr>
          <w:p>
            <w:pPr>
              <w:jc w:val="right"/>
              <w:ind w:right="50"/>
              <w:spacing w:after="0"/>
              <w:rPr>
                <w:sz w:val="20"/>
                <w:szCs w:val="20"/>
                <w:color w:val="auto"/>
              </w:rPr>
            </w:pPr>
            <w:r>
              <w:rPr>
                <w:rFonts w:ascii="Arial" w:cs="Arial" w:eastAsia="Arial" w:hAnsi="Arial"/>
                <w:sz w:val="18"/>
                <w:szCs w:val="18"/>
                <w:color w:val="auto"/>
              </w:rPr>
              <w:t>270,317</w:t>
            </w:r>
          </w:p>
        </w:tc>
        <w:tc>
          <w:tcPr>
            <w:tcW w:w="280" w:type="dxa"/>
            <w:vAlign w:val="bottom"/>
          </w:tcPr>
          <w:p>
            <w:pPr>
              <w:spacing w:after="0"/>
              <w:rPr>
                <w:sz w:val="21"/>
                <w:szCs w:val="21"/>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39 %</w:t>
            </w:r>
          </w:p>
        </w:tc>
        <w:tc>
          <w:tcPr>
            <w:tcW w:w="280" w:type="dxa"/>
            <w:vAlign w:val="bottom"/>
          </w:tcPr>
          <w:p>
            <w:pPr>
              <w:spacing w:after="0"/>
              <w:rPr>
                <w:sz w:val="21"/>
                <w:szCs w:val="21"/>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239,173</w:t>
            </w:r>
          </w:p>
        </w:tc>
        <w:tc>
          <w:tcPr>
            <w:tcW w:w="280" w:type="dxa"/>
            <w:vAlign w:val="bottom"/>
          </w:tcPr>
          <w:p>
            <w:pPr>
              <w:spacing w:after="0"/>
              <w:rPr>
                <w:sz w:val="21"/>
                <w:szCs w:val="21"/>
                <w:color w:val="auto"/>
              </w:rPr>
            </w:pPr>
          </w:p>
        </w:tc>
        <w:tc>
          <w:tcPr>
            <w:tcW w:w="1460" w:type="dxa"/>
            <w:vAlign w:val="bottom"/>
            <w:gridSpan w:val="2"/>
          </w:tcPr>
          <w:p>
            <w:pPr>
              <w:jc w:val="right"/>
              <w:ind w:right="40"/>
              <w:spacing w:after="0"/>
              <w:rPr>
                <w:sz w:val="20"/>
                <w:szCs w:val="20"/>
                <w:color w:val="auto"/>
              </w:rPr>
            </w:pPr>
            <w:r>
              <w:rPr>
                <w:rFonts w:ascii="Arial" w:cs="Arial" w:eastAsia="Arial" w:hAnsi="Arial"/>
                <w:sz w:val="18"/>
                <w:szCs w:val="18"/>
                <w:color w:val="auto"/>
              </w:rPr>
              <w:t>36 %</w:t>
            </w:r>
          </w:p>
        </w:tc>
      </w:tr>
      <w:tr>
        <w:trPr>
          <w:trHeight w:val="243"/>
        </w:trPr>
        <w:tc>
          <w:tcPr>
            <w:tcW w:w="4820" w:type="dxa"/>
            <w:vAlign w:val="bottom"/>
          </w:tcPr>
          <w:p>
            <w:pPr>
              <w:ind w:left="20"/>
              <w:spacing w:after="0"/>
              <w:rPr>
                <w:sz w:val="20"/>
                <w:szCs w:val="20"/>
                <w:color w:val="auto"/>
              </w:rPr>
            </w:pPr>
            <w:r>
              <w:rPr>
                <w:rFonts w:ascii="Arial" w:cs="Arial" w:eastAsia="Arial" w:hAnsi="Arial"/>
                <w:sz w:val="18"/>
                <w:szCs w:val="18"/>
                <w:color w:val="auto"/>
              </w:rPr>
              <w:t>General and administrative</w:t>
            </w:r>
          </w:p>
        </w:tc>
        <w:tc>
          <w:tcPr>
            <w:tcW w:w="220" w:type="dxa"/>
            <w:vAlign w:val="bottom"/>
          </w:tcPr>
          <w:p>
            <w:pPr>
              <w:spacing w:after="0"/>
              <w:rPr>
                <w:sz w:val="21"/>
                <w:szCs w:val="21"/>
                <w:color w:val="auto"/>
              </w:rPr>
            </w:pPr>
          </w:p>
        </w:tc>
        <w:tc>
          <w:tcPr>
            <w:tcW w:w="1240" w:type="dxa"/>
            <w:vAlign w:val="bottom"/>
          </w:tcPr>
          <w:p>
            <w:pPr>
              <w:jc w:val="right"/>
              <w:ind w:right="50"/>
              <w:spacing w:after="0"/>
              <w:rPr>
                <w:sz w:val="20"/>
                <w:szCs w:val="20"/>
                <w:color w:val="auto"/>
              </w:rPr>
            </w:pPr>
            <w:r>
              <w:rPr>
                <w:rFonts w:ascii="Arial" w:cs="Arial" w:eastAsia="Arial" w:hAnsi="Arial"/>
                <w:sz w:val="18"/>
                <w:szCs w:val="18"/>
                <w:color w:val="auto"/>
              </w:rPr>
              <w:t>78,438</w:t>
            </w:r>
          </w:p>
        </w:tc>
        <w:tc>
          <w:tcPr>
            <w:tcW w:w="280" w:type="dxa"/>
            <w:vAlign w:val="bottom"/>
          </w:tcPr>
          <w:p>
            <w:pPr>
              <w:spacing w:after="0"/>
              <w:rPr>
                <w:sz w:val="21"/>
                <w:szCs w:val="21"/>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11 %</w:t>
            </w:r>
          </w:p>
        </w:tc>
        <w:tc>
          <w:tcPr>
            <w:tcW w:w="280" w:type="dxa"/>
            <w:vAlign w:val="bottom"/>
          </w:tcPr>
          <w:p>
            <w:pPr>
              <w:spacing w:after="0"/>
              <w:rPr>
                <w:sz w:val="21"/>
                <w:szCs w:val="21"/>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74,040</w:t>
            </w:r>
          </w:p>
        </w:tc>
        <w:tc>
          <w:tcPr>
            <w:tcW w:w="280" w:type="dxa"/>
            <w:vAlign w:val="bottom"/>
          </w:tcPr>
          <w:p>
            <w:pPr>
              <w:spacing w:after="0"/>
              <w:rPr>
                <w:sz w:val="21"/>
                <w:szCs w:val="21"/>
                <w:color w:val="auto"/>
              </w:rPr>
            </w:pPr>
          </w:p>
        </w:tc>
        <w:tc>
          <w:tcPr>
            <w:tcW w:w="1460" w:type="dxa"/>
            <w:vAlign w:val="bottom"/>
            <w:gridSpan w:val="2"/>
          </w:tcPr>
          <w:p>
            <w:pPr>
              <w:jc w:val="right"/>
              <w:ind w:right="40"/>
              <w:spacing w:after="0"/>
              <w:rPr>
                <w:sz w:val="20"/>
                <w:szCs w:val="20"/>
                <w:color w:val="auto"/>
              </w:rPr>
            </w:pPr>
            <w:r>
              <w:rPr>
                <w:rFonts w:ascii="Arial" w:cs="Arial" w:eastAsia="Arial" w:hAnsi="Arial"/>
                <w:sz w:val="18"/>
                <w:szCs w:val="18"/>
                <w:color w:val="auto"/>
              </w:rPr>
              <w:t>11 %</w:t>
            </w:r>
          </w:p>
        </w:tc>
      </w:tr>
      <w:tr>
        <w:trPr>
          <w:trHeight w:val="256"/>
        </w:trPr>
        <w:tc>
          <w:tcPr>
            <w:tcW w:w="4820" w:type="dxa"/>
            <w:vAlign w:val="bottom"/>
          </w:tcPr>
          <w:p>
            <w:pPr>
              <w:ind w:left="20"/>
              <w:spacing w:after="0"/>
              <w:rPr>
                <w:sz w:val="20"/>
                <w:szCs w:val="20"/>
                <w:color w:val="auto"/>
              </w:rPr>
            </w:pPr>
            <w:r>
              <w:rPr>
                <w:rFonts w:ascii="Arial" w:cs="Arial" w:eastAsia="Arial" w:hAnsi="Arial"/>
                <w:sz w:val="18"/>
                <w:szCs w:val="18"/>
                <w:color w:val="auto"/>
              </w:rPr>
              <w:t>Gain on sale of assets, net</w:t>
            </w:r>
          </w:p>
        </w:tc>
        <w:tc>
          <w:tcPr>
            <w:tcW w:w="22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(3,470 )</w:t>
            </w:r>
          </w:p>
        </w:tc>
        <w:tc>
          <w:tcPr>
            <w:tcW w:w="280" w:type="dxa"/>
            <w:vAlign w:val="bottom"/>
          </w:tcPr>
          <w:p>
            <w:pPr>
              <w:spacing w:after="0"/>
              <w:rPr>
                <w:sz w:val="22"/>
                <w:szCs w:val="22"/>
                <w:color w:val="auto"/>
              </w:rPr>
            </w:pPr>
          </w:p>
        </w:tc>
        <w:tc>
          <w:tcPr>
            <w:tcW w:w="1420" w:type="dxa"/>
            <w:vAlign w:val="bottom"/>
            <w:gridSpan w:val="2"/>
          </w:tcPr>
          <w:p>
            <w:pPr>
              <w:jc w:val="right"/>
              <w:ind w:right="140"/>
              <w:spacing w:after="0"/>
              <w:rPr>
                <w:sz w:val="20"/>
                <w:szCs w:val="20"/>
                <w:color w:val="auto"/>
              </w:rPr>
            </w:pPr>
            <w:r>
              <w:rPr>
                <w:rFonts w:ascii="Arial" w:cs="Arial" w:eastAsia="Arial" w:hAnsi="Arial"/>
                <w:sz w:val="18"/>
                <w:szCs w:val="18"/>
                <w:color w:val="auto"/>
              </w:rPr>
              <w:t>(0 )%</w:t>
            </w:r>
          </w:p>
        </w:tc>
        <w:tc>
          <w:tcPr>
            <w:tcW w:w="28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(3,336 )</w:t>
            </w:r>
          </w:p>
        </w:tc>
        <w:tc>
          <w:tcPr>
            <w:tcW w:w="280" w:type="dxa"/>
            <w:vAlign w:val="bottom"/>
          </w:tcPr>
          <w:p>
            <w:pPr>
              <w:spacing w:after="0"/>
              <w:rPr>
                <w:sz w:val="22"/>
                <w:szCs w:val="22"/>
                <w:color w:val="auto"/>
              </w:rPr>
            </w:pP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(1 )%</w:t>
            </w:r>
          </w:p>
        </w:tc>
      </w:tr>
      <w:tr>
        <w:trPr>
          <w:trHeight w:val="20"/>
        </w:trPr>
        <w:tc>
          <w:tcPr>
            <w:tcW w:w="48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6"/>
        </w:trPr>
        <w:tc>
          <w:tcPr>
            <w:tcW w:w="4820" w:type="dxa"/>
            <w:vAlign w:val="bottom"/>
          </w:tcPr>
          <w:p>
            <w:pPr>
              <w:ind w:left="20"/>
              <w:spacing w:after="0"/>
              <w:rPr>
                <w:sz w:val="20"/>
                <w:szCs w:val="20"/>
                <w:color w:val="auto"/>
              </w:rPr>
            </w:pPr>
            <w:r>
              <w:rPr>
                <w:rFonts w:ascii="Arial" w:cs="Arial" w:eastAsia="Arial" w:hAnsi="Arial"/>
                <w:sz w:val="18"/>
                <w:szCs w:val="18"/>
                <w:color w:val="auto"/>
              </w:rPr>
              <w:t>Total costs and expenses</w:t>
            </w:r>
          </w:p>
        </w:tc>
        <w:tc>
          <w:tcPr>
            <w:tcW w:w="220" w:type="dxa"/>
            <w:vAlign w:val="bottom"/>
          </w:tcPr>
          <w:p>
            <w:pPr>
              <w:spacing w:after="0"/>
              <w:rPr>
                <w:sz w:val="20"/>
                <w:szCs w:val="20"/>
                <w:color w:val="auto"/>
              </w:rPr>
            </w:pPr>
          </w:p>
        </w:tc>
        <w:tc>
          <w:tcPr>
            <w:tcW w:w="1240" w:type="dxa"/>
            <w:vAlign w:val="bottom"/>
          </w:tcPr>
          <w:p>
            <w:pPr>
              <w:jc w:val="right"/>
              <w:ind w:right="50"/>
              <w:spacing w:after="0"/>
              <w:rPr>
                <w:sz w:val="20"/>
                <w:szCs w:val="20"/>
                <w:color w:val="auto"/>
              </w:rPr>
            </w:pPr>
            <w:r>
              <w:rPr>
                <w:rFonts w:ascii="Arial" w:cs="Arial" w:eastAsia="Arial" w:hAnsi="Arial"/>
                <w:sz w:val="18"/>
                <w:szCs w:val="18"/>
                <w:color w:val="auto"/>
              </w:rPr>
              <w:t>555,661</w:t>
            </w:r>
          </w:p>
        </w:tc>
        <w:tc>
          <w:tcPr>
            <w:tcW w:w="280" w:type="dxa"/>
            <w:vAlign w:val="bottom"/>
          </w:tcPr>
          <w:p>
            <w:pPr>
              <w:spacing w:after="0"/>
              <w:rPr>
                <w:sz w:val="20"/>
                <w:szCs w:val="20"/>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80 %</w:t>
            </w:r>
          </w:p>
        </w:tc>
        <w:tc>
          <w:tcPr>
            <w:tcW w:w="280" w:type="dxa"/>
            <w:vAlign w:val="bottom"/>
          </w:tcPr>
          <w:p>
            <w:pPr>
              <w:spacing w:after="0"/>
              <w:rPr>
                <w:sz w:val="20"/>
                <w:szCs w:val="20"/>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512,994</w:t>
            </w:r>
          </w:p>
        </w:tc>
        <w:tc>
          <w:tcPr>
            <w:tcW w:w="280" w:type="dxa"/>
            <w:vAlign w:val="bottom"/>
          </w:tcPr>
          <w:p>
            <w:pPr>
              <w:spacing w:after="0"/>
              <w:rPr>
                <w:sz w:val="20"/>
                <w:szCs w:val="20"/>
                <w:color w:val="auto"/>
              </w:rPr>
            </w:pPr>
          </w:p>
        </w:tc>
        <w:tc>
          <w:tcPr>
            <w:tcW w:w="1460" w:type="dxa"/>
            <w:vAlign w:val="bottom"/>
            <w:gridSpan w:val="2"/>
          </w:tcPr>
          <w:p>
            <w:pPr>
              <w:jc w:val="right"/>
              <w:ind w:right="40"/>
              <w:spacing w:after="0"/>
              <w:rPr>
                <w:sz w:val="20"/>
                <w:szCs w:val="20"/>
                <w:color w:val="auto"/>
              </w:rPr>
            </w:pPr>
            <w:r>
              <w:rPr>
                <w:rFonts w:ascii="Arial" w:cs="Arial" w:eastAsia="Arial" w:hAnsi="Arial"/>
                <w:sz w:val="18"/>
                <w:szCs w:val="18"/>
                <w:color w:val="auto"/>
              </w:rPr>
              <w:t>77 %</w:t>
            </w:r>
          </w:p>
        </w:tc>
      </w:tr>
      <w:tr>
        <w:trPr>
          <w:trHeight w:val="20"/>
        </w:trPr>
        <w:tc>
          <w:tcPr>
            <w:tcW w:w="48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6"/>
        </w:trPr>
        <w:tc>
          <w:tcPr>
            <w:tcW w:w="4820" w:type="dxa"/>
            <w:vAlign w:val="bottom"/>
          </w:tcPr>
          <w:p>
            <w:pPr>
              <w:ind w:left="120"/>
              <w:spacing w:after="0"/>
              <w:rPr>
                <w:sz w:val="20"/>
                <w:szCs w:val="20"/>
                <w:color w:val="auto"/>
              </w:rPr>
            </w:pPr>
            <w:r>
              <w:rPr>
                <w:rFonts w:ascii="Arial" w:cs="Arial" w:eastAsia="Arial" w:hAnsi="Arial"/>
                <w:sz w:val="18"/>
                <w:szCs w:val="18"/>
                <w:color w:val="auto"/>
              </w:rPr>
              <w:t>Operating income</w:t>
            </w:r>
          </w:p>
        </w:tc>
        <w:tc>
          <w:tcPr>
            <w:tcW w:w="220" w:type="dxa"/>
            <w:vAlign w:val="bottom"/>
          </w:tcPr>
          <w:p>
            <w:pPr>
              <w:spacing w:after="0"/>
              <w:rPr>
                <w:sz w:val="20"/>
                <w:szCs w:val="20"/>
                <w:color w:val="auto"/>
              </w:rPr>
            </w:pPr>
          </w:p>
        </w:tc>
        <w:tc>
          <w:tcPr>
            <w:tcW w:w="1240" w:type="dxa"/>
            <w:vAlign w:val="bottom"/>
          </w:tcPr>
          <w:p>
            <w:pPr>
              <w:jc w:val="right"/>
              <w:ind w:right="50"/>
              <w:spacing w:after="0"/>
              <w:rPr>
                <w:sz w:val="20"/>
                <w:szCs w:val="20"/>
                <w:color w:val="auto"/>
              </w:rPr>
            </w:pPr>
            <w:r>
              <w:rPr>
                <w:rFonts w:ascii="Arial" w:cs="Arial" w:eastAsia="Arial" w:hAnsi="Arial"/>
                <w:sz w:val="18"/>
                <w:szCs w:val="18"/>
                <w:color w:val="auto"/>
              </w:rPr>
              <w:t>141,269</w:t>
            </w:r>
          </w:p>
        </w:tc>
        <w:tc>
          <w:tcPr>
            <w:tcW w:w="280" w:type="dxa"/>
            <w:vAlign w:val="bottom"/>
          </w:tcPr>
          <w:p>
            <w:pPr>
              <w:spacing w:after="0"/>
              <w:rPr>
                <w:sz w:val="20"/>
                <w:szCs w:val="20"/>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20 %</w:t>
            </w:r>
          </w:p>
        </w:tc>
        <w:tc>
          <w:tcPr>
            <w:tcW w:w="280" w:type="dxa"/>
            <w:vAlign w:val="bottom"/>
          </w:tcPr>
          <w:p>
            <w:pPr>
              <w:spacing w:after="0"/>
              <w:rPr>
                <w:sz w:val="20"/>
                <w:szCs w:val="20"/>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149,160</w:t>
            </w:r>
          </w:p>
        </w:tc>
        <w:tc>
          <w:tcPr>
            <w:tcW w:w="280" w:type="dxa"/>
            <w:vAlign w:val="bottom"/>
          </w:tcPr>
          <w:p>
            <w:pPr>
              <w:spacing w:after="0"/>
              <w:rPr>
                <w:sz w:val="20"/>
                <w:szCs w:val="20"/>
                <w:color w:val="auto"/>
              </w:rPr>
            </w:pPr>
          </w:p>
        </w:tc>
        <w:tc>
          <w:tcPr>
            <w:tcW w:w="1460" w:type="dxa"/>
            <w:vAlign w:val="bottom"/>
            <w:gridSpan w:val="2"/>
          </w:tcPr>
          <w:p>
            <w:pPr>
              <w:jc w:val="right"/>
              <w:ind w:right="40"/>
              <w:spacing w:after="0"/>
              <w:rPr>
                <w:sz w:val="20"/>
                <w:szCs w:val="20"/>
                <w:color w:val="auto"/>
              </w:rPr>
            </w:pPr>
            <w:r>
              <w:rPr>
                <w:rFonts w:ascii="Arial" w:cs="Arial" w:eastAsia="Arial" w:hAnsi="Arial"/>
                <w:sz w:val="18"/>
                <w:szCs w:val="18"/>
                <w:color w:val="auto"/>
              </w:rPr>
              <w:t>23 %</w:t>
            </w:r>
          </w:p>
        </w:tc>
      </w:tr>
      <w:tr>
        <w:trPr>
          <w:trHeight w:val="236"/>
        </w:trPr>
        <w:tc>
          <w:tcPr>
            <w:tcW w:w="4820" w:type="dxa"/>
            <w:vAlign w:val="bottom"/>
            <w:shd w:val="clear" w:color="auto" w:fill="CFF0FC"/>
          </w:tcPr>
          <w:p>
            <w:pPr>
              <w:ind w:left="20"/>
              <w:spacing w:after="0"/>
              <w:rPr>
                <w:sz w:val="20"/>
                <w:szCs w:val="20"/>
                <w:color w:val="auto"/>
              </w:rPr>
            </w:pPr>
            <w:r>
              <w:rPr>
                <w:rFonts w:ascii="Arial" w:cs="Arial" w:eastAsia="Arial" w:hAnsi="Arial"/>
                <w:sz w:val="18"/>
                <w:szCs w:val="18"/>
                <w:color w:val="auto"/>
              </w:rPr>
              <w:t>Other expense:</w:t>
            </w:r>
          </w:p>
        </w:tc>
        <w:tc>
          <w:tcPr>
            <w:tcW w:w="220" w:type="dxa"/>
            <w:vAlign w:val="bottom"/>
            <w:tcBorders>
              <w:top w:val="single" w:sz="8" w:color="auto"/>
            </w:tcBorders>
            <w:shd w:val="clear" w:color="auto" w:fill="CFF0FC"/>
          </w:tcPr>
          <w:p>
            <w:pPr>
              <w:spacing w:after="0"/>
              <w:rPr>
                <w:sz w:val="20"/>
                <w:szCs w:val="20"/>
                <w:color w:val="auto"/>
              </w:rPr>
            </w:pPr>
          </w:p>
        </w:tc>
        <w:tc>
          <w:tcPr>
            <w:tcW w:w="1240" w:type="dxa"/>
            <w:vAlign w:val="bottom"/>
            <w:tcBorders>
              <w:top w:val="single" w:sz="8" w:color="auto"/>
            </w:tcBorders>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180" w:type="dxa"/>
            <w:vAlign w:val="bottom"/>
            <w:tcBorders>
              <w:top w:val="single" w:sz="8" w:color="auto"/>
            </w:tcBorders>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280" w:type="dxa"/>
            <w:vAlign w:val="bottom"/>
            <w:tcBorders>
              <w:top w:val="single" w:sz="8" w:color="auto"/>
            </w:tcBorders>
            <w:shd w:val="clear" w:color="auto" w:fill="CFF0FC"/>
          </w:tcPr>
          <w:p>
            <w:pPr>
              <w:spacing w:after="0"/>
              <w:rPr>
                <w:sz w:val="20"/>
                <w:szCs w:val="20"/>
                <w:color w:val="auto"/>
              </w:rPr>
            </w:pPr>
          </w:p>
        </w:tc>
        <w:tc>
          <w:tcPr>
            <w:tcW w:w="1340" w:type="dxa"/>
            <w:vAlign w:val="bottom"/>
            <w:tcBorders>
              <w:top w:val="single" w:sz="8" w:color="auto"/>
            </w:tcBorders>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360" w:type="dxa"/>
            <w:vAlign w:val="bottom"/>
            <w:tcBorders>
              <w:top w:val="single" w:sz="8" w:color="auto"/>
            </w:tcBorders>
            <w:shd w:val="clear" w:color="auto" w:fill="CFF0FC"/>
          </w:tcPr>
          <w:p>
            <w:pPr>
              <w:spacing w:after="0"/>
              <w:rPr>
                <w:sz w:val="20"/>
                <w:szCs w:val="20"/>
                <w:color w:val="auto"/>
              </w:rPr>
            </w:pPr>
          </w:p>
        </w:tc>
        <w:tc>
          <w:tcPr>
            <w:tcW w:w="100" w:type="dxa"/>
            <w:vAlign w:val="bottom"/>
          </w:tcPr>
          <w:p>
            <w:pPr>
              <w:spacing w:after="0"/>
              <w:rPr>
                <w:sz w:val="20"/>
                <w:szCs w:val="20"/>
                <w:color w:val="auto"/>
              </w:rPr>
            </w:pPr>
          </w:p>
        </w:tc>
      </w:tr>
      <w:tr>
        <w:trPr>
          <w:trHeight w:val="236"/>
        </w:trPr>
        <w:tc>
          <w:tcPr>
            <w:tcW w:w="4820" w:type="dxa"/>
            <w:vAlign w:val="bottom"/>
          </w:tcPr>
          <w:p>
            <w:pPr>
              <w:ind w:left="20"/>
              <w:spacing w:after="0"/>
              <w:rPr>
                <w:sz w:val="20"/>
                <w:szCs w:val="20"/>
                <w:color w:val="auto"/>
              </w:rPr>
            </w:pPr>
            <w:r>
              <w:rPr>
                <w:rFonts w:ascii="Arial" w:cs="Arial" w:eastAsia="Arial" w:hAnsi="Arial"/>
                <w:sz w:val="18"/>
                <w:szCs w:val="18"/>
                <w:color w:val="auto"/>
              </w:rPr>
              <w:t>Interest expense, net</w:t>
            </w:r>
          </w:p>
        </w:tc>
        <w:tc>
          <w:tcPr>
            <w:tcW w:w="220" w:type="dxa"/>
            <w:vAlign w:val="bottom"/>
          </w:tcPr>
          <w:p>
            <w:pPr>
              <w:spacing w:after="0"/>
              <w:rPr>
                <w:sz w:val="20"/>
                <w:szCs w:val="20"/>
                <w:color w:val="auto"/>
              </w:rPr>
            </w:pPr>
          </w:p>
        </w:tc>
        <w:tc>
          <w:tcPr>
            <w:tcW w:w="1240" w:type="dxa"/>
            <w:vAlign w:val="bottom"/>
          </w:tcPr>
          <w:p>
            <w:pPr>
              <w:jc w:val="right"/>
              <w:ind w:right="50"/>
              <w:spacing w:after="0"/>
              <w:rPr>
                <w:sz w:val="20"/>
                <w:szCs w:val="20"/>
                <w:color w:val="auto"/>
              </w:rPr>
            </w:pPr>
            <w:r>
              <w:rPr>
                <w:rFonts w:ascii="Arial" w:cs="Arial" w:eastAsia="Arial" w:hAnsi="Arial"/>
                <w:sz w:val="18"/>
                <w:szCs w:val="18"/>
                <w:color w:val="auto"/>
              </w:rPr>
              <w:t>55,143</w:t>
            </w:r>
          </w:p>
        </w:tc>
        <w:tc>
          <w:tcPr>
            <w:tcW w:w="280" w:type="dxa"/>
            <w:vAlign w:val="bottom"/>
          </w:tcPr>
          <w:p>
            <w:pPr>
              <w:spacing w:after="0"/>
              <w:rPr>
                <w:sz w:val="20"/>
                <w:szCs w:val="20"/>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8 %</w:t>
            </w:r>
          </w:p>
        </w:tc>
        <w:tc>
          <w:tcPr>
            <w:tcW w:w="280" w:type="dxa"/>
            <w:vAlign w:val="bottom"/>
          </w:tcPr>
          <w:p>
            <w:pPr>
              <w:spacing w:after="0"/>
              <w:rPr>
                <w:sz w:val="20"/>
                <w:szCs w:val="20"/>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27,028</w:t>
            </w:r>
          </w:p>
        </w:tc>
        <w:tc>
          <w:tcPr>
            <w:tcW w:w="280" w:type="dxa"/>
            <w:vAlign w:val="bottom"/>
          </w:tcPr>
          <w:p>
            <w:pPr>
              <w:spacing w:after="0"/>
              <w:rPr>
                <w:sz w:val="20"/>
                <w:szCs w:val="20"/>
                <w:color w:val="auto"/>
              </w:rPr>
            </w:pPr>
          </w:p>
        </w:tc>
        <w:tc>
          <w:tcPr>
            <w:tcW w:w="1460" w:type="dxa"/>
            <w:vAlign w:val="bottom"/>
            <w:gridSpan w:val="2"/>
          </w:tcPr>
          <w:p>
            <w:pPr>
              <w:jc w:val="right"/>
              <w:ind w:right="40"/>
              <w:spacing w:after="0"/>
              <w:rPr>
                <w:sz w:val="20"/>
                <w:szCs w:val="20"/>
                <w:color w:val="auto"/>
              </w:rPr>
            </w:pPr>
            <w:r>
              <w:rPr>
                <w:rFonts w:ascii="Arial" w:cs="Arial" w:eastAsia="Arial" w:hAnsi="Arial"/>
                <w:sz w:val="18"/>
                <w:szCs w:val="18"/>
                <w:color w:val="auto"/>
              </w:rPr>
              <w:t>4 %</w:t>
            </w:r>
          </w:p>
        </w:tc>
      </w:tr>
      <w:tr>
        <w:trPr>
          <w:trHeight w:val="20"/>
        </w:trPr>
        <w:tc>
          <w:tcPr>
            <w:tcW w:w="482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42"/>
        </w:trPr>
        <w:tc>
          <w:tcPr>
            <w:tcW w:w="4820" w:type="dxa"/>
            <w:vAlign w:val="bottom"/>
            <w:shd w:val="clear" w:color="auto" w:fill="CFF0FC"/>
          </w:tcPr>
          <w:p>
            <w:pPr>
              <w:ind w:left="20"/>
              <w:spacing w:after="0"/>
              <w:rPr>
                <w:sz w:val="20"/>
                <w:szCs w:val="20"/>
                <w:color w:val="auto"/>
              </w:rPr>
            </w:pPr>
            <w:r>
              <w:rPr>
                <w:rFonts w:ascii="Arial" w:cs="Arial" w:eastAsia="Arial" w:hAnsi="Arial"/>
                <w:sz w:val="18"/>
                <w:szCs w:val="18"/>
                <w:color w:val="auto"/>
              </w:rPr>
              <w:t>Total other expense</w:t>
            </w:r>
          </w:p>
        </w:tc>
        <w:tc>
          <w:tcPr>
            <w:tcW w:w="220" w:type="dxa"/>
            <w:vAlign w:val="bottom"/>
            <w:shd w:val="clear" w:color="auto" w:fill="CFF0FC"/>
          </w:tcPr>
          <w:p>
            <w:pPr>
              <w:spacing w:after="0"/>
              <w:rPr>
                <w:sz w:val="21"/>
                <w:szCs w:val="21"/>
                <w:color w:val="auto"/>
              </w:rPr>
            </w:pPr>
          </w:p>
        </w:tc>
        <w:tc>
          <w:tcPr>
            <w:tcW w:w="1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55,143</w:t>
            </w:r>
          </w:p>
        </w:tc>
        <w:tc>
          <w:tcPr>
            <w:tcW w:w="280" w:type="dxa"/>
            <w:vAlign w:val="bottom"/>
            <w:shd w:val="clear" w:color="auto" w:fill="CFF0FC"/>
          </w:tcPr>
          <w:p>
            <w:pPr>
              <w:spacing w:after="0"/>
              <w:rPr>
                <w:sz w:val="21"/>
                <w:szCs w:val="21"/>
                <w:color w:val="auto"/>
              </w:rPr>
            </w:pPr>
          </w:p>
        </w:tc>
        <w:tc>
          <w:tcPr>
            <w:tcW w:w="14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8 %</w:t>
            </w:r>
          </w:p>
        </w:tc>
        <w:tc>
          <w:tcPr>
            <w:tcW w:w="280" w:type="dxa"/>
            <w:vAlign w:val="bottom"/>
            <w:shd w:val="clear" w:color="auto" w:fill="CFF0FC"/>
          </w:tcPr>
          <w:p>
            <w:pPr>
              <w:spacing w:after="0"/>
              <w:rPr>
                <w:sz w:val="21"/>
                <w:szCs w:val="21"/>
                <w:color w:val="auto"/>
              </w:rPr>
            </w:pPr>
          </w:p>
        </w:tc>
        <w:tc>
          <w:tcPr>
            <w:tcW w:w="13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27,028</w:t>
            </w:r>
          </w:p>
        </w:tc>
        <w:tc>
          <w:tcPr>
            <w:tcW w:w="280" w:type="dxa"/>
            <w:vAlign w:val="bottom"/>
            <w:shd w:val="clear" w:color="auto" w:fill="CFF0FC"/>
          </w:tcPr>
          <w:p>
            <w:pPr>
              <w:spacing w:after="0"/>
              <w:rPr>
                <w:sz w:val="21"/>
                <w:szCs w:val="21"/>
                <w:color w:val="auto"/>
              </w:rPr>
            </w:pPr>
          </w:p>
        </w:tc>
        <w:tc>
          <w:tcPr>
            <w:tcW w:w="1460" w:type="dxa"/>
            <w:vAlign w:val="bottom"/>
            <w:gridSpan w:val="2"/>
          </w:tcPr>
          <w:p>
            <w:pPr>
              <w:jc w:val="right"/>
              <w:ind w:right="40"/>
              <w:spacing w:after="0"/>
              <w:rPr>
                <w:sz w:val="20"/>
                <w:szCs w:val="20"/>
                <w:color w:val="auto"/>
              </w:rPr>
            </w:pPr>
            <w:r>
              <w:rPr>
                <w:rFonts w:ascii="Arial" w:cs="Arial" w:eastAsia="Arial" w:hAnsi="Arial"/>
                <w:sz w:val="18"/>
                <w:szCs w:val="18"/>
                <w:color w:val="auto"/>
              </w:rPr>
              <w:t>4 %</w:t>
            </w:r>
          </w:p>
        </w:tc>
      </w:tr>
      <w:tr>
        <w:trPr>
          <w:trHeight w:val="20"/>
        </w:trPr>
        <w:tc>
          <w:tcPr>
            <w:tcW w:w="482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4"/>
        </w:trPr>
        <w:tc>
          <w:tcPr>
            <w:tcW w:w="4820" w:type="dxa"/>
            <w:vAlign w:val="bottom"/>
          </w:tcPr>
          <w:p>
            <w:pPr>
              <w:ind w:left="20"/>
              <w:spacing w:after="0"/>
              <w:rPr>
                <w:sz w:val="20"/>
                <w:szCs w:val="20"/>
                <w:color w:val="auto"/>
              </w:rPr>
            </w:pPr>
            <w:r>
              <w:rPr>
                <w:rFonts w:ascii="Arial" w:cs="Arial" w:eastAsia="Arial" w:hAnsi="Arial"/>
                <w:sz w:val="18"/>
                <w:szCs w:val="18"/>
                <w:color w:val="auto"/>
              </w:rPr>
              <w:t>Income before taxes</w:t>
            </w:r>
          </w:p>
        </w:tc>
        <w:tc>
          <w:tcPr>
            <w:tcW w:w="220" w:type="dxa"/>
            <w:vAlign w:val="bottom"/>
          </w:tcPr>
          <w:p>
            <w:pPr>
              <w:spacing w:after="0"/>
              <w:rPr>
                <w:sz w:val="19"/>
                <w:szCs w:val="19"/>
                <w:color w:val="auto"/>
              </w:rPr>
            </w:pPr>
          </w:p>
        </w:tc>
        <w:tc>
          <w:tcPr>
            <w:tcW w:w="1240" w:type="dxa"/>
            <w:vAlign w:val="bottom"/>
          </w:tcPr>
          <w:p>
            <w:pPr>
              <w:jc w:val="right"/>
              <w:ind w:right="50"/>
              <w:spacing w:after="0"/>
              <w:rPr>
                <w:sz w:val="20"/>
                <w:szCs w:val="20"/>
                <w:color w:val="auto"/>
              </w:rPr>
            </w:pPr>
            <w:r>
              <w:rPr>
                <w:rFonts w:ascii="Arial" w:cs="Arial" w:eastAsia="Arial" w:hAnsi="Arial"/>
                <w:sz w:val="18"/>
                <w:szCs w:val="18"/>
                <w:color w:val="auto"/>
              </w:rPr>
              <w:t>86,126</w:t>
            </w:r>
          </w:p>
        </w:tc>
        <w:tc>
          <w:tcPr>
            <w:tcW w:w="280" w:type="dxa"/>
            <w:vAlign w:val="bottom"/>
          </w:tcPr>
          <w:p>
            <w:pPr>
              <w:spacing w:after="0"/>
              <w:rPr>
                <w:sz w:val="19"/>
                <w:szCs w:val="19"/>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12 %</w:t>
            </w:r>
          </w:p>
        </w:tc>
        <w:tc>
          <w:tcPr>
            <w:tcW w:w="280" w:type="dxa"/>
            <w:vAlign w:val="bottom"/>
          </w:tcPr>
          <w:p>
            <w:pPr>
              <w:spacing w:after="0"/>
              <w:rPr>
                <w:sz w:val="19"/>
                <w:szCs w:val="19"/>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122,132</w:t>
            </w:r>
          </w:p>
        </w:tc>
        <w:tc>
          <w:tcPr>
            <w:tcW w:w="280" w:type="dxa"/>
            <w:vAlign w:val="bottom"/>
          </w:tcPr>
          <w:p>
            <w:pPr>
              <w:spacing w:after="0"/>
              <w:rPr>
                <w:sz w:val="19"/>
                <w:szCs w:val="19"/>
                <w:color w:val="auto"/>
              </w:rPr>
            </w:pPr>
          </w:p>
        </w:tc>
        <w:tc>
          <w:tcPr>
            <w:tcW w:w="1460" w:type="dxa"/>
            <w:vAlign w:val="bottom"/>
            <w:gridSpan w:val="2"/>
          </w:tcPr>
          <w:p>
            <w:pPr>
              <w:jc w:val="right"/>
              <w:ind w:right="40"/>
              <w:spacing w:after="0"/>
              <w:rPr>
                <w:sz w:val="20"/>
                <w:szCs w:val="20"/>
                <w:color w:val="auto"/>
              </w:rPr>
            </w:pPr>
            <w:r>
              <w:rPr>
                <w:rFonts w:ascii="Arial" w:cs="Arial" w:eastAsia="Arial" w:hAnsi="Arial"/>
                <w:sz w:val="18"/>
                <w:szCs w:val="18"/>
                <w:color w:val="auto"/>
              </w:rPr>
              <w:t>18 %</w:t>
            </w:r>
          </w:p>
        </w:tc>
      </w:tr>
      <w:tr>
        <w:trPr>
          <w:trHeight w:val="255"/>
        </w:trPr>
        <w:tc>
          <w:tcPr>
            <w:tcW w:w="4820" w:type="dxa"/>
            <w:vAlign w:val="bottom"/>
          </w:tcPr>
          <w:p>
            <w:pPr>
              <w:ind w:left="20"/>
              <w:spacing w:after="0"/>
              <w:rPr>
                <w:sz w:val="20"/>
                <w:szCs w:val="20"/>
                <w:color w:val="auto"/>
              </w:rPr>
            </w:pPr>
            <w:r>
              <w:rPr>
                <w:rFonts w:ascii="Arial" w:cs="Arial" w:eastAsia="Arial" w:hAnsi="Arial"/>
                <w:sz w:val="18"/>
                <w:szCs w:val="18"/>
                <w:color w:val="auto"/>
              </w:rPr>
              <w:t>Income tax provision</w:t>
            </w:r>
          </w:p>
        </w:tc>
        <w:tc>
          <w:tcPr>
            <w:tcW w:w="220" w:type="dxa"/>
            <w:vAlign w:val="bottom"/>
          </w:tcPr>
          <w:p>
            <w:pPr>
              <w:spacing w:after="0"/>
              <w:rPr>
                <w:sz w:val="22"/>
                <w:szCs w:val="22"/>
                <w:color w:val="auto"/>
              </w:rPr>
            </w:pPr>
          </w:p>
        </w:tc>
        <w:tc>
          <w:tcPr>
            <w:tcW w:w="1240" w:type="dxa"/>
            <w:vAlign w:val="bottom"/>
          </w:tcPr>
          <w:p>
            <w:pPr>
              <w:jc w:val="right"/>
              <w:ind w:right="50"/>
              <w:spacing w:after="0"/>
              <w:rPr>
                <w:sz w:val="20"/>
                <w:szCs w:val="20"/>
                <w:color w:val="auto"/>
              </w:rPr>
            </w:pPr>
            <w:r>
              <w:rPr>
                <w:rFonts w:ascii="Arial" w:cs="Arial" w:eastAsia="Arial" w:hAnsi="Arial"/>
                <w:sz w:val="18"/>
                <w:szCs w:val="18"/>
                <w:color w:val="auto"/>
              </w:rPr>
              <w:t>18,373</w:t>
            </w:r>
          </w:p>
        </w:tc>
        <w:tc>
          <w:tcPr>
            <w:tcW w:w="280" w:type="dxa"/>
            <w:vAlign w:val="bottom"/>
          </w:tcPr>
          <w:p>
            <w:pPr>
              <w:spacing w:after="0"/>
              <w:rPr>
                <w:sz w:val="22"/>
                <w:szCs w:val="22"/>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3 %</w:t>
            </w:r>
          </w:p>
        </w:tc>
        <w:tc>
          <w:tcPr>
            <w:tcW w:w="280" w:type="dxa"/>
            <w:vAlign w:val="bottom"/>
          </w:tcPr>
          <w:p>
            <w:pPr>
              <w:spacing w:after="0"/>
              <w:rPr>
                <w:sz w:val="22"/>
                <w:szCs w:val="22"/>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26,988</w:t>
            </w:r>
          </w:p>
        </w:tc>
        <w:tc>
          <w:tcPr>
            <w:tcW w:w="280" w:type="dxa"/>
            <w:vAlign w:val="bottom"/>
          </w:tcPr>
          <w:p>
            <w:pPr>
              <w:spacing w:after="0"/>
              <w:rPr>
                <w:sz w:val="22"/>
                <w:szCs w:val="22"/>
                <w:color w:val="auto"/>
              </w:rPr>
            </w:pPr>
          </w:p>
        </w:tc>
        <w:tc>
          <w:tcPr>
            <w:tcW w:w="1460" w:type="dxa"/>
            <w:vAlign w:val="bottom"/>
            <w:gridSpan w:val="2"/>
          </w:tcPr>
          <w:p>
            <w:pPr>
              <w:jc w:val="right"/>
              <w:ind w:right="40"/>
              <w:spacing w:after="0"/>
              <w:rPr>
                <w:sz w:val="20"/>
                <w:szCs w:val="20"/>
                <w:color w:val="auto"/>
              </w:rPr>
            </w:pPr>
            <w:r>
              <w:rPr>
                <w:rFonts w:ascii="Arial" w:cs="Arial" w:eastAsia="Arial" w:hAnsi="Arial"/>
                <w:sz w:val="18"/>
                <w:szCs w:val="18"/>
                <w:color w:val="auto"/>
              </w:rPr>
              <w:t>4 %</w:t>
            </w:r>
          </w:p>
        </w:tc>
      </w:tr>
      <w:tr>
        <w:trPr>
          <w:trHeight w:val="20"/>
        </w:trPr>
        <w:tc>
          <w:tcPr>
            <w:tcW w:w="48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6"/>
        </w:trPr>
        <w:tc>
          <w:tcPr>
            <w:tcW w:w="482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220" w:type="dxa"/>
            <w:vAlign w:val="bottom"/>
          </w:tcPr>
          <w:p>
            <w:pPr>
              <w:spacing w:after="0"/>
              <w:rPr>
                <w:sz w:val="20"/>
                <w:szCs w:val="20"/>
                <w:color w:val="auto"/>
              </w:rPr>
            </w:pPr>
          </w:p>
        </w:tc>
        <w:tc>
          <w:tcPr>
            <w:tcW w:w="1240" w:type="dxa"/>
            <w:vAlign w:val="bottom"/>
          </w:tcPr>
          <w:p>
            <w:pPr>
              <w:jc w:val="right"/>
              <w:ind w:right="50"/>
              <w:spacing w:after="0"/>
              <w:rPr>
                <w:sz w:val="20"/>
                <w:szCs w:val="20"/>
                <w:color w:val="auto"/>
              </w:rPr>
            </w:pPr>
            <w:r>
              <w:rPr>
                <w:rFonts w:ascii="Arial" w:cs="Arial" w:eastAsia="Arial" w:hAnsi="Arial"/>
                <w:sz w:val="18"/>
                <w:szCs w:val="18"/>
                <w:color w:val="auto"/>
              </w:rPr>
              <w:t>67,753</w:t>
            </w:r>
          </w:p>
        </w:tc>
        <w:tc>
          <w:tcPr>
            <w:tcW w:w="280" w:type="dxa"/>
            <w:vAlign w:val="bottom"/>
          </w:tcPr>
          <w:p>
            <w:pPr>
              <w:spacing w:after="0"/>
              <w:rPr>
                <w:sz w:val="20"/>
                <w:szCs w:val="20"/>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10 %</w:t>
            </w:r>
          </w:p>
        </w:tc>
        <w:tc>
          <w:tcPr>
            <w:tcW w:w="280" w:type="dxa"/>
            <w:vAlign w:val="bottom"/>
          </w:tcPr>
          <w:p>
            <w:pPr>
              <w:spacing w:after="0"/>
              <w:rPr>
                <w:sz w:val="20"/>
                <w:szCs w:val="20"/>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95,144</w:t>
            </w:r>
          </w:p>
        </w:tc>
        <w:tc>
          <w:tcPr>
            <w:tcW w:w="280" w:type="dxa"/>
            <w:vAlign w:val="bottom"/>
          </w:tcPr>
          <w:p>
            <w:pPr>
              <w:spacing w:after="0"/>
              <w:rPr>
                <w:sz w:val="20"/>
                <w:szCs w:val="20"/>
                <w:color w:val="auto"/>
              </w:rPr>
            </w:pPr>
          </w:p>
        </w:tc>
        <w:tc>
          <w:tcPr>
            <w:tcW w:w="1460" w:type="dxa"/>
            <w:vAlign w:val="bottom"/>
            <w:gridSpan w:val="2"/>
          </w:tcPr>
          <w:p>
            <w:pPr>
              <w:jc w:val="right"/>
              <w:ind w:right="40"/>
              <w:spacing w:after="0"/>
              <w:rPr>
                <w:sz w:val="20"/>
                <w:szCs w:val="20"/>
                <w:color w:val="auto"/>
              </w:rPr>
            </w:pPr>
            <w:r>
              <w:rPr>
                <w:rFonts w:ascii="Arial" w:cs="Arial" w:eastAsia="Arial" w:hAnsi="Arial"/>
                <w:sz w:val="18"/>
                <w:szCs w:val="18"/>
                <w:color w:val="auto"/>
              </w:rPr>
              <w:t>14 %</w:t>
            </w:r>
          </w:p>
        </w:tc>
      </w:tr>
      <w:tr>
        <w:trPr>
          <w:trHeight w:val="20"/>
        </w:trPr>
        <w:tc>
          <w:tcPr>
            <w:tcW w:w="48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-2388235</wp:posOffset>
            </wp:positionV>
            <wp:extent cx="7132320" cy="15430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-1925955</wp:posOffset>
            </wp:positionV>
            <wp:extent cx="7132320" cy="15430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-1617345</wp:posOffset>
            </wp:positionV>
            <wp:extent cx="7132320" cy="15430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-1301115</wp:posOffset>
            </wp:positionV>
            <wp:extent cx="7132320" cy="32512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32320" cy="32512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-680085</wp:posOffset>
            </wp:positionV>
            <wp:extent cx="7132320" cy="68072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32320" cy="680720"/>
                    </a:xfrm>
                    <a:prstGeom prst="rect">
                      <a:avLst/>
                    </a:prstGeom>
                    <a:noFill/>
                  </pic:spPr>
                </pic:pic>
              </a:graphicData>
            </a:graphic>
          </wp:anchor>
        </w:drawing>
      </w:r>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840" w:type="dxa"/>
            <w:vAlign w:val="bottom"/>
          </w:tcPr>
          <w:p>
            <w:pPr>
              <w:spacing w:after="0"/>
              <w:rPr>
                <w:sz w:val="20"/>
                <w:szCs w:val="20"/>
                <w:color w:val="auto"/>
              </w:rPr>
            </w:pPr>
            <w:r>
              <w:rPr>
                <w:rFonts w:ascii="Arial" w:cs="Arial" w:eastAsia="Arial" w:hAnsi="Arial"/>
                <w:sz w:val="18"/>
                <w:szCs w:val="18"/>
                <w:b w:val="1"/>
                <w:bCs w:val="1"/>
                <w:i w:val="1"/>
                <w:iCs w:val="1"/>
                <w:color w:val="auto"/>
              </w:rPr>
              <w:t>Net Revenues</w:t>
            </w:r>
          </w:p>
        </w:tc>
        <w:tc>
          <w:tcPr>
            <w:tcW w:w="11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479"/>
        </w:trPr>
        <w:tc>
          <w:tcPr>
            <w:tcW w:w="3840" w:type="dxa"/>
            <w:vAlign w:val="bottom"/>
          </w:tcPr>
          <w:p>
            <w:pPr>
              <w:spacing w:after="0"/>
              <w:rPr>
                <w:sz w:val="24"/>
                <w:szCs w:val="24"/>
                <w:color w:val="auto"/>
              </w:rPr>
            </w:pPr>
          </w:p>
        </w:tc>
        <w:tc>
          <w:tcPr>
            <w:tcW w:w="3900" w:type="dxa"/>
            <w:vAlign w:val="bottom"/>
            <w:tcBorders>
              <w:bottom w:val="single" w:sz="8" w:color="auto"/>
            </w:tcBorders>
            <w:gridSpan w:val="5"/>
          </w:tcPr>
          <w:p>
            <w:pPr>
              <w:jc w:val="right"/>
              <w:ind w:right="570"/>
              <w:spacing w:after="0"/>
              <w:rPr>
                <w:sz w:val="20"/>
                <w:szCs w:val="20"/>
                <w:color w:val="auto"/>
              </w:rPr>
            </w:pPr>
            <w:r>
              <w:rPr>
                <w:rFonts w:ascii="Arial" w:cs="Arial" w:eastAsia="Arial" w:hAnsi="Arial"/>
                <w:sz w:val="18"/>
                <w:szCs w:val="18"/>
                <w:b w:val="1"/>
                <w:bCs w:val="1"/>
                <w:color w:val="auto"/>
              </w:rPr>
              <w:t>Nine Months Ended September 30,</w:t>
            </w: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43"/>
        </w:trPr>
        <w:tc>
          <w:tcPr>
            <w:tcW w:w="3840" w:type="dxa"/>
            <w:vAlign w:val="bottom"/>
          </w:tcPr>
          <w:p>
            <w:pPr>
              <w:ind w:left="940"/>
              <w:spacing w:after="0"/>
              <w:rPr>
                <w:sz w:val="20"/>
                <w:szCs w:val="20"/>
                <w:color w:val="auto"/>
              </w:rPr>
            </w:pPr>
            <w:r>
              <w:rPr>
                <w:rFonts w:ascii="Arial" w:cs="Arial" w:eastAsia="Arial" w:hAnsi="Arial"/>
                <w:sz w:val="18"/>
                <w:szCs w:val="18"/>
                <w:b w:val="1"/>
                <w:bCs w:val="1"/>
                <w:color w:val="auto"/>
              </w:rPr>
              <w:t>(Dollars in thousands)</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2023</w:t>
            </w:r>
          </w:p>
        </w:tc>
        <w:tc>
          <w:tcPr>
            <w:tcW w:w="76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jc w:val="right"/>
              <w:ind w:right="710"/>
              <w:spacing w:after="0"/>
              <w:rPr>
                <w:sz w:val="20"/>
                <w:szCs w:val="20"/>
                <w:color w:val="auto"/>
              </w:rPr>
            </w:pPr>
            <w:r>
              <w:rPr>
                <w:rFonts w:ascii="Arial" w:cs="Arial" w:eastAsia="Arial" w:hAnsi="Arial"/>
                <w:sz w:val="18"/>
                <w:szCs w:val="18"/>
                <w:b w:val="1"/>
                <w:bCs w:val="1"/>
                <w:color w:val="auto"/>
              </w:rPr>
              <w:t>2022</w:t>
            </w:r>
          </w:p>
        </w:tc>
        <w:tc>
          <w:tcPr>
            <w:tcW w:w="32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w w:val="98"/>
              </w:rPr>
              <w:t>$ Change</w:t>
            </w:r>
          </w:p>
        </w:tc>
        <w:tc>
          <w:tcPr>
            <w:tcW w:w="280" w:type="dxa"/>
            <w:vAlign w:val="bottom"/>
          </w:tcPr>
          <w:p>
            <w:pPr>
              <w:spacing w:after="0"/>
              <w:rPr>
                <w:sz w:val="21"/>
                <w:szCs w:val="21"/>
                <w:color w:val="auto"/>
              </w:rPr>
            </w:pPr>
          </w:p>
        </w:tc>
        <w:tc>
          <w:tcPr>
            <w:tcW w:w="1480" w:type="dxa"/>
            <w:vAlign w:val="bottom"/>
            <w:tcBorders>
              <w:bottom w:val="single" w:sz="8" w:color="auto"/>
            </w:tcBorders>
          </w:tcPr>
          <w:p>
            <w:pPr>
              <w:ind w:left="280"/>
              <w:spacing w:after="0"/>
              <w:rPr>
                <w:sz w:val="20"/>
                <w:szCs w:val="20"/>
                <w:color w:val="auto"/>
              </w:rPr>
            </w:pPr>
            <w:r>
              <w:rPr>
                <w:rFonts w:ascii="Arial" w:cs="Arial" w:eastAsia="Arial" w:hAnsi="Arial"/>
                <w:sz w:val="18"/>
                <w:szCs w:val="18"/>
                <w:b w:val="1"/>
                <w:bCs w:val="1"/>
                <w:color w:val="auto"/>
              </w:rPr>
              <w:t>% Change</w:t>
            </w:r>
          </w:p>
        </w:tc>
        <w:tc>
          <w:tcPr>
            <w:tcW w:w="60" w:type="dxa"/>
            <w:vAlign w:val="bottom"/>
          </w:tcPr>
          <w:p>
            <w:pPr>
              <w:spacing w:after="0"/>
              <w:rPr>
                <w:sz w:val="21"/>
                <w:szCs w:val="21"/>
                <w:color w:val="auto"/>
              </w:rPr>
            </w:pPr>
          </w:p>
        </w:tc>
      </w:tr>
      <w:tr>
        <w:trPr>
          <w:trHeight w:val="224"/>
        </w:trPr>
        <w:tc>
          <w:tcPr>
            <w:tcW w:w="3840" w:type="dxa"/>
            <w:vAlign w:val="bottom"/>
          </w:tcPr>
          <w:p>
            <w:pPr>
              <w:ind w:left="20"/>
              <w:spacing w:after="0"/>
              <w:rPr>
                <w:sz w:val="20"/>
                <w:szCs w:val="20"/>
                <w:color w:val="auto"/>
              </w:rPr>
            </w:pPr>
            <w:r>
              <w:rPr>
                <w:rFonts w:ascii="Arial" w:cs="Arial" w:eastAsia="Arial" w:hAnsi="Arial"/>
                <w:sz w:val="18"/>
                <w:szCs w:val="18"/>
                <w:color w:val="auto"/>
              </w:rPr>
              <w:t>Net revenues</w:t>
            </w:r>
          </w:p>
        </w:tc>
        <w:tc>
          <w:tcPr>
            <w:tcW w:w="1100" w:type="dxa"/>
            <w:vAlign w:val="bottom"/>
          </w:tcPr>
          <w:p>
            <w:pPr>
              <w:jc w:val="right"/>
              <w:ind w:right="910"/>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ind w:right="50"/>
              <w:spacing w:after="0"/>
              <w:rPr>
                <w:sz w:val="20"/>
                <w:szCs w:val="20"/>
                <w:color w:val="auto"/>
              </w:rPr>
            </w:pPr>
            <w:r>
              <w:rPr>
                <w:rFonts w:ascii="Arial" w:cs="Arial" w:eastAsia="Arial" w:hAnsi="Arial"/>
                <w:sz w:val="18"/>
                <w:szCs w:val="18"/>
                <w:color w:val="auto"/>
                <w:w w:val="92"/>
              </w:rPr>
              <w:t>696,930</w:t>
            </w:r>
          </w:p>
        </w:tc>
        <w:tc>
          <w:tcPr>
            <w:tcW w:w="22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440" w:type="dxa"/>
            <w:vAlign w:val="bottom"/>
          </w:tcPr>
          <w:p>
            <w:pPr>
              <w:jc w:val="right"/>
              <w:ind w:right="30"/>
              <w:spacing w:after="0"/>
              <w:rPr>
                <w:sz w:val="20"/>
                <w:szCs w:val="20"/>
                <w:color w:val="auto"/>
              </w:rPr>
            </w:pPr>
            <w:r>
              <w:rPr>
                <w:rFonts w:ascii="Arial" w:cs="Arial" w:eastAsia="Arial" w:hAnsi="Arial"/>
                <w:sz w:val="18"/>
                <w:szCs w:val="18"/>
                <w:color w:val="auto"/>
              </w:rPr>
              <w:t>662,154</w:t>
            </w:r>
          </w:p>
        </w:tc>
        <w:tc>
          <w:tcPr>
            <w:tcW w:w="3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34,776</w:t>
            </w:r>
          </w:p>
        </w:tc>
        <w:tc>
          <w:tcPr>
            <w:tcW w:w="280" w:type="dxa"/>
            <w:vAlign w:val="bottom"/>
          </w:tcPr>
          <w:p>
            <w:pPr>
              <w:spacing w:after="0"/>
              <w:rPr>
                <w:sz w:val="19"/>
                <w:szCs w:val="19"/>
                <w:color w:val="auto"/>
              </w:rPr>
            </w:pP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5 %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15430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94" w:lineRule="exact"/>
        <w:rPr>
          <w:sz w:val="20"/>
          <w:szCs w:val="20"/>
          <w:color w:val="auto"/>
        </w:rPr>
      </w:pPr>
    </w:p>
    <w:p>
      <w:pPr>
        <w:ind w:right="460" w:firstLine="509"/>
        <w:spacing w:after="0" w:line="277" w:lineRule="auto"/>
        <w:rPr>
          <w:sz w:val="20"/>
          <w:szCs w:val="20"/>
          <w:color w:val="auto"/>
        </w:rPr>
      </w:pPr>
      <w:r>
        <w:rPr>
          <w:rFonts w:ascii="Arial" w:cs="Arial" w:eastAsia="Arial" w:hAnsi="Arial"/>
          <w:sz w:val="18"/>
          <w:szCs w:val="18"/>
          <w:color w:val="auto"/>
        </w:rPr>
        <w:t>The increase in net revenues was primarily attributable to the increase in car wash sales due to growth in UWC Members and the year-over-year addition of 42 locations.</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Store Operating Costs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Labor and Chemicals</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880" w:type="dxa"/>
            <w:vAlign w:val="bottom"/>
          </w:tcPr>
          <w:p>
            <w:pPr>
              <w:spacing w:after="0"/>
              <w:rPr>
                <w:sz w:val="20"/>
                <w:szCs w:val="20"/>
                <w:color w:val="auto"/>
              </w:rPr>
            </w:pPr>
          </w:p>
        </w:tc>
        <w:tc>
          <w:tcPr>
            <w:tcW w:w="328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Nine Months Ended September 30,</w:t>
            </w:r>
          </w:p>
        </w:tc>
        <w:tc>
          <w:tcPr>
            <w:tcW w:w="700" w:type="dxa"/>
            <w:vAlign w:val="bottom"/>
            <w:tcBorders>
              <w:bottom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43"/>
        </w:trPr>
        <w:tc>
          <w:tcPr>
            <w:tcW w:w="3880" w:type="dxa"/>
            <w:vAlign w:val="bottom"/>
          </w:tcPr>
          <w:p>
            <w:pPr>
              <w:ind w:left="960"/>
              <w:spacing w:after="0"/>
              <w:rPr>
                <w:sz w:val="20"/>
                <w:szCs w:val="20"/>
                <w:color w:val="auto"/>
              </w:rPr>
            </w:pPr>
            <w:r>
              <w:rPr>
                <w:rFonts w:ascii="Arial" w:cs="Arial" w:eastAsia="Arial" w:hAnsi="Arial"/>
                <w:sz w:val="18"/>
                <w:szCs w:val="18"/>
                <w:b w:val="1"/>
                <w:bCs w:val="1"/>
                <w:color w:val="auto"/>
              </w:rPr>
              <w:t>(Dollars in thousands)</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2023</w:t>
            </w:r>
          </w:p>
        </w:tc>
        <w:tc>
          <w:tcPr>
            <w:tcW w:w="760" w:type="dxa"/>
            <w:vAlign w:val="bottom"/>
            <w:tcBorders>
              <w:bottom w:val="single" w:sz="8" w:color="auto"/>
            </w:tcBorders>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2022</w:t>
            </w:r>
          </w:p>
        </w:tc>
        <w:tc>
          <w:tcPr>
            <w:tcW w:w="700" w:type="dxa"/>
            <w:vAlign w:val="bottom"/>
            <w:tcBorders>
              <w:bottom w:val="single" w:sz="8" w:color="auto"/>
            </w:tcBorders>
          </w:tcPr>
          <w:p>
            <w:pPr>
              <w:spacing w:after="0"/>
              <w:rPr>
                <w:sz w:val="21"/>
                <w:szCs w:val="21"/>
                <w:color w:val="auto"/>
              </w:rPr>
            </w:pPr>
          </w:p>
        </w:tc>
        <w:tc>
          <w:tcPr>
            <w:tcW w:w="32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w w:val="96"/>
              </w:rPr>
              <w:t>$ Change</w:t>
            </w:r>
          </w:p>
        </w:tc>
        <w:tc>
          <w:tcPr>
            <w:tcW w:w="200" w:type="dxa"/>
            <w:vAlign w:val="bottom"/>
          </w:tcPr>
          <w:p>
            <w:pPr>
              <w:spacing w:after="0"/>
              <w:rPr>
                <w:sz w:val="21"/>
                <w:szCs w:val="21"/>
                <w:color w:val="auto"/>
              </w:rPr>
            </w:pPr>
          </w:p>
        </w:tc>
        <w:tc>
          <w:tcPr>
            <w:tcW w:w="1460" w:type="dxa"/>
            <w:vAlign w:val="bottom"/>
            <w:tcBorders>
              <w:bottom w:val="single" w:sz="8" w:color="auto"/>
            </w:tcBorders>
          </w:tcPr>
          <w:p>
            <w:pPr>
              <w:ind w:left="280"/>
              <w:spacing w:after="0"/>
              <w:rPr>
                <w:sz w:val="20"/>
                <w:szCs w:val="20"/>
                <w:color w:val="auto"/>
              </w:rPr>
            </w:pPr>
            <w:r>
              <w:rPr>
                <w:rFonts w:ascii="Arial" w:cs="Arial" w:eastAsia="Arial" w:hAnsi="Arial"/>
                <w:sz w:val="18"/>
                <w:szCs w:val="18"/>
                <w:b w:val="1"/>
                <w:bCs w:val="1"/>
                <w:color w:val="auto"/>
              </w:rPr>
              <w:t>% Change</w:t>
            </w:r>
          </w:p>
        </w:tc>
        <w:tc>
          <w:tcPr>
            <w:tcW w:w="60" w:type="dxa"/>
            <w:vAlign w:val="bottom"/>
          </w:tcPr>
          <w:p>
            <w:pPr>
              <w:spacing w:after="0"/>
              <w:rPr>
                <w:sz w:val="21"/>
                <w:szCs w:val="21"/>
                <w:color w:val="auto"/>
              </w:rPr>
            </w:pPr>
          </w:p>
        </w:tc>
      </w:tr>
      <w:tr>
        <w:trPr>
          <w:trHeight w:val="224"/>
        </w:trPr>
        <w:tc>
          <w:tcPr>
            <w:tcW w:w="3880" w:type="dxa"/>
            <w:vAlign w:val="bottom"/>
          </w:tcPr>
          <w:p>
            <w:pPr>
              <w:ind w:left="20"/>
              <w:spacing w:after="0"/>
              <w:rPr>
                <w:sz w:val="20"/>
                <w:szCs w:val="20"/>
                <w:color w:val="auto"/>
              </w:rPr>
            </w:pPr>
            <w:r>
              <w:rPr>
                <w:rFonts w:ascii="Arial" w:cs="Arial" w:eastAsia="Arial" w:hAnsi="Arial"/>
                <w:sz w:val="18"/>
                <w:szCs w:val="18"/>
                <w:color w:val="auto"/>
              </w:rPr>
              <w:t>Cost of labor and chemicals</w:t>
            </w:r>
          </w:p>
        </w:tc>
        <w:tc>
          <w:tcPr>
            <w:tcW w:w="1040" w:type="dxa"/>
            <w:vAlign w:val="bottom"/>
          </w:tcPr>
          <w:p>
            <w:pPr>
              <w:jc w:val="right"/>
              <w:ind w:right="850"/>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ind w:right="50"/>
              <w:spacing w:after="0"/>
              <w:rPr>
                <w:sz w:val="20"/>
                <w:szCs w:val="20"/>
                <w:color w:val="auto"/>
              </w:rPr>
            </w:pPr>
            <w:r>
              <w:rPr>
                <w:rFonts w:ascii="Arial" w:cs="Arial" w:eastAsia="Arial" w:hAnsi="Arial"/>
                <w:sz w:val="18"/>
                <w:szCs w:val="18"/>
                <w:color w:val="auto"/>
                <w:w w:val="92"/>
              </w:rPr>
              <w:t>210,376</w:t>
            </w:r>
          </w:p>
        </w:tc>
        <w:tc>
          <w:tcPr>
            <w:tcW w:w="320" w:type="dxa"/>
            <w:vAlign w:val="bottom"/>
          </w:tcPr>
          <w:p>
            <w:pPr>
              <w:spacing w:after="0"/>
              <w:rPr>
                <w:sz w:val="19"/>
                <w:szCs w:val="19"/>
                <w:color w:val="auto"/>
              </w:rPr>
            </w:pPr>
          </w:p>
        </w:tc>
        <w:tc>
          <w:tcPr>
            <w:tcW w:w="1160" w:type="dxa"/>
            <w:vAlign w:val="bottom"/>
          </w:tcPr>
          <w:p>
            <w:pPr>
              <w:jc w:val="right"/>
              <w:ind w:right="970"/>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ind w:right="30"/>
              <w:spacing w:after="0"/>
              <w:rPr>
                <w:sz w:val="20"/>
                <w:szCs w:val="20"/>
                <w:color w:val="auto"/>
              </w:rPr>
            </w:pPr>
            <w:r>
              <w:rPr>
                <w:rFonts w:ascii="Arial" w:cs="Arial" w:eastAsia="Arial" w:hAnsi="Arial"/>
                <w:sz w:val="18"/>
                <w:szCs w:val="18"/>
                <w:color w:val="auto"/>
                <w:w w:val="86"/>
              </w:rPr>
              <w:t>203,117</w:t>
            </w:r>
          </w:p>
        </w:tc>
        <w:tc>
          <w:tcPr>
            <w:tcW w:w="3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7,259</w:t>
            </w:r>
          </w:p>
        </w:tc>
        <w:tc>
          <w:tcPr>
            <w:tcW w:w="200" w:type="dxa"/>
            <w:vAlign w:val="bottom"/>
          </w:tcPr>
          <w:p>
            <w:pPr>
              <w:spacing w:after="0"/>
              <w:rPr>
                <w:sz w:val="19"/>
                <w:szCs w:val="19"/>
                <w:color w:val="auto"/>
              </w:rPr>
            </w:pP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4 %</w:t>
            </w:r>
          </w:p>
        </w:tc>
      </w:tr>
      <w:tr>
        <w:trPr>
          <w:trHeight w:val="242"/>
        </w:trPr>
        <w:tc>
          <w:tcPr>
            <w:tcW w:w="3880" w:type="dxa"/>
            <w:vAlign w:val="bottom"/>
          </w:tcPr>
          <w:p>
            <w:pPr>
              <w:ind w:left="20"/>
              <w:spacing w:after="0"/>
              <w:rPr>
                <w:sz w:val="20"/>
                <w:szCs w:val="20"/>
                <w:color w:val="auto"/>
              </w:rPr>
            </w:pPr>
            <w:r>
              <w:rPr>
                <w:rFonts w:ascii="Arial" w:cs="Arial" w:eastAsia="Arial" w:hAnsi="Arial"/>
                <w:sz w:val="18"/>
                <w:szCs w:val="18"/>
                <w:color w:val="auto"/>
              </w:rPr>
              <w:t>Percentage of net revenues</w:t>
            </w:r>
          </w:p>
        </w:tc>
        <w:tc>
          <w:tcPr>
            <w:tcW w:w="1040" w:type="dxa"/>
            <w:vAlign w:val="bottom"/>
          </w:tcPr>
          <w:p>
            <w:pPr>
              <w:spacing w:after="0"/>
              <w:rPr>
                <w:sz w:val="21"/>
                <w:szCs w:val="21"/>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30 %</w:t>
            </w:r>
          </w:p>
        </w:tc>
        <w:tc>
          <w:tcPr>
            <w:tcW w:w="1160" w:type="dxa"/>
            <w:vAlign w:val="bottom"/>
          </w:tcPr>
          <w:p>
            <w:pPr>
              <w:spacing w:after="0"/>
              <w:rPr>
                <w:sz w:val="21"/>
                <w:szCs w:val="21"/>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rPr>
              <w:t>31 %</w:t>
            </w:r>
          </w:p>
        </w:tc>
        <w:tc>
          <w:tcPr>
            <w:tcW w:w="2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60" w:type="dxa"/>
            <w:vAlign w:val="bottom"/>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-299085</wp:posOffset>
            </wp:positionV>
            <wp:extent cx="7132320" cy="15430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95" w:lineRule="exact"/>
        <w:rPr>
          <w:sz w:val="20"/>
          <w:szCs w:val="20"/>
          <w:color w:val="auto"/>
        </w:rPr>
      </w:pPr>
    </w:p>
    <w:p>
      <w:pPr>
        <w:jc w:val="both"/>
        <w:ind w:right="800" w:firstLine="509"/>
        <w:spacing w:after="0" w:line="311" w:lineRule="auto"/>
        <w:rPr>
          <w:sz w:val="20"/>
          <w:szCs w:val="20"/>
          <w:color w:val="auto"/>
        </w:rPr>
      </w:pPr>
      <w:r>
        <w:rPr>
          <w:rFonts w:ascii="Arial" w:cs="Arial" w:eastAsia="Arial" w:hAnsi="Arial"/>
          <w:sz w:val="16"/>
          <w:szCs w:val="16"/>
          <w:color w:val="auto"/>
        </w:rPr>
        <w:t>The increase in the cost of labor and chemicals is primarily attributable to the year-over-year addition of 42 locations and some inflationary pressures on our wash chemicals and supplies. The increase from additional stores and inflationary pressures were partially offset by a decrease of approximately $4.4 million in store labor costs from optimized scheduling guidelines implemented in the second half of fiscal year 2022.</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40" w:type="dxa"/>
            <w:vAlign w:val="bottom"/>
          </w:tcPr>
          <w:p>
            <w:pPr>
              <w:spacing w:after="0"/>
              <w:rPr>
                <w:sz w:val="20"/>
                <w:szCs w:val="20"/>
                <w:color w:val="auto"/>
              </w:rPr>
            </w:pPr>
            <w:r>
              <w:rPr>
                <w:rFonts w:ascii="Arial" w:cs="Arial" w:eastAsia="Arial" w:hAnsi="Arial"/>
                <w:sz w:val="18"/>
                <w:szCs w:val="18"/>
                <w:b w:val="1"/>
                <w:bCs w:val="1"/>
                <w:i w:val="1"/>
                <w:iCs w:val="1"/>
                <w:color w:val="auto"/>
              </w:rPr>
              <w:t>Other Store Operating Expenses</w:t>
            </w:r>
          </w:p>
        </w:tc>
        <w:tc>
          <w:tcPr>
            <w:tcW w:w="3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479"/>
        </w:trPr>
        <w:tc>
          <w:tcPr>
            <w:tcW w:w="3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720" w:type="dxa"/>
            <w:vAlign w:val="bottom"/>
            <w:gridSpan w:val="5"/>
          </w:tcPr>
          <w:p>
            <w:pPr>
              <w:jc w:val="right"/>
              <w:ind w:right="860"/>
              <w:spacing w:after="0"/>
              <w:rPr>
                <w:sz w:val="20"/>
                <w:szCs w:val="20"/>
                <w:color w:val="auto"/>
              </w:rPr>
            </w:pPr>
            <w:r>
              <w:rPr>
                <w:rFonts w:ascii="Arial" w:cs="Arial" w:eastAsia="Arial" w:hAnsi="Arial"/>
                <w:sz w:val="18"/>
                <w:szCs w:val="18"/>
                <w:b w:val="1"/>
                <w:bCs w:val="1"/>
                <w:color w:val="auto"/>
                <w:w w:val="95"/>
              </w:rPr>
              <w:t>Nine Months Ended September 30,</w:t>
            </w:r>
          </w:p>
        </w:tc>
        <w:tc>
          <w:tcPr>
            <w:tcW w:w="2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43"/>
        </w:trPr>
        <w:tc>
          <w:tcPr>
            <w:tcW w:w="3640" w:type="dxa"/>
            <w:vAlign w:val="bottom"/>
          </w:tcPr>
          <w:p>
            <w:pPr>
              <w:ind w:left="860"/>
              <w:spacing w:after="0"/>
              <w:rPr>
                <w:sz w:val="20"/>
                <w:szCs w:val="20"/>
                <w:color w:val="auto"/>
              </w:rPr>
            </w:pPr>
            <w:r>
              <w:rPr>
                <w:rFonts w:ascii="Arial" w:cs="Arial" w:eastAsia="Arial" w:hAnsi="Arial"/>
                <w:sz w:val="18"/>
                <w:szCs w:val="18"/>
                <w:b w:val="1"/>
                <w:bCs w:val="1"/>
                <w:color w:val="auto"/>
              </w:rPr>
              <w:t>(Dollars in thousands)</w:t>
            </w:r>
          </w:p>
        </w:tc>
        <w:tc>
          <w:tcPr>
            <w:tcW w:w="300" w:type="dxa"/>
            <w:vAlign w:val="bottom"/>
            <w:tcBorders>
              <w:top w:val="single" w:sz="8" w:color="auto"/>
              <w:bottom w:val="single" w:sz="8" w:color="auto"/>
            </w:tcBorders>
          </w:tcPr>
          <w:p>
            <w:pPr>
              <w:spacing w:after="0"/>
              <w:rPr>
                <w:sz w:val="21"/>
                <w:szCs w:val="21"/>
                <w:color w:val="auto"/>
              </w:rPr>
            </w:pPr>
          </w:p>
        </w:tc>
        <w:tc>
          <w:tcPr>
            <w:tcW w:w="1380" w:type="dxa"/>
            <w:vAlign w:val="bottom"/>
            <w:tcBorders>
              <w:top w:val="single" w:sz="8" w:color="auto"/>
              <w:bottom w:val="single" w:sz="8" w:color="auto"/>
            </w:tcBorders>
          </w:tcPr>
          <w:p>
            <w:pPr>
              <w:jc w:val="right"/>
              <w:ind w:right="630"/>
              <w:spacing w:after="0"/>
              <w:rPr>
                <w:sz w:val="20"/>
                <w:szCs w:val="20"/>
                <w:color w:val="auto"/>
              </w:rPr>
            </w:pPr>
            <w:r>
              <w:rPr>
                <w:rFonts w:ascii="Arial" w:cs="Arial" w:eastAsia="Arial" w:hAnsi="Arial"/>
                <w:sz w:val="18"/>
                <w:szCs w:val="18"/>
                <w:b w:val="1"/>
                <w:bCs w:val="1"/>
                <w:color w:val="auto"/>
              </w:rPr>
              <w:t>2023</w:t>
            </w:r>
          </w:p>
        </w:tc>
        <w:tc>
          <w:tcPr>
            <w:tcW w:w="280" w:type="dxa"/>
            <w:vAlign w:val="bottom"/>
            <w:tcBorders>
              <w:top w:val="single" w:sz="8" w:color="auto"/>
            </w:tcBorders>
          </w:tcPr>
          <w:p>
            <w:pPr>
              <w:spacing w:after="0"/>
              <w:rPr>
                <w:sz w:val="21"/>
                <w:szCs w:val="21"/>
                <w:color w:val="auto"/>
              </w:rPr>
            </w:pPr>
          </w:p>
        </w:tc>
        <w:tc>
          <w:tcPr>
            <w:tcW w:w="380" w:type="dxa"/>
            <w:vAlign w:val="bottom"/>
            <w:tcBorders>
              <w:top w:val="single" w:sz="8" w:color="auto"/>
              <w:bottom w:val="single" w:sz="8" w:color="auto"/>
            </w:tcBorders>
          </w:tcPr>
          <w:p>
            <w:pPr>
              <w:spacing w:after="0"/>
              <w:rPr>
                <w:sz w:val="21"/>
                <w:szCs w:val="21"/>
                <w:color w:val="auto"/>
              </w:rPr>
            </w:pPr>
          </w:p>
        </w:tc>
        <w:tc>
          <w:tcPr>
            <w:tcW w:w="1420" w:type="dxa"/>
            <w:vAlign w:val="bottom"/>
            <w:tcBorders>
              <w:top w:val="single" w:sz="8" w:color="auto"/>
              <w:bottom w:val="single" w:sz="8" w:color="auto"/>
            </w:tcBorders>
          </w:tcPr>
          <w:p>
            <w:pPr>
              <w:jc w:val="right"/>
              <w:ind w:right="690"/>
              <w:spacing w:after="0"/>
              <w:rPr>
                <w:sz w:val="20"/>
                <w:szCs w:val="20"/>
                <w:color w:val="auto"/>
              </w:rPr>
            </w:pPr>
            <w:r>
              <w:rPr>
                <w:rFonts w:ascii="Arial" w:cs="Arial" w:eastAsia="Arial" w:hAnsi="Arial"/>
                <w:sz w:val="18"/>
                <w:szCs w:val="18"/>
                <w:b w:val="1"/>
                <w:bCs w:val="1"/>
                <w:color w:val="auto"/>
              </w:rPr>
              <w:t>2022</w:t>
            </w:r>
          </w:p>
        </w:tc>
        <w:tc>
          <w:tcPr>
            <w:tcW w:w="26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 Change</w:t>
            </w:r>
          </w:p>
        </w:tc>
        <w:tc>
          <w:tcPr>
            <w:tcW w:w="200" w:type="dxa"/>
            <w:vAlign w:val="bottom"/>
          </w:tcPr>
          <w:p>
            <w:pPr>
              <w:spacing w:after="0"/>
              <w:rPr>
                <w:sz w:val="21"/>
                <w:szCs w:val="21"/>
                <w:color w:val="auto"/>
              </w:rPr>
            </w:pPr>
          </w:p>
        </w:tc>
        <w:tc>
          <w:tcPr>
            <w:tcW w:w="1720" w:type="dxa"/>
            <w:vAlign w:val="bottom"/>
            <w:tcBorders>
              <w:bottom w:val="single" w:sz="8" w:color="auto"/>
            </w:tcBorders>
          </w:tcPr>
          <w:p>
            <w:pPr>
              <w:ind w:left="400"/>
              <w:spacing w:after="0"/>
              <w:rPr>
                <w:sz w:val="20"/>
                <w:szCs w:val="20"/>
                <w:color w:val="auto"/>
              </w:rPr>
            </w:pPr>
            <w:r>
              <w:rPr>
                <w:rFonts w:ascii="Arial" w:cs="Arial" w:eastAsia="Arial" w:hAnsi="Arial"/>
                <w:sz w:val="18"/>
                <w:szCs w:val="18"/>
                <w:b w:val="1"/>
                <w:bCs w:val="1"/>
                <w:color w:val="auto"/>
              </w:rPr>
              <w:t>% Change</w:t>
            </w:r>
          </w:p>
        </w:tc>
        <w:tc>
          <w:tcPr>
            <w:tcW w:w="60" w:type="dxa"/>
            <w:vAlign w:val="bottom"/>
          </w:tcPr>
          <w:p>
            <w:pPr>
              <w:spacing w:after="0"/>
              <w:rPr>
                <w:sz w:val="21"/>
                <w:szCs w:val="21"/>
                <w:color w:val="auto"/>
              </w:rPr>
            </w:pPr>
          </w:p>
        </w:tc>
      </w:tr>
      <w:tr>
        <w:trPr>
          <w:trHeight w:val="224"/>
        </w:trPr>
        <w:tc>
          <w:tcPr>
            <w:tcW w:w="3640" w:type="dxa"/>
            <w:vAlign w:val="bottom"/>
          </w:tcPr>
          <w:p>
            <w:pPr>
              <w:ind w:left="20"/>
              <w:spacing w:after="0"/>
              <w:rPr>
                <w:sz w:val="20"/>
                <w:szCs w:val="20"/>
                <w:color w:val="auto"/>
              </w:rPr>
            </w:pPr>
            <w:r>
              <w:rPr>
                <w:rFonts w:ascii="Arial" w:cs="Arial" w:eastAsia="Arial" w:hAnsi="Arial"/>
                <w:sz w:val="18"/>
                <w:szCs w:val="18"/>
                <w:color w:val="auto"/>
              </w:rPr>
              <w:t>Other store operating expenses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50"/>
              <w:spacing w:after="0"/>
              <w:rPr>
                <w:sz w:val="20"/>
                <w:szCs w:val="20"/>
                <w:color w:val="auto"/>
              </w:rPr>
            </w:pPr>
            <w:r>
              <w:rPr>
                <w:rFonts w:ascii="Arial" w:cs="Arial" w:eastAsia="Arial" w:hAnsi="Arial"/>
                <w:sz w:val="18"/>
                <w:szCs w:val="18"/>
                <w:color w:val="auto"/>
              </w:rPr>
              <w:t>270,317</w:t>
            </w:r>
          </w:p>
        </w:tc>
        <w:tc>
          <w:tcPr>
            <w:tcW w:w="28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420" w:type="dxa"/>
            <w:vAlign w:val="bottom"/>
          </w:tcPr>
          <w:p>
            <w:pPr>
              <w:jc w:val="right"/>
              <w:ind w:right="50"/>
              <w:spacing w:after="0"/>
              <w:rPr>
                <w:sz w:val="20"/>
                <w:szCs w:val="20"/>
                <w:color w:val="auto"/>
              </w:rPr>
            </w:pPr>
            <w:r>
              <w:rPr>
                <w:rFonts w:ascii="Arial" w:cs="Arial" w:eastAsia="Arial" w:hAnsi="Arial"/>
                <w:sz w:val="18"/>
                <w:szCs w:val="18"/>
                <w:color w:val="auto"/>
              </w:rPr>
              <w:t>239,173</w:t>
            </w:r>
          </w:p>
        </w:tc>
        <w:tc>
          <w:tcPr>
            <w:tcW w:w="26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31,144</w:t>
            </w:r>
          </w:p>
        </w:tc>
        <w:tc>
          <w:tcPr>
            <w:tcW w:w="200" w:type="dxa"/>
            <w:vAlign w:val="bottom"/>
          </w:tcPr>
          <w:p>
            <w:pPr>
              <w:spacing w:after="0"/>
              <w:rPr>
                <w:sz w:val="19"/>
                <w:szCs w:val="19"/>
                <w:color w:val="auto"/>
              </w:rPr>
            </w:pPr>
          </w:p>
        </w:tc>
        <w:tc>
          <w:tcPr>
            <w:tcW w:w="1780" w:type="dxa"/>
            <w:vAlign w:val="bottom"/>
            <w:gridSpan w:val="2"/>
          </w:tcPr>
          <w:p>
            <w:pPr>
              <w:jc w:val="right"/>
              <w:spacing w:after="0"/>
              <w:rPr>
                <w:sz w:val="20"/>
                <w:szCs w:val="20"/>
                <w:color w:val="auto"/>
              </w:rPr>
            </w:pPr>
            <w:r>
              <w:rPr>
                <w:rFonts w:ascii="Arial" w:cs="Arial" w:eastAsia="Arial" w:hAnsi="Arial"/>
                <w:sz w:val="18"/>
                <w:szCs w:val="18"/>
                <w:color w:val="auto"/>
              </w:rPr>
              <w:t>13 %</w:t>
            </w:r>
          </w:p>
        </w:tc>
      </w:tr>
      <w:tr>
        <w:trPr>
          <w:trHeight w:val="242"/>
        </w:trPr>
        <w:tc>
          <w:tcPr>
            <w:tcW w:w="3640" w:type="dxa"/>
            <w:vAlign w:val="bottom"/>
          </w:tcPr>
          <w:p>
            <w:pPr>
              <w:ind w:left="20"/>
              <w:spacing w:after="0"/>
              <w:rPr>
                <w:sz w:val="20"/>
                <w:szCs w:val="20"/>
                <w:color w:val="auto"/>
              </w:rPr>
            </w:pPr>
            <w:r>
              <w:rPr>
                <w:rFonts w:ascii="Arial" w:cs="Arial" w:eastAsia="Arial" w:hAnsi="Arial"/>
                <w:sz w:val="18"/>
                <w:szCs w:val="18"/>
                <w:color w:val="auto"/>
              </w:rPr>
              <w:t>Percentage of net revenues</w:t>
            </w:r>
          </w:p>
        </w:tc>
        <w:tc>
          <w:tcPr>
            <w:tcW w:w="300" w:type="dxa"/>
            <w:vAlign w:val="bottom"/>
          </w:tcPr>
          <w:p>
            <w:pPr>
              <w:spacing w:after="0"/>
              <w:rPr>
                <w:sz w:val="21"/>
                <w:szCs w:val="21"/>
                <w:color w:val="auto"/>
              </w:rPr>
            </w:pPr>
          </w:p>
        </w:tc>
        <w:tc>
          <w:tcPr>
            <w:tcW w:w="1660" w:type="dxa"/>
            <w:vAlign w:val="bottom"/>
            <w:gridSpan w:val="2"/>
          </w:tcPr>
          <w:p>
            <w:pPr>
              <w:jc w:val="right"/>
              <w:ind w:right="240"/>
              <w:spacing w:after="0"/>
              <w:rPr>
                <w:sz w:val="20"/>
                <w:szCs w:val="20"/>
                <w:color w:val="auto"/>
              </w:rPr>
            </w:pPr>
            <w:r>
              <w:rPr>
                <w:rFonts w:ascii="Arial" w:cs="Arial" w:eastAsia="Arial" w:hAnsi="Arial"/>
                <w:sz w:val="18"/>
                <w:szCs w:val="18"/>
                <w:color w:val="auto"/>
              </w:rPr>
              <w:t>39 %</w:t>
            </w:r>
          </w:p>
        </w:tc>
        <w:tc>
          <w:tcPr>
            <w:tcW w:w="380" w:type="dxa"/>
            <w:vAlign w:val="bottom"/>
          </w:tcPr>
          <w:p>
            <w:pPr>
              <w:spacing w:after="0"/>
              <w:rPr>
                <w:sz w:val="21"/>
                <w:szCs w:val="21"/>
                <w:color w:val="auto"/>
              </w:rPr>
            </w:pPr>
          </w:p>
        </w:tc>
        <w:tc>
          <w:tcPr>
            <w:tcW w:w="1680" w:type="dxa"/>
            <w:vAlign w:val="bottom"/>
            <w:gridSpan w:val="2"/>
          </w:tcPr>
          <w:p>
            <w:pPr>
              <w:jc w:val="right"/>
              <w:ind w:right="220"/>
              <w:spacing w:after="0"/>
              <w:rPr>
                <w:sz w:val="20"/>
                <w:szCs w:val="20"/>
                <w:color w:val="auto"/>
              </w:rPr>
            </w:pPr>
            <w:r>
              <w:rPr>
                <w:rFonts w:ascii="Arial" w:cs="Arial" w:eastAsia="Arial" w:hAnsi="Arial"/>
                <w:sz w:val="18"/>
                <w:szCs w:val="18"/>
                <w:color w:val="auto"/>
              </w:rPr>
              <w:t>36 %</w:t>
            </w:r>
          </w:p>
        </w:tc>
        <w:tc>
          <w:tcPr>
            <w:tcW w:w="26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60" w:type="dxa"/>
            <w:vAlign w:val="bottom"/>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-299085</wp:posOffset>
            </wp:positionV>
            <wp:extent cx="7132320" cy="15430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95" w:lineRule="exact"/>
        <w:rPr>
          <w:sz w:val="20"/>
          <w:szCs w:val="20"/>
          <w:color w:val="auto"/>
        </w:rPr>
      </w:pPr>
    </w:p>
    <w:p>
      <w:pPr>
        <w:ind w:right="180" w:firstLine="509"/>
        <w:spacing w:after="0" w:line="341" w:lineRule="auto"/>
        <w:rPr>
          <w:sz w:val="20"/>
          <w:szCs w:val="20"/>
          <w:color w:val="auto"/>
        </w:rPr>
      </w:pPr>
      <w:r>
        <w:rPr>
          <w:rFonts w:ascii="Arial" w:cs="Arial" w:eastAsia="Arial" w:hAnsi="Arial"/>
          <w:sz w:val="16"/>
          <w:szCs w:val="16"/>
          <w:color w:val="auto"/>
        </w:rPr>
        <w:t>The increase in other store operating expenses was attributable to the year-over-year addition of 42 locations and some inflationary pressures on our utilities and maintenance expenses. Rent expense increased approximately $11.0 million primarily due to the addition of 50 new car wash leases.</w:t>
      </w:r>
    </w:p>
    <w:p>
      <w:pPr>
        <w:spacing w:after="0" w:line="200" w:lineRule="exact"/>
        <w:rPr>
          <w:sz w:val="20"/>
          <w:szCs w:val="20"/>
          <w:color w:val="auto"/>
        </w:rPr>
      </w:pPr>
    </w:p>
    <w:p>
      <w:pPr>
        <w:spacing w:after="0" w:line="248"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40"/>
          </w:cols>
          <w:pgMar w:left="320" w:top="350" w:right="239" w:bottom="1440" w:gutter="0" w:footer="0" w:header="0"/>
        </w:sectPr>
      </w:pPr>
    </w:p>
    <w:bookmarkStart w:id="29" w:name="page30"/>
    <w:bookmarkEnd w:id="29"/>
    <w:tbl>
      <w:tblPr>
        <w:tblLayout w:type="fixed"/>
        <w:tblInd w:w="0" w:type="dxa"/>
        <w:tblCellMar>
          <w:top w:w="0" w:type="dxa"/>
          <w:left w:w="0" w:type="dxa"/>
          <w:bottom w:w="0" w:type="dxa"/>
          <w:right w:w="0" w:type="dxa"/>
        </w:tblCellMar>
      </w:tblPr>
      <w:tr>
        <w:trPr>
          <w:trHeight w:val="230"/>
        </w:trPr>
        <w:tc>
          <w:tcPr>
            <w:tcW w:w="3640" w:type="dxa"/>
            <w:vAlign w:val="bottom"/>
          </w:tcPr>
          <w:p>
            <w:pPr>
              <w:spacing w:after="0"/>
              <w:rPr>
                <w:sz w:val="20"/>
                <w:szCs w:val="20"/>
                <w:color w:val="auto"/>
              </w:rPr>
            </w:pPr>
            <w:r>
              <w:rPr>
                <w:rFonts w:ascii="Arial" w:cs="Arial" w:eastAsia="Arial" w:hAnsi="Arial"/>
                <w:sz w:val="18"/>
                <w:szCs w:val="18"/>
                <w:b w:val="1"/>
                <w:bCs w:val="1"/>
                <w:i w:val="1"/>
                <w:iCs w:val="1"/>
                <w:color w:val="auto"/>
              </w:rPr>
              <w:t>General and Administrative</w:t>
            </w:r>
          </w:p>
        </w:tc>
        <w:tc>
          <w:tcPr>
            <w:tcW w:w="28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479"/>
        </w:trPr>
        <w:tc>
          <w:tcPr>
            <w:tcW w:w="3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60" w:type="dxa"/>
            <w:vAlign w:val="bottom"/>
            <w:gridSpan w:val="5"/>
          </w:tcPr>
          <w:p>
            <w:pPr>
              <w:jc w:val="right"/>
              <w:ind w:right="800"/>
              <w:spacing w:after="0"/>
              <w:rPr>
                <w:sz w:val="20"/>
                <w:szCs w:val="20"/>
                <w:color w:val="auto"/>
              </w:rPr>
            </w:pPr>
            <w:r>
              <w:rPr>
                <w:rFonts w:ascii="Arial" w:cs="Arial" w:eastAsia="Arial" w:hAnsi="Arial"/>
                <w:sz w:val="18"/>
                <w:szCs w:val="18"/>
                <w:b w:val="1"/>
                <w:bCs w:val="1"/>
                <w:color w:val="auto"/>
                <w:w w:val="95"/>
              </w:rPr>
              <w:t>Nine Months Ended September 30,</w:t>
            </w:r>
          </w:p>
        </w:tc>
        <w:tc>
          <w:tcPr>
            <w:tcW w:w="2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43"/>
        </w:trPr>
        <w:tc>
          <w:tcPr>
            <w:tcW w:w="3640" w:type="dxa"/>
            <w:vAlign w:val="bottom"/>
          </w:tcPr>
          <w:p>
            <w:pPr>
              <w:ind w:left="860"/>
              <w:spacing w:after="0"/>
              <w:rPr>
                <w:sz w:val="20"/>
                <w:szCs w:val="20"/>
                <w:color w:val="auto"/>
              </w:rPr>
            </w:pPr>
            <w:r>
              <w:rPr>
                <w:rFonts w:ascii="Arial" w:cs="Arial" w:eastAsia="Arial" w:hAnsi="Arial"/>
                <w:sz w:val="18"/>
                <w:szCs w:val="18"/>
                <w:b w:val="1"/>
                <w:bCs w:val="1"/>
                <w:color w:val="auto"/>
              </w:rPr>
              <w:t>(Dollars in thousands)</w:t>
            </w:r>
          </w:p>
        </w:tc>
        <w:tc>
          <w:tcPr>
            <w:tcW w:w="280" w:type="dxa"/>
            <w:vAlign w:val="bottom"/>
            <w:tcBorders>
              <w:top w:val="single" w:sz="8" w:color="auto"/>
              <w:bottom w:val="single" w:sz="8" w:color="auto"/>
            </w:tcBorders>
          </w:tcPr>
          <w:p>
            <w:pPr>
              <w:spacing w:after="0"/>
              <w:rPr>
                <w:sz w:val="21"/>
                <w:szCs w:val="21"/>
                <w:color w:val="auto"/>
              </w:rPr>
            </w:pPr>
          </w:p>
        </w:tc>
        <w:tc>
          <w:tcPr>
            <w:tcW w:w="1400" w:type="dxa"/>
            <w:vAlign w:val="bottom"/>
            <w:tcBorders>
              <w:top w:val="single" w:sz="8" w:color="auto"/>
              <w:bottom w:val="single" w:sz="8" w:color="auto"/>
            </w:tcBorders>
          </w:tcPr>
          <w:p>
            <w:pPr>
              <w:jc w:val="right"/>
              <w:ind w:right="630"/>
              <w:spacing w:after="0"/>
              <w:rPr>
                <w:sz w:val="20"/>
                <w:szCs w:val="20"/>
                <w:color w:val="auto"/>
              </w:rPr>
            </w:pPr>
            <w:r>
              <w:rPr>
                <w:rFonts w:ascii="Arial" w:cs="Arial" w:eastAsia="Arial" w:hAnsi="Arial"/>
                <w:sz w:val="18"/>
                <w:szCs w:val="18"/>
                <w:b w:val="1"/>
                <w:bCs w:val="1"/>
                <w:color w:val="auto"/>
              </w:rPr>
              <w:t>2023</w:t>
            </w:r>
          </w:p>
        </w:tc>
        <w:tc>
          <w:tcPr>
            <w:tcW w:w="260" w:type="dxa"/>
            <w:vAlign w:val="bottom"/>
            <w:tcBorders>
              <w:top w:val="single" w:sz="8" w:color="auto"/>
            </w:tcBorders>
          </w:tcPr>
          <w:p>
            <w:pPr>
              <w:spacing w:after="0"/>
              <w:rPr>
                <w:sz w:val="21"/>
                <w:szCs w:val="21"/>
                <w:color w:val="auto"/>
              </w:rPr>
            </w:pPr>
          </w:p>
        </w:tc>
        <w:tc>
          <w:tcPr>
            <w:tcW w:w="360" w:type="dxa"/>
            <w:vAlign w:val="bottom"/>
            <w:tcBorders>
              <w:top w:val="single" w:sz="8" w:color="auto"/>
              <w:bottom w:val="single" w:sz="8" w:color="auto"/>
            </w:tcBorders>
          </w:tcPr>
          <w:p>
            <w:pPr>
              <w:spacing w:after="0"/>
              <w:rPr>
                <w:sz w:val="21"/>
                <w:szCs w:val="21"/>
                <w:color w:val="auto"/>
              </w:rPr>
            </w:pPr>
          </w:p>
        </w:tc>
        <w:tc>
          <w:tcPr>
            <w:tcW w:w="1380" w:type="dxa"/>
            <w:vAlign w:val="bottom"/>
            <w:tcBorders>
              <w:top w:val="single" w:sz="8" w:color="auto"/>
              <w:bottom w:val="single" w:sz="8" w:color="auto"/>
            </w:tcBorders>
          </w:tcPr>
          <w:p>
            <w:pPr>
              <w:jc w:val="right"/>
              <w:ind w:right="650"/>
              <w:spacing w:after="0"/>
              <w:rPr>
                <w:sz w:val="20"/>
                <w:szCs w:val="20"/>
                <w:color w:val="auto"/>
              </w:rPr>
            </w:pPr>
            <w:r>
              <w:rPr>
                <w:rFonts w:ascii="Arial" w:cs="Arial" w:eastAsia="Arial" w:hAnsi="Arial"/>
                <w:sz w:val="18"/>
                <w:szCs w:val="18"/>
                <w:b w:val="1"/>
                <w:bCs w:val="1"/>
                <w:color w:val="auto"/>
              </w:rPr>
              <w:t>2022</w:t>
            </w:r>
          </w:p>
        </w:tc>
        <w:tc>
          <w:tcPr>
            <w:tcW w:w="26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 Change</w:t>
            </w:r>
          </w:p>
        </w:tc>
        <w:tc>
          <w:tcPr>
            <w:tcW w:w="200" w:type="dxa"/>
            <w:vAlign w:val="bottom"/>
          </w:tcPr>
          <w:p>
            <w:pPr>
              <w:spacing w:after="0"/>
              <w:rPr>
                <w:sz w:val="21"/>
                <w:szCs w:val="21"/>
                <w:color w:val="auto"/>
              </w:rPr>
            </w:pPr>
          </w:p>
        </w:tc>
        <w:tc>
          <w:tcPr>
            <w:tcW w:w="1760" w:type="dxa"/>
            <w:vAlign w:val="bottom"/>
            <w:tcBorders>
              <w:bottom w:val="single" w:sz="8" w:color="auto"/>
            </w:tcBorders>
          </w:tcPr>
          <w:p>
            <w:pPr>
              <w:ind w:left="420"/>
              <w:spacing w:after="0"/>
              <w:rPr>
                <w:sz w:val="20"/>
                <w:szCs w:val="20"/>
                <w:color w:val="auto"/>
              </w:rPr>
            </w:pPr>
            <w:r>
              <w:rPr>
                <w:rFonts w:ascii="Arial" w:cs="Arial" w:eastAsia="Arial" w:hAnsi="Arial"/>
                <w:sz w:val="18"/>
                <w:szCs w:val="18"/>
                <w:b w:val="1"/>
                <w:bCs w:val="1"/>
                <w:color w:val="auto"/>
              </w:rPr>
              <w:t>% Change</w:t>
            </w:r>
          </w:p>
        </w:tc>
        <w:tc>
          <w:tcPr>
            <w:tcW w:w="60" w:type="dxa"/>
            <w:vAlign w:val="bottom"/>
          </w:tcPr>
          <w:p>
            <w:pPr>
              <w:spacing w:after="0"/>
              <w:rPr>
                <w:sz w:val="21"/>
                <w:szCs w:val="21"/>
                <w:color w:val="auto"/>
              </w:rPr>
            </w:pPr>
          </w:p>
        </w:tc>
      </w:tr>
      <w:tr>
        <w:trPr>
          <w:trHeight w:val="224"/>
        </w:trPr>
        <w:tc>
          <w:tcPr>
            <w:tcW w:w="3640" w:type="dxa"/>
            <w:vAlign w:val="bottom"/>
          </w:tcPr>
          <w:p>
            <w:pPr>
              <w:ind w:left="20"/>
              <w:spacing w:after="0"/>
              <w:rPr>
                <w:sz w:val="20"/>
                <w:szCs w:val="20"/>
                <w:color w:val="auto"/>
              </w:rPr>
            </w:pPr>
            <w:r>
              <w:rPr>
                <w:rFonts w:ascii="Arial" w:cs="Arial" w:eastAsia="Arial" w:hAnsi="Arial"/>
                <w:sz w:val="18"/>
                <w:szCs w:val="18"/>
                <w:color w:val="auto"/>
              </w:rPr>
              <w:t>General and administrative</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50"/>
              <w:spacing w:after="0"/>
              <w:rPr>
                <w:sz w:val="20"/>
                <w:szCs w:val="20"/>
                <w:color w:val="auto"/>
              </w:rPr>
            </w:pPr>
            <w:r>
              <w:rPr>
                <w:rFonts w:ascii="Arial" w:cs="Arial" w:eastAsia="Arial" w:hAnsi="Arial"/>
                <w:sz w:val="18"/>
                <w:szCs w:val="18"/>
                <w:color w:val="auto"/>
              </w:rPr>
              <w:t>78,438</w:t>
            </w:r>
          </w:p>
        </w:tc>
        <w:tc>
          <w:tcPr>
            <w:tcW w:w="26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74,040</w:t>
            </w:r>
          </w:p>
        </w:tc>
        <w:tc>
          <w:tcPr>
            <w:tcW w:w="26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440" w:type="dxa"/>
            <w:vAlign w:val="bottom"/>
          </w:tcPr>
          <w:p>
            <w:pPr>
              <w:jc w:val="right"/>
              <w:ind w:right="30"/>
              <w:spacing w:after="0"/>
              <w:rPr>
                <w:sz w:val="20"/>
                <w:szCs w:val="20"/>
                <w:color w:val="auto"/>
              </w:rPr>
            </w:pPr>
            <w:r>
              <w:rPr>
                <w:rFonts w:ascii="Arial" w:cs="Arial" w:eastAsia="Arial" w:hAnsi="Arial"/>
                <w:sz w:val="18"/>
                <w:szCs w:val="18"/>
                <w:color w:val="auto"/>
              </w:rPr>
              <w:t>4,398</w:t>
            </w:r>
          </w:p>
        </w:tc>
        <w:tc>
          <w:tcPr>
            <w:tcW w:w="200" w:type="dxa"/>
            <w:vAlign w:val="bottom"/>
          </w:tcPr>
          <w:p>
            <w:pPr>
              <w:spacing w:after="0"/>
              <w:rPr>
                <w:sz w:val="19"/>
                <w:szCs w:val="19"/>
                <w:color w:val="auto"/>
              </w:rPr>
            </w:pPr>
          </w:p>
        </w:tc>
        <w:tc>
          <w:tcPr>
            <w:tcW w:w="1820" w:type="dxa"/>
            <w:vAlign w:val="bottom"/>
            <w:gridSpan w:val="2"/>
          </w:tcPr>
          <w:p>
            <w:pPr>
              <w:jc w:val="right"/>
              <w:spacing w:after="0"/>
              <w:rPr>
                <w:sz w:val="20"/>
                <w:szCs w:val="20"/>
                <w:color w:val="auto"/>
              </w:rPr>
            </w:pPr>
            <w:r>
              <w:rPr>
                <w:rFonts w:ascii="Arial" w:cs="Arial" w:eastAsia="Arial" w:hAnsi="Arial"/>
                <w:sz w:val="18"/>
                <w:szCs w:val="18"/>
                <w:color w:val="auto"/>
              </w:rPr>
              <w:t>6 %</w:t>
            </w:r>
          </w:p>
        </w:tc>
      </w:tr>
      <w:tr>
        <w:trPr>
          <w:trHeight w:val="242"/>
        </w:trPr>
        <w:tc>
          <w:tcPr>
            <w:tcW w:w="3640" w:type="dxa"/>
            <w:vAlign w:val="bottom"/>
          </w:tcPr>
          <w:p>
            <w:pPr>
              <w:ind w:left="20"/>
              <w:spacing w:after="0"/>
              <w:rPr>
                <w:sz w:val="20"/>
                <w:szCs w:val="20"/>
                <w:color w:val="auto"/>
              </w:rPr>
            </w:pPr>
            <w:r>
              <w:rPr>
                <w:rFonts w:ascii="Arial" w:cs="Arial" w:eastAsia="Arial" w:hAnsi="Arial"/>
                <w:sz w:val="18"/>
                <w:szCs w:val="18"/>
                <w:color w:val="auto"/>
              </w:rPr>
              <w:t>Percentage of net revenues</w:t>
            </w:r>
          </w:p>
        </w:tc>
        <w:tc>
          <w:tcPr>
            <w:tcW w:w="280" w:type="dxa"/>
            <w:vAlign w:val="bottom"/>
          </w:tcPr>
          <w:p>
            <w:pPr>
              <w:spacing w:after="0"/>
              <w:rPr>
                <w:sz w:val="21"/>
                <w:szCs w:val="21"/>
                <w:color w:val="auto"/>
              </w:rPr>
            </w:pPr>
          </w:p>
        </w:tc>
        <w:tc>
          <w:tcPr>
            <w:tcW w:w="1660" w:type="dxa"/>
            <w:vAlign w:val="bottom"/>
            <w:gridSpan w:val="2"/>
          </w:tcPr>
          <w:p>
            <w:pPr>
              <w:jc w:val="right"/>
              <w:ind w:right="220"/>
              <w:spacing w:after="0"/>
              <w:rPr>
                <w:sz w:val="20"/>
                <w:szCs w:val="20"/>
                <w:color w:val="auto"/>
              </w:rPr>
            </w:pPr>
            <w:r>
              <w:rPr>
                <w:rFonts w:ascii="Arial" w:cs="Arial" w:eastAsia="Arial" w:hAnsi="Arial"/>
                <w:sz w:val="18"/>
                <w:szCs w:val="18"/>
                <w:color w:val="auto"/>
              </w:rPr>
              <w:t>11 %</w:t>
            </w:r>
          </w:p>
        </w:tc>
        <w:tc>
          <w:tcPr>
            <w:tcW w:w="360" w:type="dxa"/>
            <w:vAlign w:val="bottom"/>
          </w:tcPr>
          <w:p>
            <w:pPr>
              <w:spacing w:after="0"/>
              <w:rPr>
                <w:sz w:val="21"/>
                <w:szCs w:val="21"/>
                <w:color w:val="auto"/>
              </w:rPr>
            </w:pPr>
          </w:p>
        </w:tc>
        <w:tc>
          <w:tcPr>
            <w:tcW w:w="1640" w:type="dxa"/>
            <w:vAlign w:val="bottom"/>
            <w:gridSpan w:val="2"/>
          </w:tcPr>
          <w:p>
            <w:pPr>
              <w:jc w:val="right"/>
              <w:ind w:right="200"/>
              <w:spacing w:after="0"/>
              <w:rPr>
                <w:sz w:val="20"/>
                <w:szCs w:val="20"/>
                <w:color w:val="auto"/>
              </w:rPr>
            </w:pPr>
            <w:r>
              <w:rPr>
                <w:rFonts w:ascii="Arial" w:cs="Arial" w:eastAsia="Arial" w:hAnsi="Arial"/>
                <w:sz w:val="18"/>
                <w:szCs w:val="18"/>
                <w:color w:val="auto"/>
              </w:rPr>
              <w:t>11 %</w:t>
            </w:r>
          </w:p>
        </w:tc>
        <w:tc>
          <w:tcPr>
            <w:tcW w:w="26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60" w:type="dxa"/>
            <w:vAlign w:val="bottom"/>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-299085</wp:posOffset>
            </wp:positionV>
            <wp:extent cx="7132320" cy="15430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95" w:lineRule="exact"/>
        <w:rPr>
          <w:sz w:val="20"/>
          <w:szCs w:val="20"/>
          <w:color w:val="auto"/>
        </w:rPr>
      </w:pPr>
    </w:p>
    <w:p>
      <w:pPr>
        <w:ind w:right="280" w:firstLine="509"/>
        <w:spacing w:after="0" w:line="279" w:lineRule="auto"/>
        <w:rPr>
          <w:sz w:val="20"/>
          <w:szCs w:val="20"/>
          <w:color w:val="auto"/>
        </w:rPr>
      </w:pPr>
      <w:r>
        <w:rPr>
          <w:rFonts w:ascii="Arial" w:cs="Arial" w:eastAsia="Arial" w:hAnsi="Arial"/>
          <w:sz w:val="17"/>
          <w:szCs w:val="17"/>
          <w:color w:val="auto"/>
        </w:rPr>
        <w:t>The increase in general and administrative expenses was primarily driven by an increase of approximately $3.2 million in salaries and benefits, an increase of approximately $1.8 million in marketing expenses and an increase of approximately $0.6 million in stock-based compensation expenses, partially offset by a decrease of approximately $1.2 million in corporate insurances. As a percentage of net revenues, general and administrative expenses for the nine months ended September 30, 2023 remained consistent to the prior year period.</w:t>
      </w: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720" w:type="dxa"/>
            <w:vAlign w:val="bottom"/>
          </w:tcPr>
          <w:p>
            <w:pPr>
              <w:spacing w:after="0"/>
              <w:rPr>
                <w:sz w:val="20"/>
                <w:szCs w:val="20"/>
                <w:color w:val="auto"/>
              </w:rPr>
            </w:pPr>
            <w:r>
              <w:rPr>
                <w:rFonts w:ascii="Arial" w:cs="Arial" w:eastAsia="Arial" w:hAnsi="Arial"/>
                <w:sz w:val="18"/>
                <w:szCs w:val="18"/>
                <w:b w:val="1"/>
                <w:bCs w:val="1"/>
                <w:i w:val="1"/>
                <w:iCs w:val="1"/>
                <w:color w:val="auto"/>
              </w:rPr>
              <w:t>(Gain) loss on Sale of Assets, Net</w:t>
            </w:r>
          </w:p>
        </w:tc>
        <w:tc>
          <w:tcPr>
            <w:tcW w:w="2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479"/>
        </w:trPr>
        <w:tc>
          <w:tcPr>
            <w:tcW w:w="3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920" w:type="dxa"/>
            <w:vAlign w:val="bottom"/>
            <w:gridSpan w:val="6"/>
          </w:tcPr>
          <w:p>
            <w:pPr>
              <w:jc w:val="right"/>
              <w:ind w:right="970"/>
              <w:spacing w:after="0"/>
              <w:rPr>
                <w:sz w:val="20"/>
                <w:szCs w:val="20"/>
                <w:color w:val="auto"/>
              </w:rPr>
            </w:pPr>
            <w:r>
              <w:rPr>
                <w:rFonts w:ascii="Arial" w:cs="Arial" w:eastAsia="Arial" w:hAnsi="Arial"/>
                <w:sz w:val="18"/>
                <w:szCs w:val="18"/>
                <w:b w:val="1"/>
                <w:bCs w:val="1"/>
                <w:color w:val="auto"/>
                <w:w w:val="95"/>
              </w:rPr>
              <w:t>Nine Months Ended September 30,</w:t>
            </w:r>
          </w:p>
        </w:tc>
        <w:tc>
          <w:tcPr>
            <w:tcW w:w="1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43"/>
        </w:trPr>
        <w:tc>
          <w:tcPr>
            <w:tcW w:w="3720" w:type="dxa"/>
            <w:vAlign w:val="bottom"/>
          </w:tcPr>
          <w:p>
            <w:pPr>
              <w:ind w:left="880"/>
              <w:spacing w:after="0"/>
              <w:rPr>
                <w:sz w:val="20"/>
                <w:szCs w:val="20"/>
                <w:color w:val="auto"/>
              </w:rPr>
            </w:pPr>
            <w:r>
              <w:rPr>
                <w:rFonts w:ascii="Arial" w:cs="Arial" w:eastAsia="Arial" w:hAnsi="Arial"/>
                <w:sz w:val="18"/>
                <w:szCs w:val="18"/>
                <w:b w:val="1"/>
                <w:bCs w:val="1"/>
                <w:color w:val="auto"/>
              </w:rPr>
              <w:t>(Dollars in thousands)</w:t>
            </w:r>
          </w:p>
        </w:tc>
        <w:tc>
          <w:tcPr>
            <w:tcW w:w="280" w:type="dxa"/>
            <w:vAlign w:val="bottom"/>
            <w:tcBorders>
              <w:top w:val="single" w:sz="8" w:color="auto"/>
              <w:bottom w:val="single" w:sz="8" w:color="auto"/>
            </w:tcBorders>
          </w:tcPr>
          <w:p>
            <w:pPr>
              <w:spacing w:after="0"/>
              <w:rPr>
                <w:sz w:val="21"/>
                <w:szCs w:val="21"/>
                <w:color w:val="auto"/>
              </w:rPr>
            </w:pPr>
          </w:p>
        </w:tc>
        <w:tc>
          <w:tcPr>
            <w:tcW w:w="1340" w:type="dxa"/>
            <w:vAlign w:val="bottom"/>
            <w:tcBorders>
              <w:top w:val="single" w:sz="8" w:color="auto"/>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2023</w:t>
            </w:r>
          </w:p>
        </w:tc>
        <w:tc>
          <w:tcPr>
            <w:tcW w:w="260" w:type="dxa"/>
            <w:vAlign w:val="bottom"/>
            <w:tcBorders>
              <w:top w:val="single" w:sz="8" w:color="auto"/>
            </w:tcBorders>
          </w:tcPr>
          <w:p>
            <w:pPr>
              <w:spacing w:after="0"/>
              <w:rPr>
                <w:sz w:val="21"/>
                <w:szCs w:val="21"/>
                <w:color w:val="auto"/>
              </w:rPr>
            </w:pPr>
          </w:p>
        </w:tc>
        <w:tc>
          <w:tcPr>
            <w:tcW w:w="400" w:type="dxa"/>
            <w:vAlign w:val="bottom"/>
            <w:tcBorders>
              <w:top w:val="single" w:sz="8" w:color="auto"/>
              <w:bottom w:val="single" w:sz="8" w:color="auto"/>
            </w:tcBorders>
          </w:tcPr>
          <w:p>
            <w:pPr>
              <w:spacing w:after="0"/>
              <w:rPr>
                <w:sz w:val="21"/>
                <w:szCs w:val="21"/>
                <w:color w:val="auto"/>
              </w:rPr>
            </w:pPr>
          </w:p>
        </w:tc>
        <w:tc>
          <w:tcPr>
            <w:tcW w:w="1420" w:type="dxa"/>
            <w:vAlign w:val="bottom"/>
            <w:tcBorders>
              <w:top w:val="single" w:sz="8" w:color="auto"/>
              <w:bottom w:val="single" w:sz="8" w:color="auto"/>
            </w:tcBorders>
          </w:tcPr>
          <w:p>
            <w:pPr>
              <w:jc w:val="right"/>
              <w:ind w:right="690"/>
              <w:spacing w:after="0"/>
              <w:rPr>
                <w:sz w:val="20"/>
                <w:szCs w:val="20"/>
                <w:color w:val="auto"/>
              </w:rPr>
            </w:pPr>
            <w:r>
              <w:rPr>
                <w:rFonts w:ascii="Arial" w:cs="Arial" w:eastAsia="Arial" w:hAnsi="Arial"/>
                <w:sz w:val="18"/>
                <w:szCs w:val="18"/>
                <w:b w:val="1"/>
                <w:bCs w:val="1"/>
                <w:color w:val="auto"/>
              </w:rPr>
              <w:t>2022</w:t>
            </w:r>
          </w:p>
        </w:tc>
        <w:tc>
          <w:tcPr>
            <w:tcW w:w="24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 Change</w:t>
            </w:r>
          </w:p>
        </w:tc>
        <w:tc>
          <w:tcPr>
            <w:tcW w:w="200" w:type="dxa"/>
            <w:vAlign w:val="bottom"/>
          </w:tcPr>
          <w:p>
            <w:pPr>
              <w:spacing w:after="0"/>
              <w:rPr>
                <w:sz w:val="21"/>
                <w:szCs w:val="21"/>
                <w:color w:val="auto"/>
              </w:rPr>
            </w:pPr>
          </w:p>
        </w:tc>
        <w:tc>
          <w:tcPr>
            <w:tcW w:w="1720" w:type="dxa"/>
            <w:vAlign w:val="bottom"/>
            <w:tcBorders>
              <w:bottom w:val="single" w:sz="8" w:color="auto"/>
            </w:tcBorders>
          </w:tcPr>
          <w:p>
            <w:pPr>
              <w:ind w:left="400"/>
              <w:spacing w:after="0"/>
              <w:rPr>
                <w:sz w:val="20"/>
                <w:szCs w:val="20"/>
                <w:color w:val="auto"/>
              </w:rPr>
            </w:pPr>
            <w:r>
              <w:rPr>
                <w:rFonts w:ascii="Arial" w:cs="Arial" w:eastAsia="Arial" w:hAnsi="Arial"/>
                <w:sz w:val="18"/>
                <w:szCs w:val="18"/>
                <w:b w:val="1"/>
                <w:bCs w:val="1"/>
                <w:color w:val="auto"/>
              </w:rPr>
              <w:t>% Change</w:t>
            </w:r>
          </w:p>
        </w:tc>
        <w:tc>
          <w:tcPr>
            <w:tcW w:w="60" w:type="dxa"/>
            <w:vAlign w:val="bottom"/>
          </w:tcPr>
          <w:p>
            <w:pPr>
              <w:spacing w:after="0"/>
              <w:rPr>
                <w:sz w:val="21"/>
                <w:szCs w:val="21"/>
                <w:color w:val="auto"/>
              </w:rPr>
            </w:pPr>
          </w:p>
        </w:tc>
      </w:tr>
      <w:tr>
        <w:trPr>
          <w:trHeight w:val="224"/>
        </w:trPr>
        <w:tc>
          <w:tcPr>
            <w:tcW w:w="3720" w:type="dxa"/>
            <w:vAlign w:val="bottom"/>
          </w:tcPr>
          <w:p>
            <w:pPr>
              <w:ind w:left="20"/>
              <w:spacing w:after="0"/>
              <w:rPr>
                <w:sz w:val="20"/>
                <w:szCs w:val="20"/>
                <w:color w:val="auto"/>
              </w:rPr>
            </w:pPr>
            <w:r>
              <w:rPr>
                <w:rFonts w:ascii="Arial" w:cs="Arial" w:eastAsia="Arial" w:hAnsi="Arial"/>
                <w:sz w:val="18"/>
                <w:szCs w:val="18"/>
                <w:color w:val="auto"/>
              </w:rPr>
              <w:t>(Gain) loss on sale of assets, net</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(3,470 )</w:t>
            </w:r>
          </w:p>
        </w:tc>
        <w:tc>
          <w:tcPr>
            <w:tcW w:w="260" w:type="dxa"/>
            <w:vAlign w:val="bottom"/>
          </w:tcPr>
          <w:p>
            <w:pPr>
              <w:spacing w:after="0"/>
              <w:rPr>
                <w:sz w:val="19"/>
                <w:szCs w:val="19"/>
                <w:color w:val="auto"/>
              </w:rPr>
            </w:pP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(3,336 )</w:t>
            </w:r>
          </w:p>
        </w:tc>
        <w:tc>
          <w:tcPr>
            <w:tcW w:w="24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(134 )</w:t>
            </w:r>
          </w:p>
        </w:tc>
        <w:tc>
          <w:tcPr>
            <w:tcW w:w="200" w:type="dxa"/>
            <w:vAlign w:val="bottom"/>
          </w:tcPr>
          <w:p>
            <w:pPr>
              <w:spacing w:after="0"/>
              <w:rPr>
                <w:sz w:val="19"/>
                <w:szCs w:val="19"/>
                <w:color w:val="auto"/>
              </w:rPr>
            </w:pPr>
          </w:p>
        </w:tc>
        <w:tc>
          <w:tcPr>
            <w:tcW w:w="1780" w:type="dxa"/>
            <w:vAlign w:val="bottom"/>
            <w:gridSpan w:val="2"/>
          </w:tcPr>
          <w:p>
            <w:pPr>
              <w:jc w:val="right"/>
              <w:spacing w:after="0"/>
              <w:rPr>
                <w:sz w:val="20"/>
                <w:szCs w:val="20"/>
                <w:color w:val="auto"/>
              </w:rPr>
            </w:pPr>
            <w:r>
              <w:rPr>
                <w:rFonts w:ascii="Arial" w:cs="Arial" w:eastAsia="Arial" w:hAnsi="Arial"/>
                <w:sz w:val="18"/>
                <w:szCs w:val="18"/>
                <w:color w:val="auto"/>
              </w:rPr>
              <w:t>4 %</w:t>
            </w:r>
          </w:p>
        </w:tc>
      </w:tr>
      <w:tr>
        <w:trPr>
          <w:trHeight w:val="242"/>
        </w:trPr>
        <w:tc>
          <w:tcPr>
            <w:tcW w:w="3720" w:type="dxa"/>
            <w:vAlign w:val="bottom"/>
          </w:tcPr>
          <w:p>
            <w:pPr>
              <w:ind w:left="20"/>
              <w:spacing w:after="0"/>
              <w:rPr>
                <w:sz w:val="20"/>
                <w:szCs w:val="20"/>
                <w:color w:val="auto"/>
              </w:rPr>
            </w:pPr>
            <w:r>
              <w:rPr>
                <w:rFonts w:ascii="Arial" w:cs="Arial" w:eastAsia="Arial" w:hAnsi="Arial"/>
                <w:sz w:val="18"/>
                <w:szCs w:val="18"/>
                <w:color w:val="auto"/>
              </w:rPr>
              <w:t>Percentage of net revenues</w:t>
            </w:r>
          </w:p>
        </w:tc>
        <w:tc>
          <w:tcPr>
            <w:tcW w:w="280" w:type="dxa"/>
            <w:vAlign w:val="bottom"/>
          </w:tcPr>
          <w:p>
            <w:pPr>
              <w:spacing w:after="0"/>
              <w:rPr>
                <w:sz w:val="21"/>
                <w:szCs w:val="21"/>
                <w:color w:val="auto"/>
              </w:rPr>
            </w:pPr>
          </w:p>
        </w:tc>
        <w:tc>
          <w:tcPr>
            <w:tcW w:w="1600" w:type="dxa"/>
            <w:vAlign w:val="bottom"/>
            <w:gridSpan w:val="2"/>
          </w:tcPr>
          <w:p>
            <w:pPr>
              <w:jc w:val="right"/>
              <w:ind w:right="160"/>
              <w:spacing w:after="0"/>
              <w:rPr>
                <w:sz w:val="20"/>
                <w:szCs w:val="20"/>
                <w:color w:val="auto"/>
              </w:rPr>
            </w:pPr>
            <w:r>
              <w:rPr>
                <w:rFonts w:ascii="Arial" w:cs="Arial" w:eastAsia="Arial" w:hAnsi="Arial"/>
                <w:sz w:val="18"/>
                <w:szCs w:val="18"/>
                <w:color w:val="auto"/>
              </w:rPr>
              <w:t>(0 )%</w:t>
            </w:r>
          </w:p>
        </w:tc>
        <w:tc>
          <w:tcPr>
            <w:tcW w:w="400" w:type="dxa"/>
            <w:vAlign w:val="bottom"/>
          </w:tcPr>
          <w:p>
            <w:pPr>
              <w:spacing w:after="0"/>
              <w:rPr>
                <w:sz w:val="21"/>
                <w:szCs w:val="21"/>
                <w:color w:val="auto"/>
              </w:rPr>
            </w:pPr>
          </w:p>
        </w:tc>
        <w:tc>
          <w:tcPr>
            <w:tcW w:w="1660" w:type="dxa"/>
            <w:vAlign w:val="bottom"/>
            <w:gridSpan w:val="2"/>
          </w:tcPr>
          <w:p>
            <w:pPr>
              <w:jc w:val="right"/>
              <w:ind w:right="120"/>
              <w:spacing w:after="0"/>
              <w:rPr>
                <w:sz w:val="20"/>
                <w:szCs w:val="20"/>
                <w:color w:val="auto"/>
              </w:rPr>
            </w:pPr>
            <w:r>
              <w:rPr>
                <w:rFonts w:ascii="Arial" w:cs="Arial" w:eastAsia="Arial" w:hAnsi="Arial"/>
                <w:sz w:val="18"/>
                <w:szCs w:val="18"/>
                <w:color w:val="auto"/>
              </w:rPr>
              <w:t>(1 )%</w:t>
            </w:r>
          </w:p>
        </w:tc>
        <w:tc>
          <w:tcPr>
            <w:tcW w:w="26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60" w:type="dxa"/>
            <w:vAlign w:val="bottom"/>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-299085</wp:posOffset>
            </wp:positionV>
            <wp:extent cx="7132320" cy="15430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The change in (gain) loss on sale of assets, net was primarily driven by gains associated with our sale-leaseback transactions in the current year.</w:t>
      </w: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80" w:type="dxa"/>
            <w:vAlign w:val="bottom"/>
          </w:tcPr>
          <w:p>
            <w:pPr>
              <w:spacing w:after="0"/>
              <w:rPr>
                <w:sz w:val="20"/>
                <w:szCs w:val="20"/>
                <w:color w:val="auto"/>
              </w:rPr>
            </w:pPr>
            <w:r>
              <w:rPr>
                <w:rFonts w:ascii="Arial" w:cs="Arial" w:eastAsia="Arial" w:hAnsi="Arial"/>
                <w:sz w:val="18"/>
                <w:szCs w:val="18"/>
                <w:b w:val="1"/>
                <w:bCs w:val="1"/>
                <w:i w:val="1"/>
                <w:iCs w:val="1"/>
                <w:color w:val="auto"/>
              </w:rPr>
              <w:t>Other Expense</w:t>
            </w:r>
          </w:p>
        </w:tc>
        <w:tc>
          <w:tcPr>
            <w:tcW w:w="26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479"/>
        </w:trPr>
        <w:tc>
          <w:tcPr>
            <w:tcW w:w="3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20" w:type="dxa"/>
            <w:vAlign w:val="bottom"/>
            <w:gridSpan w:val="5"/>
          </w:tcPr>
          <w:p>
            <w:pPr>
              <w:jc w:val="right"/>
              <w:ind w:right="780"/>
              <w:spacing w:after="0"/>
              <w:rPr>
                <w:sz w:val="20"/>
                <w:szCs w:val="20"/>
                <w:color w:val="auto"/>
              </w:rPr>
            </w:pPr>
            <w:r>
              <w:rPr>
                <w:rFonts w:ascii="Arial" w:cs="Arial" w:eastAsia="Arial" w:hAnsi="Arial"/>
                <w:sz w:val="18"/>
                <w:szCs w:val="18"/>
                <w:b w:val="1"/>
                <w:bCs w:val="1"/>
                <w:color w:val="auto"/>
                <w:w w:val="95"/>
              </w:rPr>
              <w:t>Nine Months Ended September 30,</w:t>
            </w:r>
          </w:p>
        </w:tc>
        <w:tc>
          <w:tcPr>
            <w:tcW w:w="2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43"/>
        </w:trPr>
        <w:tc>
          <w:tcPr>
            <w:tcW w:w="3580" w:type="dxa"/>
            <w:vAlign w:val="bottom"/>
          </w:tcPr>
          <w:p>
            <w:pPr>
              <w:ind w:left="820"/>
              <w:spacing w:after="0"/>
              <w:rPr>
                <w:sz w:val="20"/>
                <w:szCs w:val="20"/>
                <w:color w:val="auto"/>
              </w:rPr>
            </w:pPr>
            <w:r>
              <w:rPr>
                <w:rFonts w:ascii="Arial" w:cs="Arial" w:eastAsia="Arial" w:hAnsi="Arial"/>
                <w:sz w:val="18"/>
                <w:szCs w:val="18"/>
                <w:b w:val="1"/>
                <w:bCs w:val="1"/>
                <w:color w:val="auto"/>
              </w:rPr>
              <w:t>(Dollars in thousands)</w:t>
            </w:r>
          </w:p>
        </w:tc>
        <w:tc>
          <w:tcPr>
            <w:tcW w:w="260" w:type="dxa"/>
            <w:vAlign w:val="bottom"/>
            <w:tcBorders>
              <w:top w:val="single" w:sz="8" w:color="auto"/>
              <w:bottom w:val="single" w:sz="8" w:color="auto"/>
            </w:tcBorders>
          </w:tcPr>
          <w:p>
            <w:pPr>
              <w:spacing w:after="0"/>
              <w:rPr>
                <w:sz w:val="21"/>
                <w:szCs w:val="21"/>
                <w:color w:val="auto"/>
              </w:rPr>
            </w:pPr>
          </w:p>
        </w:tc>
        <w:tc>
          <w:tcPr>
            <w:tcW w:w="1380" w:type="dxa"/>
            <w:vAlign w:val="bottom"/>
            <w:tcBorders>
              <w:top w:val="single" w:sz="8" w:color="auto"/>
              <w:bottom w:val="single" w:sz="8" w:color="auto"/>
            </w:tcBorders>
          </w:tcPr>
          <w:p>
            <w:pPr>
              <w:jc w:val="right"/>
              <w:ind w:right="610"/>
              <w:spacing w:after="0"/>
              <w:rPr>
                <w:sz w:val="20"/>
                <w:szCs w:val="20"/>
                <w:color w:val="auto"/>
              </w:rPr>
            </w:pPr>
            <w:r>
              <w:rPr>
                <w:rFonts w:ascii="Arial" w:cs="Arial" w:eastAsia="Arial" w:hAnsi="Arial"/>
                <w:sz w:val="18"/>
                <w:szCs w:val="18"/>
                <w:b w:val="1"/>
                <w:bCs w:val="1"/>
                <w:color w:val="auto"/>
              </w:rPr>
              <w:t>2023</w:t>
            </w:r>
          </w:p>
        </w:tc>
        <w:tc>
          <w:tcPr>
            <w:tcW w:w="240" w:type="dxa"/>
            <w:vAlign w:val="bottom"/>
            <w:tcBorders>
              <w:top w:val="single" w:sz="8" w:color="auto"/>
            </w:tcBorders>
          </w:tcPr>
          <w:p>
            <w:pPr>
              <w:spacing w:after="0"/>
              <w:rPr>
                <w:sz w:val="21"/>
                <w:szCs w:val="21"/>
                <w:color w:val="auto"/>
              </w:rPr>
            </w:pPr>
          </w:p>
        </w:tc>
        <w:tc>
          <w:tcPr>
            <w:tcW w:w="380" w:type="dxa"/>
            <w:vAlign w:val="bottom"/>
            <w:tcBorders>
              <w:top w:val="single" w:sz="8" w:color="auto"/>
              <w:bottom w:val="single" w:sz="8" w:color="auto"/>
            </w:tcBorders>
          </w:tcPr>
          <w:p>
            <w:pPr>
              <w:spacing w:after="0"/>
              <w:rPr>
                <w:sz w:val="21"/>
                <w:szCs w:val="21"/>
                <w:color w:val="auto"/>
              </w:rPr>
            </w:pPr>
          </w:p>
        </w:tc>
        <w:tc>
          <w:tcPr>
            <w:tcW w:w="1380" w:type="dxa"/>
            <w:vAlign w:val="bottom"/>
            <w:tcBorders>
              <w:top w:val="single" w:sz="8" w:color="auto"/>
              <w:bottom w:val="single" w:sz="8" w:color="auto"/>
            </w:tcBorders>
          </w:tcPr>
          <w:p>
            <w:pPr>
              <w:jc w:val="right"/>
              <w:ind w:right="670"/>
              <w:spacing w:after="0"/>
              <w:rPr>
                <w:sz w:val="20"/>
                <w:szCs w:val="20"/>
                <w:color w:val="auto"/>
              </w:rPr>
            </w:pPr>
            <w:r>
              <w:rPr>
                <w:rFonts w:ascii="Arial" w:cs="Arial" w:eastAsia="Arial" w:hAnsi="Arial"/>
                <w:sz w:val="18"/>
                <w:szCs w:val="18"/>
                <w:b w:val="1"/>
                <w:bCs w:val="1"/>
                <w:color w:val="auto"/>
              </w:rPr>
              <w:t>2022</w:t>
            </w:r>
          </w:p>
        </w:tc>
        <w:tc>
          <w:tcPr>
            <w:tcW w:w="24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 Change</w:t>
            </w:r>
          </w:p>
        </w:tc>
        <w:tc>
          <w:tcPr>
            <w:tcW w:w="180" w:type="dxa"/>
            <w:vAlign w:val="bottom"/>
          </w:tcPr>
          <w:p>
            <w:pPr>
              <w:spacing w:after="0"/>
              <w:rPr>
                <w:sz w:val="21"/>
                <w:szCs w:val="21"/>
                <w:color w:val="auto"/>
              </w:rPr>
            </w:pPr>
          </w:p>
        </w:tc>
        <w:tc>
          <w:tcPr>
            <w:tcW w:w="1840" w:type="dxa"/>
            <w:vAlign w:val="bottom"/>
            <w:tcBorders>
              <w:bottom w:val="single" w:sz="8" w:color="auto"/>
            </w:tcBorders>
          </w:tcPr>
          <w:p>
            <w:pPr>
              <w:ind w:left="460"/>
              <w:spacing w:after="0"/>
              <w:rPr>
                <w:sz w:val="20"/>
                <w:szCs w:val="20"/>
                <w:color w:val="auto"/>
              </w:rPr>
            </w:pPr>
            <w:r>
              <w:rPr>
                <w:rFonts w:ascii="Arial" w:cs="Arial" w:eastAsia="Arial" w:hAnsi="Arial"/>
                <w:sz w:val="18"/>
                <w:szCs w:val="18"/>
                <w:b w:val="1"/>
                <w:bCs w:val="1"/>
                <w:color w:val="auto"/>
              </w:rPr>
              <w:t>% Change</w:t>
            </w:r>
          </w:p>
        </w:tc>
        <w:tc>
          <w:tcPr>
            <w:tcW w:w="60" w:type="dxa"/>
            <w:vAlign w:val="bottom"/>
          </w:tcPr>
          <w:p>
            <w:pPr>
              <w:spacing w:after="0"/>
              <w:rPr>
                <w:sz w:val="21"/>
                <w:szCs w:val="21"/>
                <w:color w:val="auto"/>
              </w:rPr>
            </w:pPr>
          </w:p>
        </w:tc>
      </w:tr>
      <w:tr>
        <w:trPr>
          <w:trHeight w:val="224"/>
        </w:trPr>
        <w:tc>
          <w:tcPr>
            <w:tcW w:w="3580" w:type="dxa"/>
            <w:vAlign w:val="bottom"/>
          </w:tcPr>
          <w:p>
            <w:pPr>
              <w:ind w:left="20"/>
              <w:spacing w:after="0"/>
              <w:rPr>
                <w:sz w:val="20"/>
                <w:szCs w:val="20"/>
                <w:color w:val="auto"/>
              </w:rPr>
            </w:pPr>
            <w:r>
              <w:rPr>
                <w:rFonts w:ascii="Arial" w:cs="Arial" w:eastAsia="Arial" w:hAnsi="Arial"/>
                <w:sz w:val="18"/>
                <w:szCs w:val="18"/>
                <w:color w:val="auto"/>
              </w:rPr>
              <w:t>Other expense</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55,143</w:t>
            </w:r>
          </w:p>
        </w:tc>
        <w:tc>
          <w:tcPr>
            <w:tcW w:w="24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50"/>
              <w:spacing w:after="0"/>
              <w:rPr>
                <w:sz w:val="20"/>
                <w:szCs w:val="20"/>
                <w:color w:val="auto"/>
              </w:rPr>
            </w:pPr>
            <w:r>
              <w:rPr>
                <w:rFonts w:ascii="Arial" w:cs="Arial" w:eastAsia="Arial" w:hAnsi="Arial"/>
                <w:sz w:val="18"/>
                <w:szCs w:val="18"/>
                <w:color w:val="auto"/>
              </w:rPr>
              <w:t>27,028</w:t>
            </w:r>
          </w:p>
        </w:tc>
        <w:tc>
          <w:tcPr>
            <w:tcW w:w="24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480" w:type="dxa"/>
            <w:vAlign w:val="bottom"/>
          </w:tcPr>
          <w:p>
            <w:pPr>
              <w:jc w:val="right"/>
              <w:ind w:right="30"/>
              <w:spacing w:after="0"/>
              <w:rPr>
                <w:sz w:val="20"/>
                <w:szCs w:val="20"/>
                <w:color w:val="auto"/>
              </w:rPr>
            </w:pPr>
            <w:r>
              <w:rPr>
                <w:rFonts w:ascii="Arial" w:cs="Arial" w:eastAsia="Arial" w:hAnsi="Arial"/>
                <w:sz w:val="18"/>
                <w:szCs w:val="18"/>
                <w:color w:val="auto"/>
              </w:rPr>
              <w:t>28,115</w:t>
            </w:r>
          </w:p>
        </w:tc>
        <w:tc>
          <w:tcPr>
            <w:tcW w:w="180" w:type="dxa"/>
            <w:vAlign w:val="bottom"/>
          </w:tcPr>
          <w:p>
            <w:pPr>
              <w:spacing w:after="0"/>
              <w:rPr>
                <w:sz w:val="19"/>
                <w:szCs w:val="19"/>
                <w:color w:val="auto"/>
              </w:rPr>
            </w:pPr>
          </w:p>
        </w:tc>
        <w:tc>
          <w:tcPr>
            <w:tcW w:w="1900" w:type="dxa"/>
            <w:vAlign w:val="bottom"/>
            <w:gridSpan w:val="2"/>
          </w:tcPr>
          <w:p>
            <w:pPr>
              <w:jc w:val="right"/>
              <w:spacing w:after="0"/>
              <w:rPr>
                <w:sz w:val="20"/>
                <w:szCs w:val="20"/>
                <w:color w:val="auto"/>
              </w:rPr>
            </w:pPr>
            <w:r>
              <w:rPr>
                <w:rFonts w:ascii="Arial" w:cs="Arial" w:eastAsia="Arial" w:hAnsi="Arial"/>
                <w:sz w:val="18"/>
                <w:szCs w:val="18"/>
                <w:color w:val="auto"/>
              </w:rPr>
              <w:t>104 %</w:t>
            </w:r>
          </w:p>
        </w:tc>
      </w:tr>
      <w:tr>
        <w:trPr>
          <w:trHeight w:val="242"/>
        </w:trPr>
        <w:tc>
          <w:tcPr>
            <w:tcW w:w="3580" w:type="dxa"/>
            <w:vAlign w:val="bottom"/>
          </w:tcPr>
          <w:p>
            <w:pPr>
              <w:ind w:left="20"/>
              <w:spacing w:after="0"/>
              <w:rPr>
                <w:sz w:val="20"/>
                <w:szCs w:val="20"/>
                <w:color w:val="auto"/>
              </w:rPr>
            </w:pPr>
            <w:r>
              <w:rPr>
                <w:rFonts w:ascii="Arial" w:cs="Arial" w:eastAsia="Arial" w:hAnsi="Arial"/>
                <w:sz w:val="18"/>
                <w:szCs w:val="18"/>
                <w:color w:val="auto"/>
              </w:rPr>
              <w:t>Percentage of net revenues</w:t>
            </w:r>
          </w:p>
        </w:tc>
        <w:tc>
          <w:tcPr>
            <w:tcW w:w="260" w:type="dxa"/>
            <w:vAlign w:val="bottom"/>
          </w:tcPr>
          <w:p>
            <w:pPr>
              <w:spacing w:after="0"/>
              <w:rPr>
                <w:sz w:val="21"/>
                <w:szCs w:val="21"/>
                <w:color w:val="auto"/>
              </w:rPr>
            </w:pPr>
          </w:p>
        </w:tc>
        <w:tc>
          <w:tcPr>
            <w:tcW w:w="1620" w:type="dxa"/>
            <w:vAlign w:val="bottom"/>
            <w:gridSpan w:val="2"/>
          </w:tcPr>
          <w:p>
            <w:pPr>
              <w:jc w:val="right"/>
              <w:ind w:right="200"/>
              <w:spacing w:after="0"/>
              <w:rPr>
                <w:sz w:val="20"/>
                <w:szCs w:val="20"/>
                <w:color w:val="auto"/>
              </w:rPr>
            </w:pPr>
            <w:r>
              <w:rPr>
                <w:rFonts w:ascii="Arial" w:cs="Arial" w:eastAsia="Arial" w:hAnsi="Arial"/>
                <w:sz w:val="18"/>
                <w:szCs w:val="18"/>
                <w:color w:val="auto"/>
              </w:rPr>
              <w:t>8 %</w:t>
            </w:r>
          </w:p>
        </w:tc>
        <w:tc>
          <w:tcPr>
            <w:tcW w:w="380" w:type="dxa"/>
            <w:vAlign w:val="bottom"/>
          </w:tcPr>
          <w:p>
            <w:pPr>
              <w:spacing w:after="0"/>
              <w:rPr>
                <w:sz w:val="21"/>
                <w:szCs w:val="21"/>
                <w:color w:val="auto"/>
              </w:rPr>
            </w:pPr>
          </w:p>
        </w:tc>
        <w:tc>
          <w:tcPr>
            <w:tcW w:w="1620" w:type="dxa"/>
            <w:vAlign w:val="bottom"/>
            <w:gridSpan w:val="2"/>
          </w:tcPr>
          <w:p>
            <w:pPr>
              <w:jc w:val="right"/>
              <w:ind w:right="200"/>
              <w:spacing w:after="0"/>
              <w:rPr>
                <w:sz w:val="20"/>
                <w:szCs w:val="20"/>
                <w:color w:val="auto"/>
              </w:rPr>
            </w:pPr>
            <w:r>
              <w:rPr>
                <w:rFonts w:ascii="Arial" w:cs="Arial" w:eastAsia="Arial" w:hAnsi="Arial"/>
                <w:sz w:val="18"/>
                <w:szCs w:val="18"/>
                <w:color w:val="auto"/>
              </w:rPr>
              <w:t>4 %</w:t>
            </w:r>
          </w:p>
        </w:tc>
        <w:tc>
          <w:tcPr>
            <w:tcW w:w="28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40" w:type="dxa"/>
            <w:vAlign w:val="bottom"/>
          </w:tcPr>
          <w:p>
            <w:pPr>
              <w:spacing w:after="0"/>
              <w:rPr>
                <w:sz w:val="21"/>
                <w:szCs w:val="21"/>
                <w:color w:val="auto"/>
              </w:rPr>
            </w:pPr>
          </w:p>
        </w:tc>
        <w:tc>
          <w:tcPr>
            <w:tcW w:w="60" w:type="dxa"/>
            <w:vAlign w:val="bottom"/>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-299085</wp:posOffset>
            </wp:positionV>
            <wp:extent cx="7132320" cy="15430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95" w:lineRule="exact"/>
        <w:rPr>
          <w:sz w:val="20"/>
          <w:szCs w:val="20"/>
          <w:color w:val="auto"/>
        </w:rPr>
      </w:pPr>
    </w:p>
    <w:p>
      <w:pPr>
        <w:ind w:right="340" w:firstLine="509"/>
        <w:spacing w:after="0" w:line="277" w:lineRule="auto"/>
        <w:rPr>
          <w:sz w:val="20"/>
          <w:szCs w:val="20"/>
          <w:color w:val="auto"/>
        </w:rPr>
      </w:pPr>
      <w:r>
        <w:rPr>
          <w:rFonts w:ascii="Arial" w:cs="Arial" w:eastAsia="Arial" w:hAnsi="Arial"/>
          <w:sz w:val="18"/>
          <w:szCs w:val="18"/>
          <w:color w:val="auto"/>
        </w:rPr>
        <w:t>The increase in other expense was primarily driven by an increase in interest expense due to higher average interest rates as compared to the prior year period and the expiration of our interest rate hedge in October 2022.</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80" w:type="dxa"/>
            <w:vAlign w:val="bottom"/>
          </w:tcPr>
          <w:p>
            <w:pPr>
              <w:spacing w:after="0"/>
              <w:rPr>
                <w:sz w:val="20"/>
                <w:szCs w:val="20"/>
                <w:color w:val="auto"/>
              </w:rPr>
            </w:pPr>
            <w:r>
              <w:rPr>
                <w:rFonts w:ascii="Arial" w:cs="Arial" w:eastAsia="Arial" w:hAnsi="Arial"/>
                <w:sz w:val="18"/>
                <w:szCs w:val="18"/>
                <w:b w:val="1"/>
                <w:bCs w:val="1"/>
                <w:i w:val="1"/>
                <w:iCs w:val="1"/>
                <w:color w:val="auto"/>
              </w:rPr>
              <w:t>Income Tax Provision</w:t>
            </w:r>
          </w:p>
        </w:tc>
        <w:tc>
          <w:tcPr>
            <w:tcW w:w="28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79"/>
        </w:trPr>
        <w:tc>
          <w:tcPr>
            <w:tcW w:w="3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80" w:type="dxa"/>
            <w:vAlign w:val="bottom"/>
            <w:gridSpan w:val="5"/>
          </w:tcPr>
          <w:p>
            <w:pPr>
              <w:jc w:val="right"/>
              <w:ind w:right="820"/>
              <w:spacing w:after="0"/>
              <w:rPr>
                <w:sz w:val="20"/>
                <w:szCs w:val="20"/>
                <w:color w:val="auto"/>
              </w:rPr>
            </w:pPr>
            <w:r>
              <w:rPr>
                <w:rFonts w:ascii="Arial" w:cs="Arial" w:eastAsia="Arial" w:hAnsi="Arial"/>
                <w:sz w:val="18"/>
                <w:szCs w:val="18"/>
                <w:b w:val="1"/>
                <w:bCs w:val="1"/>
                <w:color w:val="auto"/>
                <w:w w:val="95"/>
              </w:rPr>
              <w:t>Nine Months Ended September 30,</w:t>
            </w:r>
          </w:p>
        </w:tc>
        <w:tc>
          <w:tcPr>
            <w:tcW w:w="2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43"/>
        </w:trPr>
        <w:tc>
          <w:tcPr>
            <w:tcW w:w="3680" w:type="dxa"/>
            <w:vAlign w:val="bottom"/>
          </w:tcPr>
          <w:p>
            <w:pPr>
              <w:ind w:left="860"/>
              <w:spacing w:after="0"/>
              <w:rPr>
                <w:sz w:val="20"/>
                <w:szCs w:val="20"/>
                <w:color w:val="auto"/>
              </w:rPr>
            </w:pPr>
            <w:r>
              <w:rPr>
                <w:rFonts w:ascii="Arial" w:cs="Arial" w:eastAsia="Arial" w:hAnsi="Arial"/>
                <w:sz w:val="18"/>
                <w:szCs w:val="18"/>
                <w:b w:val="1"/>
                <w:bCs w:val="1"/>
                <w:color w:val="auto"/>
              </w:rPr>
              <w:t>(Dollars in thousands)</w:t>
            </w:r>
          </w:p>
        </w:tc>
        <w:tc>
          <w:tcPr>
            <w:tcW w:w="280" w:type="dxa"/>
            <w:vAlign w:val="bottom"/>
            <w:tcBorders>
              <w:top w:val="single" w:sz="8" w:color="auto"/>
              <w:bottom w:val="single" w:sz="8" w:color="auto"/>
            </w:tcBorders>
          </w:tcPr>
          <w:p>
            <w:pPr>
              <w:spacing w:after="0"/>
              <w:rPr>
                <w:sz w:val="21"/>
                <w:szCs w:val="21"/>
                <w:color w:val="auto"/>
              </w:rPr>
            </w:pPr>
          </w:p>
        </w:tc>
        <w:tc>
          <w:tcPr>
            <w:tcW w:w="1400" w:type="dxa"/>
            <w:vAlign w:val="bottom"/>
            <w:tcBorders>
              <w:top w:val="single" w:sz="8" w:color="auto"/>
              <w:bottom w:val="single" w:sz="8" w:color="auto"/>
            </w:tcBorders>
          </w:tcPr>
          <w:p>
            <w:pPr>
              <w:jc w:val="right"/>
              <w:ind w:right="630"/>
              <w:spacing w:after="0"/>
              <w:rPr>
                <w:sz w:val="20"/>
                <w:szCs w:val="20"/>
                <w:color w:val="auto"/>
              </w:rPr>
            </w:pPr>
            <w:r>
              <w:rPr>
                <w:rFonts w:ascii="Arial" w:cs="Arial" w:eastAsia="Arial" w:hAnsi="Arial"/>
                <w:sz w:val="18"/>
                <w:szCs w:val="18"/>
                <w:b w:val="1"/>
                <w:bCs w:val="1"/>
                <w:color w:val="auto"/>
              </w:rPr>
              <w:t>2023</w:t>
            </w:r>
          </w:p>
        </w:tc>
        <w:tc>
          <w:tcPr>
            <w:tcW w:w="260" w:type="dxa"/>
            <w:vAlign w:val="bottom"/>
            <w:tcBorders>
              <w:top w:val="single" w:sz="8" w:color="auto"/>
            </w:tcBorders>
          </w:tcPr>
          <w:p>
            <w:pPr>
              <w:spacing w:after="0"/>
              <w:rPr>
                <w:sz w:val="21"/>
                <w:szCs w:val="21"/>
                <w:color w:val="auto"/>
              </w:rPr>
            </w:pPr>
          </w:p>
        </w:tc>
        <w:tc>
          <w:tcPr>
            <w:tcW w:w="380" w:type="dxa"/>
            <w:vAlign w:val="bottom"/>
            <w:tcBorders>
              <w:top w:val="single" w:sz="8" w:color="auto"/>
              <w:bottom w:val="single" w:sz="8" w:color="auto"/>
            </w:tcBorders>
          </w:tcPr>
          <w:p>
            <w:pPr>
              <w:spacing w:after="0"/>
              <w:rPr>
                <w:sz w:val="21"/>
                <w:szCs w:val="21"/>
                <w:color w:val="auto"/>
              </w:rPr>
            </w:pPr>
          </w:p>
        </w:tc>
        <w:tc>
          <w:tcPr>
            <w:tcW w:w="1400" w:type="dxa"/>
            <w:vAlign w:val="bottom"/>
            <w:tcBorders>
              <w:top w:val="single" w:sz="8" w:color="auto"/>
              <w:bottom w:val="single" w:sz="8" w:color="auto"/>
            </w:tcBorders>
          </w:tcPr>
          <w:p>
            <w:pPr>
              <w:jc w:val="right"/>
              <w:ind w:right="670"/>
              <w:spacing w:after="0"/>
              <w:rPr>
                <w:sz w:val="20"/>
                <w:szCs w:val="20"/>
                <w:color w:val="auto"/>
              </w:rPr>
            </w:pPr>
            <w:r>
              <w:rPr>
                <w:rFonts w:ascii="Arial" w:cs="Arial" w:eastAsia="Arial" w:hAnsi="Arial"/>
                <w:sz w:val="18"/>
                <w:szCs w:val="18"/>
                <w:b w:val="1"/>
                <w:bCs w:val="1"/>
                <w:color w:val="auto"/>
              </w:rPr>
              <w:t>2022</w:t>
            </w:r>
          </w:p>
        </w:tc>
        <w:tc>
          <w:tcPr>
            <w:tcW w:w="24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 Change</w:t>
            </w:r>
          </w:p>
        </w:tc>
        <w:tc>
          <w:tcPr>
            <w:tcW w:w="180" w:type="dxa"/>
            <w:vAlign w:val="bottom"/>
          </w:tcPr>
          <w:p>
            <w:pPr>
              <w:spacing w:after="0"/>
              <w:rPr>
                <w:sz w:val="21"/>
                <w:szCs w:val="21"/>
                <w:color w:val="auto"/>
              </w:rPr>
            </w:pPr>
          </w:p>
        </w:tc>
        <w:tc>
          <w:tcPr>
            <w:tcW w:w="1760" w:type="dxa"/>
            <w:vAlign w:val="bottom"/>
            <w:tcBorders>
              <w:bottom w:val="single" w:sz="8" w:color="auto"/>
            </w:tcBorders>
          </w:tcPr>
          <w:p>
            <w:pPr>
              <w:ind w:left="420"/>
              <w:spacing w:after="0"/>
              <w:rPr>
                <w:sz w:val="20"/>
                <w:szCs w:val="20"/>
                <w:color w:val="auto"/>
              </w:rPr>
            </w:pPr>
            <w:r>
              <w:rPr>
                <w:rFonts w:ascii="Arial" w:cs="Arial" w:eastAsia="Arial" w:hAnsi="Arial"/>
                <w:sz w:val="18"/>
                <w:szCs w:val="18"/>
                <w:b w:val="1"/>
                <w:bCs w:val="1"/>
                <w:color w:val="auto"/>
              </w:rPr>
              <w:t>% Change</w:t>
            </w:r>
          </w:p>
        </w:tc>
        <w:tc>
          <w:tcPr>
            <w:tcW w:w="100" w:type="dxa"/>
            <w:vAlign w:val="bottom"/>
          </w:tcPr>
          <w:p>
            <w:pPr>
              <w:spacing w:after="0"/>
              <w:rPr>
                <w:sz w:val="21"/>
                <w:szCs w:val="21"/>
                <w:color w:val="auto"/>
              </w:rPr>
            </w:pPr>
          </w:p>
        </w:tc>
      </w:tr>
      <w:tr>
        <w:trPr>
          <w:trHeight w:val="224"/>
        </w:trPr>
        <w:tc>
          <w:tcPr>
            <w:tcW w:w="3680" w:type="dxa"/>
            <w:vAlign w:val="bottom"/>
          </w:tcPr>
          <w:p>
            <w:pPr>
              <w:ind w:left="20"/>
              <w:spacing w:after="0"/>
              <w:rPr>
                <w:sz w:val="20"/>
                <w:szCs w:val="20"/>
                <w:color w:val="auto"/>
              </w:rPr>
            </w:pPr>
            <w:r>
              <w:rPr>
                <w:rFonts w:ascii="Arial" w:cs="Arial" w:eastAsia="Arial" w:hAnsi="Arial"/>
                <w:sz w:val="18"/>
                <w:szCs w:val="18"/>
                <w:color w:val="auto"/>
              </w:rPr>
              <w:t>Income tax provision</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ind w:right="50"/>
              <w:spacing w:after="0"/>
              <w:rPr>
                <w:sz w:val="20"/>
                <w:szCs w:val="20"/>
                <w:color w:val="auto"/>
              </w:rPr>
            </w:pPr>
            <w:r>
              <w:rPr>
                <w:rFonts w:ascii="Arial" w:cs="Arial" w:eastAsia="Arial" w:hAnsi="Arial"/>
                <w:sz w:val="18"/>
                <w:szCs w:val="18"/>
                <w:color w:val="auto"/>
              </w:rPr>
              <w:t>18,373</w:t>
            </w:r>
          </w:p>
        </w:tc>
        <w:tc>
          <w:tcPr>
            <w:tcW w:w="26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26,988</w:t>
            </w:r>
          </w:p>
        </w:tc>
        <w:tc>
          <w:tcPr>
            <w:tcW w:w="24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(8,615 )</w:t>
            </w:r>
          </w:p>
        </w:tc>
        <w:tc>
          <w:tcPr>
            <w:tcW w:w="180" w:type="dxa"/>
            <w:vAlign w:val="bottom"/>
          </w:tcPr>
          <w:p>
            <w:pPr>
              <w:spacing w:after="0"/>
              <w:rPr>
                <w:sz w:val="19"/>
                <w:szCs w:val="19"/>
                <w:color w:val="auto"/>
              </w:rPr>
            </w:pPr>
          </w:p>
        </w:tc>
        <w:tc>
          <w:tcPr>
            <w:tcW w:w="1860" w:type="dxa"/>
            <w:vAlign w:val="bottom"/>
            <w:gridSpan w:val="2"/>
          </w:tcPr>
          <w:p>
            <w:pPr>
              <w:jc w:val="right"/>
              <w:spacing w:after="0"/>
              <w:rPr>
                <w:sz w:val="20"/>
                <w:szCs w:val="20"/>
                <w:color w:val="auto"/>
              </w:rPr>
            </w:pPr>
            <w:r>
              <w:rPr>
                <w:rFonts w:ascii="Arial" w:cs="Arial" w:eastAsia="Arial" w:hAnsi="Arial"/>
                <w:sz w:val="18"/>
                <w:szCs w:val="18"/>
                <w:color w:val="auto"/>
              </w:rPr>
              <w:t>(32 )%</w:t>
            </w:r>
          </w:p>
        </w:tc>
      </w:tr>
      <w:tr>
        <w:trPr>
          <w:trHeight w:val="242"/>
        </w:trPr>
        <w:tc>
          <w:tcPr>
            <w:tcW w:w="3680" w:type="dxa"/>
            <w:vAlign w:val="bottom"/>
          </w:tcPr>
          <w:p>
            <w:pPr>
              <w:ind w:left="20"/>
              <w:spacing w:after="0"/>
              <w:rPr>
                <w:sz w:val="20"/>
                <w:szCs w:val="20"/>
                <w:color w:val="auto"/>
              </w:rPr>
            </w:pPr>
            <w:r>
              <w:rPr>
                <w:rFonts w:ascii="Arial" w:cs="Arial" w:eastAsia="Arial" w:hAnsi="Arial"/>
                <w:sz w:val="18"/>
                <w:szCs w:val="18"/>
                <w:color w:val="auto"/>
              </w:rPr>
              <w:t>Percentage of net revenues</w:t>
            </w:r>
          </w:p>
        </w:tc>
        <w:tc>
          <w:tcPr>
            <w:tcW w:w="280" w:type="dxa"/>
            <w:vAlign w:val="bottom"/>
          </w:tcPr>
          <w:p>
            <w:pPr>
              <w:spacing w:after="0"/>
              <w:rPr>
                <w:sz w:val="21"/>
                <w:szCs w:val="21"/>
                <w:color w:val="auto"/>
              </w:rPr>
            </w:pPr>
          </w:p>
        </w:tc>
        <w:tc>
          <w:tcPr>
            <w:tcW w:w="1660" w:type="dxa"/>
            <w:vAlign w:val="bottom"/>
            <w:gridSpan w:val="2"/>
          </w:tcPr>
          <w:p>
            <w:pPr>
              <w:jc w:val="right"/>
              <w:ind w:right="220"/>
              <w:spacing w:after="0"/>
              <w:rPr>
                <w:sz w:val="20"/>
                <w:szCs w:val="20"/>
                <w:color w:val="auto"/>
              </w:rPr>
            </w:pPr>
            <w:r>
              <w:rPr>
                <w:rFonts w:ascii="Arial" w:cs="Arial" w:eastAsia="Arial" w:hAnsi="Arial"/>
                <w:sz w:val="18"/>
                <w:szCs w:val="18"/>
                <w:color w:val="auto"/>
              </w:rPr>
              <w:t>3 %</w:t>
            </w:r>
          </w:p>
        </w:tc>
        <w:tc>
          <w:tcPr>
            <w:tcW w:w="380" w:type="dxa"/>
            <w:vAlign w:val="bottom"/>
          </w:tcPr>
          <w:p>
            <w:pPr>
              <w:spacing w:after="0"/>
              <w:rPr>
                <w:sz w:val="21"/>
                <w:szCs w:val="21"/>
                <w:color w:val="auto"/>
              </w:rPr>
            </w:pPr>
          </w:p>
        </w:tc>
        <w:tc>
          <w:tcPr>
            <w:tcW w:w="1640" w:type="dxa"/>
            <w:vAlign w:val="bottom"/>
            <w:gridSpan w:val="2"/>
          </w:tcPr>
          <w:p>
            <w:pPr>
              <w:jc w:val="right"/>
              <w:ind w:right="180"/>
              <w:spacing w:after="0"/>
              <w:rPr>
                <w:sz w:val="20"/>
                <w:szCs w:val="20"/>
                <w:color w:val="auto"/>
              </w:rPr>
            </w:pPr>
            <w:r>
              <w:rPr>
                <w:rFonts w:ascii="Arial" w:cs="Arial" w:eastAsia="Arial" w:hAnsi="Arial"/>
                <w:sz w:val="18"/>
                <w:szCs w:val="18"/>
                <w:color w:val="auto"/>
              </w:rPr>
              <w:t>4 %</w:t>
            </w:r>
          </w:p>
        </w:tc>
        <w:tc>
          <w:tcPr>
            <w:tcW w:w="26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100" w:type="dxa"/>
            <w:vAlign w:val="bottom"/>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-299085</wp:posOffset>
            </wp:positionV>
            <wp:extent cx="7132320" cy="15430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95" w:lineRule="exact"/>
        <w:rPr>
          <w:sz w:val="20"/>
          <w:szCs w:val="20"/>
          <w:color w:val="auto"/>
        </w:rPr>
      </w:pPr>
    </w:p>
    <w:p>
      <w:pPr>
        <w:ind w:right="180" w:firstLine="509"/>
        <w:spacing w:after="0" w:line="277" w:lineRule="auto"/>
        <w:rPr>
          <w:sz w:val="20"/>
          <w:szCs w:val="20"/>
          <w:color w:val="auto"/>
        </w:rPr>
      </w:pPr>
      <w:r>
        <w:rPr>
          <w:rFonts w:ascii="Arial" w:cs="Arial" w:eastAsia="Arial" w:hAnsi="Arial"/>
          <w:sz w:val="18"/>
          <w:szCs w:val="18"/>
          <w:color w:val="auto"/>
        </w:rPr>
        <w:t>The decrease in income tax provision was primarily driven by reduced pre-tax income, net of the reduced impact of income tax benefits from equity awards in the current year.</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Funding Requirements</w:t>
      </w:r>
    </w:p>
    <w:p>
      <w:pPr>
        <w:spacing w:after="0" w:line="117" w:lineRule="exact"/>
        <w:rPr>
          <w:sz w:val="20"/>
          <w:szCs w:val="20"/>
          <w:color w:val="auto"/>
        </w:rPr>
      </w:pPr>
    </w:p>
    <w:p>
      <w:pPr>
        <w:ind w:right="360"/>
        <w:spacing w:after="0" w:line="259" w:lineRule="auto"/>
        <w:rPr>
          <w:sz w:val="20"/>
          <w:szCs w:val="20"/>
          <w:color w:val="auto"/>
        </w:rPr>
      </w:pPr>
      <w:r>
        <w:rPr>
          <w:rFonts w:ascii="Arial" w:cs="Arial" w:eastAsia="Arial" w:hAnsi="Arial"/>
          <w:sz w:val="18"/>
          <w:szCs w:val="18"/>
          <w:color w:val="auto"/>
        </w:rPr>
        <w:t>Our primary requirements for liquidity and capital are to fund our investments in our core business, which includes lease payments, pursue greenfield development, acquisitions of new locations and to service our indebtedness. Historically, these cash requirements have been met through funds raised by the sale of our common stock, utilization of our Revolving Commitment, First Lien Term Loan, sale-leaseback transactions, and cash provided by operations.</w:t>
      </w:r>
    </w:p>
    <w:p>
      <w:pPr>
        <w:spacing w:after="0" w:line="77"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As of September 30, 2023 and December 31, 2022, we had cash and cash equivalents of $62.1 million and $65.2 million, respectively, and $148.6 million of available borrowing capacity under our Revolving Commitment.</w:t>
      </w:r>
    </w:p>
    <w:p>
      <w:pPr>
        <w:spacing w:after="0" w:line="62" w:lineRule="exact"/>
        <w:rPr>
          <w:sz w:val="20"/>
          <w:szCs w:val="20"/>
          <w:color w:val="auto"/>
        </w:rPr>
      </w:pPr>
    </w:p>
    <w:p>
      <w:pPr>
        <w:ind w:right="420"/>
        <w:spacing w:after="0" w:line="290" w:lineRule="auto"/>
        <w:rPr>
          <w:sz w:val="20"/>
          <w:szCs w:val="20"/>
          <w:color w:val="auto"/>
        </w:rPr>
      </w:pPr>
      <w:r>
        <w:rPr>
          <w:rFonts w:ascii="Arial" w:cs="Arial" w:eastAsia="Arial" w:hAnsi="Arial"/>
          <w:sz w:val="16"/>
          <w:szCs w:val="16"/>
          <w:color w:val="auto"/>
        </w:rPr>
        <w:t>For a description of our Credit Facilities, please see Note 8 Debt in the consolidated financial statements included elsewhere in this Quarterly Report on Form 10-Q. As of September 30, 2023, we were in compliance with the covenants under the Amended and Restated First Lien Credit Agreement.</w:t>
      </w:r>
    </w:p>
    <w:p>
      <w:pPr>
        <w:spacing w:after="0" w:line="1"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40"/>
          </w:cols>
          <w:pgMar w:left="320" w:top="665" w:right="239" w:bottom="1440" w:gutter="0" w:footer="0" w:header="0"/>
        </w:sectPr>
      </w:pPr>
    </w:p>
    <w:bookmarkStart w:id="30" w:name="page31"/>
    <w:bookmarkEnd w:id="30"/>
    <w:p>
      <w:pPr>
        <w:ind w:right="60"/>
        <w:spacing w:after="0" w:line="273" w:lineRule="auto"/>
        <w:rPr>
          <w:sz w:val="20"/>
          <w:szCs w:val="20"/>
          <w:color w:val="auto"/>
        </w:rPr>
      </w:pPr>
      <w:r>
        <w:rPr>
          <w:rFonts w:ascii="Arial" w:cs="Arial" w:eastAsia="Arial" w:hAnsi="Arial"/>
          <w:sz w:val="17"/>
          <w:szCs w:val="17"/>
          <w:color w:val="auto"/>
        </w:rPr>
        <w:t>We believe that our sources of liquidity and capital will be sufficient to finance our growth strategy and resulting operations, as well as planned capital expenditures, for the next 12 months and the foreseeable future. However, we cannot assure you that cash provided by operating activities or cash and cash equivalents will be sufficient to meet our future needs. If we are unable to generate sufficient cash flows from operations in the future, we may have to obtain additional financing. If we obtain additional capital by issuing equity, the interests of our existing stockholders will be diluted. If we incur additional indebtedness, that indebtedness may contain significant financial and other covenants that may significantly restrict our operations. We cannot assure you that we could obtain additional financing on favorable terms or at all.</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 for the Nine Months Ended September 30, 2023 and 2022 (Unaudited)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summary cash flow information for the nine months ended September 30, 2023 and 2022:</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67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080" w:type="dxa"/>
            <w:vAlign w:val="bottom"/>
            <w:gridSpan w:val="5"/>
          </w:tcPr>
          <w:p>
            <w:pPr>
              <w:jc w:val="right"/>
              <w:ind w:right="980"/>
              <w:spacing w:after="0"/>
              <w:rPr>
                <w:sz w:val="20"/>
                <w:szCs w:val="20"/>
                <w:color w:val="auto"/>
              </w:rPr>
            </w:pPr>
            <w:r>
              <w:rPr>
                <w:rFonts w:ascii="Arial" w:cs="Arial" w:eastAsia="Arial" w:hAnsi="Arial"/>
                <w:sz w:val="18"/>
                <w:szCs w:val="18"/>
                <w:b w:val="1"/>
                <w:bCs w:val="1"/>
                <w:color w:val="auto"/>
              </w:rPr>
              <w:t>Nine Months Ended September 30,</w:t>
            </w:r>
          </w:p>
        </w:tc>
      </w:tr>
      <w:tr>
        <w:trPr>
          <w:trHeight w:val="243"/>
        </w:trPr>
        <w:tc>
          <w:tcPr>
            <w:tcW w:w="6700" w:type="dxa"/>
            <w:vAlign w:val="bottom"/>
          </w:tcPr>
          <w:p>
            <w:pPr>
              <w:ind w:left="2400"/>
              <w:spacing w:after="0"/>
              <w:rPr>
                <w:sz w:val="20"/>
                <w:szCs w:val="20"/>
                <w:color w:val="auto"/>
              </w:rPr>
            </w:pPr>
            <w:r>
              <w:rPr>
                <w:rFonts w:ascii="Arial" w:cs="Arial" w:eastAsia="Arial" w:hAnsi="Arial"/>
                <w:sz w:val="18"/>
                <w:szCs w:val="18"/>
                <w:b w:val="1"/>
                <w:bCs w:val="1"/>
                <w:color w:val="auto"/>
              </w:rPr>
              <w:t>(Dollars in thousands)</w:t>
            </w:r>
          </w:p>
        </w:tc>
        <w:tc>
          <w:tcPr>
            <w:tcW w:w="460" w:type="dxa"/>
            <w:vAlign w:val="bottom"/>
            <w:tcBorders>
              <w:top w:val="single" w:sz="8" w:color="auto"/>
              <w:bottom w:val="single" w:sz="8" w:color="auto"/>
            </w:tcBorders>
          </w:tcPr>
          <w:p>
            <w:pPr>
              <w:spacing w:after="0"/>
              <w:rPr>
                <w:sz w:val="21"/>
                <w:szCs w:val="21"/>
                <w:color w:val="auto"/>
              </w:rPr>
            </w:pPr>
          </w:p>
        </w:tc>
        <w:tc>
          <w:tcPr>
            <w:tcW w:w="1540" w:type="dxa"/>
            <w:vAlign w:val="bottom"/>
            <w:tcBorders>
              <w:top w:val="single" w:sz="8" w:color="auto"/>
              <w:bottom w:val="single" w:sz="8" w:color="auto"/>
            </w:tcBorders>
          </w:tcPr>
          <w:p>
            <w:pPr>
              <w:jc w:val="right"/>
              <w:ind w:right="730"/>
              <w:spacing w:after="0"/>
              <w:rPr>
                <w:sz w:val="20"/>
                <w:szCs w:val="20"/>
                <w:color w:val="auto"/>
              </w:rPr>
            </w:pPr>
            <w:r>
              <w:rPr>
                <w:rFonts w:ascii="Arial" w:cs="Arial" w:eastAsia="Arial" w:hAnsi="Arial"/>
                <w:sz w:val="18"/>
                <w:szCs w:val="18"/>
                <w:b w:val="1"/>
                <w:bCs w:val="1"/>
                <w:color w:val="auto"/>
              </w:rPr>
              <w:t>2023</w:t>
            </w:r>
          </w:p>
        </w:tc>
        <w:tc>
          <w:tcPr>
            <w:tcW w:w="460" w:type="dxa"/>
            <w:vAlign w:val="bottom"/>
            <w:tcBorders>
              <w:top w:val="single" w:sz="8" w:color="auto"/>
            </w:tcBorders>
          </w:tcPr>
          <w:p>
            <w:pPr>
              <w:spacing w:after="0"/>
              <w:rPr>
                <w:sz w:val="21"/>
                <w:szCs w:val="21"/>
                <w:color w:val="auto"/>
              </w:rPr>
            </w:pPr>
          </w:p>
        </w:tc>
        <w:tc>
          <w:tcPr>
            <w:tcW w:w="460" w:type="dxa"/>
            <w:vAlign w:val="bottom"/>
            <w:tcBorders>
              <w:top w:val="single" w:sz="8" w:color="auto"/>
              <w:bottom w:val="single" w:sz="8" w:color="auto"/>
            </w:tcBorders>
          </w:tcPr>
          <w:p>
            <w:pPr>
              <w:spacing w:after="0"/>
              <w:rPr>
                <w:sz w:val="21"/>
                <w:szCs w:val="21"/>
                <w:color w:val="auto"/>
              </w:rPr>
            </w:pPr>
          </w:p>
        </w:tc>
        <w:tc>
          <w:tcPr>
            <w:tcW w:w="1520" w:type="dxa"/>
            <w:vAlign w:val="bottom"/>
            <w:tcBorders>
              <w:top w:val="single" w:sz="8" w:color="auto"/>
              <w:bottom w:val="single" w:sz="8" w:color="auto"/>
            </w:tcBorders>
          </w:tcPr>
          <w:p>
            <w:pPr>
              <w:jc w:val="right"/>
              <w:ind w:right="73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21"/>
                <w:szCs w:val="21"/>
                <w:color w:val="auto"/>
              </w:rPr>
            </w:pPr>
          </w:p>
        </w:tc>
      </w:tr>
      <w:tr>
        <w:trPr>
          <w:trHeight w:val="236"/>
        </w:trPr>
        <w:tc>
          <w:tcPr>
            <w:tcW w:w="670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460" w:type="dxa"/>
            <w:vAlign w:val="bottom"/>
            <w:shd w:val="clear" w:color="auto" w:fill="CFF0FC"/>
          </w:tcPr>
          <w:p>
            <w:pPr>
              <w:jc w:val="right"/>
              <w:ind w:right="250"/>
              <w:spacing w:after="0"/>
              <w:rPr>
                <w:sz w:val="20"/>
                <w:szCs w:val="20"/>
                <w:color w:val="auto"/>
              </w:rPr>
            </w:pPr>
            <w:r>
              <w:rPr>
                <w:rFonts w:ascii="Arial" w:cs="Arial" w:eastAsia="Arial" w:hAnsi="Arial"/>
                <w:sz w:val="18"/>
                <w:szCs w:val="18"/>
                <w:color w:val="auto"/>
                <w:w w:val="99"/>
              </w:rPr>
              <w:t>$</w:t>
            </w: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165,486</w:t>
            </w:r>
          </w:p>
        </w:tc>
        <w:tc>
          <w:tcPr>
            <w:tcW w:w="460" w:type="dxa"/>
            <w:vAlign w:val="bottom"/>
            <w:shd w:val="clear" w:color="auto" w:fill="CFF0FC"/>
          </w:tcPr>
          <w:p>
            <w:pPr>
              <w:spacing w:after="0"/>
              <w:rPr>
                <w:sz w:val="20"/>
                <w:szCs w:val="20"/>
                <w:color w:val="auto"/>
              </w:rPr>
            </w:pPr>
          </w:p>
        </w:tc>
        <w:tc>
          <w:tcPr>
            <w:tcW w:w="460" w:type="dxa"/>
            <w:vAlign w:val="bottom"/>
            <w:shd w:val="clear" w:color="auto" w:fill="CFF0FC"/>
          </w:tcPr>
          <w:p>
            <w:pPr>
              <w:jc w:val="right"/>
              <w:ind w:right="270"/>
              <w:spacing w:after="0"/>
              <w:rPr>
                <w:sz w:val="20"/>
                <w:szCs w:val="20"/>
                <w:color w:val="auto"/>
              </w:rPr>
            </w:pPr>
            <w:r>
              <w:rPr>
                <w:rFonts w:ascii="Arial" w:cs="Arial" w:eastAsia="Arial" w:hAnsi="Arial"/>
                <w:sz w:val="18"/>
                <w:szCs w:val="18"/>
                <w:color w:val="auto"/>
                <w:w w:val="79"/>
              </w:rPr>
              <w:t>$</w:t>
            </w:r>
          </w:p>
        </w:tc>
        <w:tc>
          <w:tcPr>
            <w:tcW w:w="1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185,453</w:t>
            </w:r>
          </w:p>
        </w:tc>
        <w:tc>
          <w:tcPr>
            <w:tcW w:w="100" w:type="dxa"/>
            <w:vAlign w:val="bottom"/>
            <w:shd w:val="clear" w:color="auto" w:fill="CFF0FC"/>
          </w:tcPr>
          <w:p>
            <w:pPr>
              <w:spacing w:after="0"/>
              <w:rPr>
                <w:sz w:val="20"/>
                <w:szCs w:val="20"/>
                <w:color w:val="auto"/>
              </w:rPr>
            </w:pPr>
          </w:p>
        </w:tc>
      </w:tr>
      <w:tr>
        <w:trPr>
          <w:trHeight w:val="236"/>
        </w:trPr>
        <w:tc>
          <w:tcPr>
            <w:tcW w:w="6700" w:type="dxa"/>
            <w:vAlign w:val="bottom"/>
          </w:tcPr>
          <w:p>
            <w:pPr>
              <w:ind w:left="20"/>
              <w:spacing w:after="0"/>
              <w:rPr>
                <w:sz w:val="20"/>
                <w:szCs w:val="20"/>
                <w:color w:val="auto"/>
              </w:rPr>
            </w:pPr>
            <w:r>
              <w:rPr>
                <w:rFonts w:ascii="Arial" w:cs="Arial" w:eastAsia="Arial" w:hAnsi="Arial"/>
                <w:sz w:val="18"/>
                <w:szCs w:val="18"/>
                <w:color w:val="auto"/>
              </w:rPr>
              <w:t>Net cash used in investing activities</w:t>
            </w:r>
          </w:p>
        </w:tc>
        <w:tc>
          <w:tcPr>
            <w:tcW w:w="460" w:type="dxa"/>
            <w:vAlign w:val="bottom"/>
          </w:tcPr>
          <w:p>
            <w:pPr>
              <w:spacing w:after="0"/>
              <w:rPr>
                <w:sz w:val="20"/>
                <w:szCs w:val="20"/>
                <w:color w:val="auto"/>
              </w:rPr>
            </w:pPr>
          </w:p>
        </w:tc>
        <w:tc>
          <w:tcPr>
            <w:tcW w:w="2000" w:type="dxa"/>
            <w:vAlign w:val="bottom"/>
            <w:gridSpan w:val="2"/>
          </w:tcPr>
          <w:p>
            <w:pPr>
              <w:jc w:val="right"/>
              <w:ind w:right="400"/>
              <w:spacing w:after="0"/>
              <w:rPr>
                <w:sz w:val="20"/>
                <w:szCs w:val="20"/>
                <w:color w:val="auto"/>
              </w:rPr>
            </w:pPr>
            <w:r>
              <w:rPr>
                <w:rFonts w:ascii="Arial" w:cs="Arial" w:eastAsia="Arial" w:hAnsi="Arial"/>
                <w:sz w:val="18"/>
                <w:szCs w:val="18"/>
                <w:color w:val="auto"/>
              </w:rPr>
              <w:t>(173,652 )</w:t>
            </w:r>
          </w:p>
        </w:tc>
        <w:tc>
          <w:tcPr>
            <w:tcW w:w="460" w:type="dxa"/>
            <w:vAlign w:val="bottom"/>
          </w:tcPr>
          <w:p>
            <w:pPr>
              <w:spacing w:after="0"/>
              <w:rPr>
                <w:sz w:val="20"/>
                <w:szCs w:val="20"/>
                <w:color w:val="auto"/>
              </w:rPr>
            </w:pPr>
          </w:p>
        </w:tc>
        <w:tc>
          <w:tcPr>
            <w:tcW w:w="1620" w:type="dxa"/>
            <w:vAlign w:val="bottom"/>
            <w:gridSpan w:val="2"/>
          </w:tcPr>
          <w:p>
            <w:pPr>
              <w:jc w:val="right"/>
              <w:ind w:right="40"/>
              <w:spacing w:after="0"/>
              <w:rPr>
                <w:sz w:val="20"/>
                <w:szCs w:val="20"/>
                <w:color w:val="auto"/>
              </w:rPr>
            </w:pPr>
            <w:r>
              <w:rPr>
                <w:rFonts w:ascii="Arial" w:cs="Arial" w:eastAsia="Arial" w:hAnsi="Arial"/>
                <w:sz w:val="18"/>
                <w:szCs w:val="18"/>
                <w:color w:val="auto"/>
              </w:rPr>
              <w:t>(133,784 )</w:t>
            </w:r>
          </w:p>
        </w:tc>
      </w:tr>
      <w:tr>
        <w:trPr>
          <w:trHeight w:val="249"/>
        </w:trPr>
        <w:tc>
          <w:tcPr>
            <w:tcW w:w="67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Net cash provided by financing activities</w:t>
            </w:r>
          </w:p>
        </w:tc>
        <w:tc>
          <w:tcPr>
            <w:tcW w:w="460" w:type="dxa"/>
            <w:vAlign w:val="bottom"/>
            <w:tcBorders>
              <w:bottom w:val="single" w:sz="8" w:color="auto"/>
            </w:tcBorders>
            <w:shd w:val="clear" w:color="auto" w:fill="CFF0FC"/>
          </w:tcPr>
          <w:p>
            <w:pPr>
              <w:spacing w:after="0"/>
              <w:rPr>
                <w:sz w:val="21"/>
                <w:szCs w:val="21"/>
                <w:color w:val="auto"/>
              </w:rPr>
            </w:pPr>
          </w:p>
        </w:tc>
        <w:tc>
          <w:tcPr>
            <w:tcW w:w="1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5,184</w:t>
            </w:r>
          </w:p>
        </w:tc>
        <w:tc>
          <w:tcPr>
            <w:tcW w:w="460" w:type="dxa"/>
            <w:vAlign w:val="bottom"/>
            <w:tcBorders>
              <w:bottom w:val="single" w:sz="8" w:color="CFF0FC"/>
            </w:tcBorders>
            <w:shd w:val="clear" w:color="auto" w:fill="CFF0FC"/>
          </w:tcPr>
          <w:p>
            <w:pPr>
              <w:spacing w:after="0"/>
              <w:rPr>
                <w:sz w:val="21"/>
                <w:szCs w:val="21"/>
                <w:color w:val="auto"/>
              </w:rPr>
            </w:pPr>
          </w:p>
        </w:tc>
        <w:tc>
          <w:tcPr>
            <w:tcW w:w="460" w:type="dxa"/>
            <w:vAlign w:val="bottom"/>
            <w:tcBorders>
              <w:bottom w:val="single" w:sz="8" w:color="auto"/>
            </w:tcBorders>
            <w:shd w:val="clear" w:color="auto" w:fill="CFF0FC"/>
          </w:tcPr>
          <w:p>
            <w:pPr>
              <w:spacing w:after="0"/>
              <w:rPr>
                <w:sz w:val="21"/>
                <w:szCs w:val="21"/>
                <w:color w:val="auto"/>
              </w:rPr>
            </w:pPr>
          </w:p>
        </w:tc>
        <w:tc>
          <w:tcPr>
            <w:tcW w:w="1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3,420</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6700" w:type="dxa"/>
            <w:vAlign w:val="bottom"/>
          </w:tcPr>
          <w:p>
            <w:pPr>
              <w:ind w:left="200"/>
              <w:spacing w:after="0"/>
              <w:rPr>
                <w:sz w:val="20"/>
                <w:szCs w:val="20"/>
                <w:color w:val="auto"/>
              </w:rPr>
            </w:pPr>
            <w:r>
              <w:rPr>
                <w:rFonts w:ascii="Arial" w:cs="Arial" w:eastAsia="Arial" w:hAnsi="Arial"/>
                <w:sz w:val="18"/>
                <w:szCs w:val="18"/>
                <w:color w:val="auto"/>
              </w:rPr>
              <w:t>Net change in cash and cash equivalents, and restricted cash</w:t>
            </w: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2000" w:type="dxa"/>
            <w:vAlign w:val="bottom"/>
            <w:gridSpan w:val="2"/>
          </w:tcPr>
          <w:p>
            <w:pPr>
              <w:jc w:val="right"/>
              <w:ind w:right="400"/>
              <w:spacing w:after="0"/>
              <w:rPr>
                <w:sz w:val="20"/>
                <w:szCs w:val="20"/>
                <w:color w:val="auto"/>
              </w:rPr>
            </w:pPr>
            <w:r>
              <w:rPr>
                <w:rFonts w:ascii="Arial" w:cs="Arial" w:eastAsia="Arial" w:hAnsi="Arial"/>
                <w:sz w:val="18"/>
                <w:szCs w:val="18"/>
                <w:color w:val="auto"/>
              </w:rPr>
              <w:t>(2,982 )</w:t>
            </w:r>
          </w:p>
        </w:tc>
        <w:tc>
          <w:tcPr>
            <w:tcW w:w="460" w:type="dxa"/>
            <w:vAlign w:val="bottom"/>
          </w:tcPr>
          <w:p>
            <w:pPr>
              <w:jc w:val="right"/>
              <w:ind w:right="270"/>
              <w:spacing w:after="0"/>
              <w:rPr>
                <w:sz w:val="20"/>
                <w:szCs w:val="20"/>
                <w:color w:val="auto"/>
              </w:rPr>
            </w:pPr>
            <w:r>
              <w:rPr>
                <w:rFonts w:ascii="Arial" w:cs="Arial" w:eastAsia="Arial" w:hAnsi="Arial"/>
                <w:sz w:val="18"/>
                <w:szCs w:val="18"/>
                <w:color w:val="auto"/>
                <w:w w:val="79"/>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55,089</w:t>
            </w:r>
          </w:p>
        </w:tc>
        <w:tc>
          <w:tcPr>
            <w:tcW w:w="100" w:type="dxa"/>
            <w:vAlign w:val="bottom"/>
          </w:tcPr>
          <w:p>
            <w:pPr>
              <w:spacing w:after="0"/>
              <w:rPr>
                <w:sz w:val="20"/>
                <w:szCs w:val="20"/>
                <w:color w:val="auto"/>
              </w:rPr>
            </w:pPr>
          </w:p>
        </w:tc>
      </w:tr>
      <w:tr>
        <w:trPr>
          <w:trHeight w:val="20"/>
        </w:trPr>
        <w:tc>
          <w:tcPr>
            <w:tcW w:w="67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5519420</wp:posOffset>
            </wp:positionH>
            <wp:positionV relativeFrom="paragraph">
              <wp:posOffset>-187960</wp:posOffset>
            </wp:positionV>
            <wp:extent cx="68580" cy="18859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18859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68580" cy="188595"/>
                    </a:xfrm>
                    <a:prstGeom prst="rect">
                      <a:avLst/>
                    </a:prstGeom>
                    <a:noFill/>
                  </pic:spPr>
                </pic:pic>
              </a:graphicData>
            </a:graphic>
          </wp:anchor>
        </w:drawing>
      </w:r>
    </w:p>
    <w:p>
      <w:pPr>
        <w:spacing w:after="0" w:line="181" w:lineRule="exact"/>
        <w:rPr>
          <w:sz w:val="20"/>
          <w:szCs w:val="20"/>
          <w:color w:val="auto"/>
        </w:rPr>
      </w:pPr>
    </w:p>
    <w:p>
      <w:pPr>
        <w:ind w:firstLine="509"/>
        <w:spacing w:after="0" w:line="263" w:lineRule="auto"/>
        <w:rPr>
          <w:sz w:val="20"/>
          <w:szCs w:val="20"/>
          <w:color w:val="auto"/>
        </w:rPr>
      </w:pPr>
      <w:r>
        <w:rPr>
          <w:rFonts w:ascii="Arial" w:cs="Arial" w:eastAsia="Arial" w:hAnsi="Arial"/>
          <w:sz w:val="18"/>
          <w:szCs w:val="18"/>
          <w:i w:val="1"/>
          <w:iCs w:val="1"/>
          <w:color w:val="auto"/>
        </w:rPr>
        <w:t>Operating Activities</w:t>
      </w:r>
      <w:r>
        <w:rPr>
          <w:rFonts w:ascii="Arial" w:cs="Arial" w:eastAsia="Arial" w:hAnsi="Arial"/>
          <w:sz w:val="18"/>
          <w:szCs w:val="18"/>
          <w:color w:val="auto"/>
        </w:rPr>
        <w:t>. Net cash used in operating activities consists of net income adjusted for certain non-cash items, including stock-based</w:t>
      </w:r>
      <w:r>
        <w:rPr>
          <w:rFonts w:ascii="Arial" w:cs="Arial" w:eastAsia="Arial" w:hAnsi="Arial"/>
          <w:sz w:val="18"/>
          <w:szCs w:val="18"/>
          <w:i w:val="1"/>
          <w:iCs w:val="1"/>
          <w:color w:val="auto"/>
        </w:rPr>
        <w:t xml:space="preserve"> </w:t>
      </w:r>
      <w:r>
        <w:rPr>
          <w:rFonts w:ascii="Arial" w:cs="Arial" w:eastAsia="Arial" w:hAnsi="Arial"/>
          <w:sz w:val="18"/>
          <w:szCs w:val="18"/>
          <w:color w:val="auto"/>
        </w:rPr>
        <w:t>compensation expense, depreciation of property and equipment, gains on sale of assets, net, amortization of leased assets and deferred income taxes, as well as the effect of changes in other working capital amounts.</w:t>
      </w:r>
    </w:p>
    <w:p>
      <w:pPr>
        <w:spacing w:after="0" w:line="183" w:lineRule="exact"/>
        <w:rPr>
          <w:sz w:val="20"/>
          <w:szCs w:val="20"/>
          <w:color w:val="auto"/>
        </w:rPr>
      </w:pPr>
    </w:p>
    <w:p>
      <w:pPr>
        <w:ind w:right="160" w:firstLine="509"/>
        <w:spacing w:after="0" w:line="296" w:lineRule="auto"/>
        <w:rPr>
          <w:sz w:val="20"/>
          <w:szCs w:val="20"/>
          <w:color w:val="auto"/>
        </w:rPr>
      </w:pPr>
      <w:r>
        <w:rPr>
          <w:rFonts w:ascii="Arial" w:cs="Arial" w:eastAsia="Arial" w:hAnsi="Arial"/>
          <w:sz w:val="16"/>
          <w:szCs w:val="16"/>
          <w:color w:val="auto"/>
        </w:rPr>
        <w:t>For the nine months ended September 30, 2023, net cash provided by operating activities was $165.5 million and was comprised of net income of $67.8 million, increased by $114.9 million as a result of non-cash adjustments comprised primarily of depreciation and amortization expense, stock-based compensation expense, non-cash lease expense, deferred income taxes, a gain on sale of assets, net, and amortization of debt issuance costs. Changes in working capital balances decreased cash provided by operating activities by $17.2 million and were primarily driven by operating lease payments, an increase in accounts receivable, net, offset by increases in accounts payable, accrued expenses, and deferred revenue.</w:t>
      </w:r>
    </w:p>
    <w:p>
      <w:pPr>
        <w:spacing w:after="0" w:line="160" w:lineRule="exact"/>
        <w:rPr>
          <w:sz w:val="20"/>
          <w:szCs w:val="20"/>
          <w:color w:val="auto"/>
        </w:rPr>
      </w:pPr>
    </w:p>
    <w:p>
      <w:pPr>
        <w:ind w:right="20" w:firstLine="509"/>
        <w:spacing w:after="0" w:line="255" w:lineRule="auto"/>
        <w:rPr>
          <w:sz w:val="20"/>
          <w:szCs w:val="20"/>
          <w:color w:val="auto"/>
        </w:rPr>
      </w:pPr>
      <w:r>
        <w:rPr>
          <w:rFonts w:ascii="Arial" w:cs="Arial" w:eastAsia="Arial" w:hAnsi="Arial"/>
          <w:sz w:val="18"/>
          <w:szCs w:val="18"/>
          <w:color w:val="auto"/>
        </w:rPr>
        <w:t>For the nine months ended September 30, 2022, net cash provided by operating activities was $185.5 million and was comprised of net income of $95.1 million, increased by $111.3 million as a result of non-cash adjustments comprised primarily of stock-based compensation expense, depreciation and amortization expense, non-cash lease expense, deferred income taxes, a gain on sale of assets, and amortization of deferred financing costs. Changes in working capital balances decreased cash provided by operating activities by $21.0 million and were primarily driven by increases in the operating lease liability, other noncurrent assets and liabilities and prepaid expenses and other current assets, offset by a decrease in other receivables, accounts payable and accrued expenses.</w:t>
      </w:r>
    </w:p>
    <w:p>
      <w:pPr>
        <w:spacing w:after="0" w:line="191" w:lineRule="exact"/>
        <w:rPr>
          <w:sz w:val="20"/>
          <w:szCs w:val="20"/>
          <w:color w:val="auto"/>
        </w:rPr>
      </w:pPr>
    </w:p>
    <w:p>
      <w:pPr>
        <w:ind w:right="200" w:firstLine="509"/>
        <w:spacing w:after="0" w:line="277" w:lineRule="auto"/>
        <w:rPr>
          <w:sz w:val="20"/>
          <w:szCs w:val="20"/>
          <w:color w:val="auto"/>
        </w:rPr>
      </w:pPr>
      <w:r>
        <w:rPr>
          <w:rFonts w:ascii="Arial" w:cs="Arial" w:eastAsia="Arial" w:hAnsi="Arial"/>
          <w:sz w:val="18"/>
          <w:szCs w:val="18"/>
          <w:i w:val="1"/>
          <w:iCs w:val="1"/>
          <w:color w:val="auto"/>
        </w:rPr>
        <w:t>Investing Activities</w:t>
      </w:r>
      <w:r>
        <w:rPr>
          <w:rFonts w:ascii="Arial" w:cs="Arial" w:eastAsia="Arial" w:hAnsi="Arial"/>
          <w:sz w:val="18"/>
          <w:szCs w:val="18"/>
          <w:color w:val="auto"/>
        </w:rPr>
        <w:t>. Our net cash used in investing activities primarily consists of purchases and sale of property and equipment and acquisition of</w:t>
      </w:r>
      <w:r>
        <w:rPr>
          <w:rFonts w:ascii="Arial" w:cs="Arial" w:eastAsia="Arial" w:hAnsi="Arial"/>
          <w:sz w:val="18"/>
          <w:szCs w:val="18"/>
          <w:i w:val="1"/>
          <w:iCs w:val="1"/>
          <w:color w:val="auto"/>
        </w:rPr>
        <w:t xml:space="preserve"> </w:t>
      </w:r>
      <w:r>
        <w:rPr>
          <w:rFonts w:ascii="Arial" w:cs="Arial" w:eastAsia="Arial" w:hAnsi="Arial"/>
          <w:sz w:val="18"/>
          <w:szCs w:val="18"/>
          <w:color w:val="auto"/>
        </w:rPr>
        <w:t>car washes.</w:t>
      </w:r>
    </w:p>
    <w:p>
      <w:pPr>
        <w:spacing w:after="0" w:line="169" w:lineRule="exact"/>
        <w:rPr>
          <w:sz w:val="20"/>
          <w:szCs w:val="20"/>
          <w:color w:val="auto"/>
        </w:rPr>
      </w:pPr>
    </w:p>
    <w:p>
      <w:pPr>
        <w:ind w:right="20" w:firstLine="509"/>
        <w:spacing w:after="0" w:line="341" w:lineRule="auto"/>
        <w:rPr>
          <w:sz w:val="20"/>
          <w:szCs w:val="20"/>
          <w:color w:val="auto"/>
        </w:rPr>
      </w:pPr>
      <w:r>
        <w:rPr>
          <w:rFonts w:ascii="Arial" w:cs="Arial" w:eastAsia="Arial" w:hAnsi="Arial"/>
          <w:sz w:val="16"/>
          <w:szCs w:val="16"/>
          <w:color w:val="auto"/>
        </w:rPr>
        <w:t>For the nine months ended September 30, 2023, net cash used in investing activities was $173.7 million and was primarily comprised of investments in property and equipment to support our greenfield development and other initiatives and two acquisitions, offset by the sale of property and equipment.</w:t>
      </w:r>
    </w:p>
    <w:p>
      <w:pPr>
        <w:spacing w:after="0" w:line="124" w:lineRule="exact"/>
        <w:rPr>
          <w:sz w:val="20"/>
          <w:szCs w:val="20"/>
          <w:color w:val="auto"/>
        </w:rPr>
      </w:pPr>
    </w:p>
    <w:p>
      <w:pPr>
        <w:ind w:right="100" w:firstLine="509"/>
        <w:spacing w:after="0" w:line="263" w:lineRule="auto"/>
        <w:rPr>
          <w:sz w:val="20"/>
          <w:szCs w:val="20"/>
          <w:color w:val="auto"/>
        </w:rPr>
      </w:pPr>
      <w:r>
        <w:rPr>
          <w:rFonts w:ascii="Arial" w:cs="Arial" w:eastAsia="Arial" w:hAnsi="Arial"/>
          <w:sz w:val="18"/>
          <w:szCs w:val="18"/>
          <w:color w:val="auto"/>
        </w:rPr>
        <w:t>For the nine months ended September 30, 2022, net cash used in investing activities was $133.8 million and was primarily comprised of investment in property and equipment to support our greenfield development and other initiatives and three acquisitions, partially offset by the sale of property and equipment.</w:t>
      </w:r>
    </w:p>
    <w:p>
      <w:pPr>
        <w:spacing w:after="0" w:line="209" w:lineRule="exact"/>
        <w:rPr>
          <w:sz w:val="20"/>
          <w:szCs w:val="20"/>
          <w:color w:val="auto"/>
        </w:rPr>
      </w:pPr>
    </w:p>
    <w:p>
      <w:pPr>
        <w:ind w:right="500" w:firstLine="509"/>
        <w:spacing w:after="0" w:line="277" w:lineRule="auto"/>
        <w:rPr>
          <w:sz w:val="20"/>
          <w:szCs w:val="20"/>
          <w:color w:val="auto"/>
        </w:rPr>
      </w:pPr>
      <w:r>
        <w:rPr>
          <w:rFonts w:ascii="Arial" w:cs="Arial" w:eastAsia="Arial" w:hAnsi="Arial"/>
          <w:sz w:val="18"/>
          <w:szCs w:val="18"/>
          <w:i w:val="1"/>
          <w:iCs w:val="1"/>
          <w:color w:val="auto"/>
        </w:rPr>
        <w:t>Financing Activities</w:t>
      </w:r>
      <w:r>
        <w:rPr>
          <w:rFonts w:ascii="Arial" w:cs="Arial" w:eastAsia="Arial" w:hAnsi="Arial"/>
          <w:sz w:val="18"/>
          <w:szCs w:val="18"/>
          <w:color w:val="auto"/>
        </w:rPr>
        <w:t>. Our net cash provided by financing activities primarily consists of payments on our First Lien Term Loan and Revolving</w:t>
      </w:r>
      <w:r>
        <w:rPr>
          <w:rFonts w:ascii="Arial" w:cs="Arial" w:eastAsia="Arial" w:hAnsi="Arial"/>
          <w:sz w:val="18"/>
          <w:szCs w:val="18"/>
          <w:i w:val="1"/>
          <w:iCs w:val="1"/>
          <w:color w:val="auto"/>
        </w:rPr>
        <w:t xml:space="preserve"> </w:t>
      </w:r>
      <w:r>
        <w:rPr>
          <w:rFonts w:ascii="Arial" w:cs="Arial" w:eastAsia="Arial" w:hAnsi="Arial"/>
          <w:sz w:val="18"/>
          <w:szCs w:val="18"/>
          <w:color w:val="auto"/>
        </w:rPr>
        <w:t>Commitment, payments on finance lease obligations, as well as issuance of common stock under employee plans.</w:t>
      </w:r>
    </w:p>
    <w:p>
      <w:pPr>
        <w:spacing w:after="0" w:line="169" w:lineRule="exact"/>
        <w:rPr>
          <w:sz w:val="20"/>
          <w:szCs w:val="20"/>
          <w:color w:val="auto"/>
        </w:rPr>
      </w:pPr>
    </w:p>
    <w:p>
      <w:pPr>
        <w:ind w:right="60" w:firstLine="509"/>
        <w:spacing w:after="0" w:line="277" w:lineRule="auto"/>
        <w:rPr>
          <w:sz w:val="20"/>
          <w:szCs w:val="20"/>
          <w:color w:val="auto"/>
        </w:rPr>
      </w:pPr>
      <w:r>
        <w:rPr>
          <w:rFonts w:ascii="Arial" w:cs="Arial" w:eastAsia="Arial" w:hAnsi="Arial"/>
          <w:sz w:val="18"/>
          <w:szCs w:val="18"/>
          <w:color w:val="auto"/>
        </w:rPr>
        <w:t>For the nine months ended September 30, 2023, net cash provided by financing activities was $5.2 million and was primarily comprised of proceeds from exercise of stock options, partially offset by payments on finance lease obligations.</w:t>
      </w:r>
    </w:p>
    <w:p>
      <w:pPr>
        <w:spacing w:after="0" w:line="169" w:lineRule="exact"/>
        <w:rPr>
          <w:sz w:val="20"/>
          <w:szCs w:val="20"/>
          <w:color w:val="auto"/>
        </w:rPr>
      </w:pPr>
    </w:p>
    <w:p>
      <w:pPr>
        <w:ind w:right="60" w:firstLine="509"/>
        <w:spacing w:after="0" w:line="273" w:lineRule="auto"/>
        <w:rPr>
          <w:sz w:val="20"/>
          <w:szCs w:val="20"/>
          <w:color w:val="auto"/>
        </w:rPr>
      </w:pPr>
      <w:r>
        <w:rPr>
          <w:rFonts w:ascii="Arial" w:cs="Arial" w:eastAsia="Arial" w:hAnsi="Arial"/>
          <w:sz w:val="17"/>
          <w:szCs w:val="17"/>
          <w:color w:val="auto"/>
        </w:rPr>
        <w:t>For the nine months ended September 30, 2022, net cash provided by financing activities was $3.4 million and was primarily comprised of proceeds from exercise of stock options, partially offset by repayments of our First Lien Term Loan and payments on finance lease obligations.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21"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Our unaudited condensed consolidated financial statements have been prepared in accordance with U.S. GAAP. The preparation of these financial statements requires us to make estimates and judgments that affect the reported amounts of assets, liabilities, revenues and expenses and related disclosure of contingent assets and liabilities.</w:t>
      </w:r>
    </w:p>
    <w:p>
      <w:pPr>
        <w:spacing w:after="0" w:line="75" w:lineRule="exact"/>
        <w:rPr>
          <w:sz w:val="20"/>
          <w:szCs w:val="20"/>
          <w:color w:val="auto"/>
        </w:rPr>
      </w:pPr>
    </w:p>
    <w:p>
      <w:pPr>
        <w:ind w:right="200"/>
        <w:spacing w:after="0" w:line="301" w:lineRule="auto"/>
        <w:rPr>
          <w:sz w:val="20"/>
          <w:szCs w:val="20"/>
          <w:color w:val="auto"/>
        </w:rPr>
      </w:pPr>
      <w:r>
        <w:rPr>
          <w:rFonts w:ascii="Arial" w:cs="Arial" w:eastAsia="Arial" w:hAnsi="Arial"/>
          <w:sz w:val="16"/>
          <w:szCs w:val="16"/>
          <w:color w:val="auto"/>
        </w:rPr>
        <w:t>On an ongoing basis, we evaluate our estimates and assumptions, including those related to revenue recognition, goodwill and other intangible assets, income taxes and stock-based compensation. We base our estimates on historical experience, current developments and on various other assumptions that we believe to be reasonable under these circumstances, the results of which form the basis for making judgments about carrying values of assets and liabilities that cannot readily be determined from other sources. There can be no assurance that actual results will not differ from those estimates.</w:t>
      </w:r>
    </w:p>
    <w:p>
      <w:pPr>
        <w:spacing w:after="0" w:line="48" w:lineRule="exact"/>
        <w:rPr>
          <w:sz w:val="20"/>
          <w:szCs w:val="20"/>
          <w:color w:val="auto"/>
        </w:rPr>
      </w:pPr>
    </w:p>
    <w:p>
      <w:pPr>
        <w:ind w:right="140"/>
        <w:spacing w:after="0" w:line="341" w:lineRule="auto"/>
        <w:rPr>
          <w:sz w:val="20"/>
          <w:szCs w:val="20"/>
          <w:color w:val="auto"/>
        </w:rPr>
      </w:pPr>
      <w:r>
        <w:rPr>
          <w:rFonts w:ascii="Arial" w:cs="Arial" w:eastAsia="Arial" w:hAnsi="Arial"/>
          <w:sz w:val="16"/>
          <w:szCs w:val="16"/>
          <w:color w:val="auto"/>
        </w:rPr>
        <w:t>The significant accounting policies and estimates used in preparation of the unaudited condensed consolidated financial statements are described in our 2022 Form 10-K. There have been no material changes to our significant accounting policies during the three and nine months ended September 30, 2023.</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21" w:lineRule="exact"/>
        <w:rPr>
          <w:sz w:val="20"/>
          <w:szCs w:val="20"/>
          <w:color w:val="auto"/>
        </w:rPr>
      </w:pPr>
    </w:p>
    <w:p>
      <w:pPr>
        <w:ind w:right="760"/>
        <w:spacing w:after="0" w:line="263" w:lineRule="auto"/>
        <w:rPr>
          <w:sz w:val="20"/>
          <w:szCs w:val="20"/>
          <w:color w:val="auto"/>
        </w:rPr>
      </w:pPr>
      <w:r>
        <w:rPr>
          <w:rFonts w:ascii="Arial" w:cs="Arial" w:eastAsia="Arial" w:hAnsi="Arial"/>
          <w:sz w:val="18"/>
          <w:szCs w:val="18"/>
          <w:color w:val="auto"/>
        </w:rPr>
        <w:t>See the section titled “Summary of Significant Accounting Policies—Recently Adopted Accounting Pronouncements” in Note 2 to our unaudited condensed consolidated financial statements included elsewhere in this Quarterly Report on Form 10-Q for a discussion of recent accounting pronouncements.</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21" w:lineRule="exact"/>
        <w:rPr>
          <w:sz w:val="20"/>
          <w:szCs w:val="20"/>
          <w:color w:val="auto"/>
        </w:rPr>
      </w:pPr>
    </w:p>
    <w:p>
      <w:pPr>
        <w:ind w:right="540"/>
        <w:spacing w:after="0" w:line="307" w:lineRule="auto"/>
        <w:rPr>
          <w:sz w:val="20"/>
          <w:szCs w:val="20"/>
          <w:color w:val="auto"/>
        </w:rPr>
      </w:pPr>
      <w:r>
        <w:rPr>
          <w:rFonts w:ascii="Arial" w:cs="Arial" w:eastAsia="Arial" w:hAnsi="Arial"/>
          <w:sz w:val="17"/>
          <w:szCs w:val="17"/>
          <w:color w:val="auto"/>
        </w:rPr>
        <w:t>We are exposed to market risk from changes in interest rates and inflation. All these market risks arise in the normal course of business, as we do not engage in speculative trading activities. The following analysis provides quantitative information regarding these risks.</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121" w:lineRule="exact"/>
        <w:rPr>
          <w:sz w:val="20"/>
          <w:szCs w:val="20"/>
          <w:color w:val="auto"/>
        </w:rPr>
      </w:pPr>
    </w:p>
    <w:p>
      <w:pPr>
        <w:ind w:right="160"/>
        <w:spacing w:after="0" w:line="296" w:lineRule="auto"/>
        <w:rPr>
          <w:sz w:val="20"/>
          <w:szCs w:val="20"/>
          <w:color w:val="auto"/>
        </w:rPr>
      </w:pPr>
      <w:r>
        <w:rPr>
          <w:rFonts w:ascii="Arial" w:cs="Arial" w:eastAsia="Arial" w:hAnsi="Arial"/>
          <w:sz w:val="16"/>
          <w:szCs w:val="16"/>
          <w:color w:val="auto"/>
        </w:rPr>
        <w:t>Our First Lien Term Loan bears interest at variable rates, which exposes us to market risks relating to changes in interest rates. Interest rate risk is highly sensitive due to many factors, including U.S. monetary and tax policies, U.S. and international economic factors, and other factors beyond our control. As of September 30, 2023 and December 31, 2022, we had $901.2 million of variable rate debt outstanding under our First Lien Term Loan. Based on the balance outstanding under our First Lien Term Loan as of September 30, 2023, an increase or decrease of 100 basis points in the effective interest rate on the First Lien Term Loan would cause an increase or decrease in interest expense of approximately $9 million over the next 12 months.</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Impact of Inflation</w:t>
      </w:r>
    </w:p>
    <w:p>
      <w:pPr>
        <w:spacing w:after="0" w:line="12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Our results of operations and financial condition are presented based on historical cost. While it is difficult to accurately measure the impact of inflation due to the imprecise nature of the estimates required, we have recently experienced the effects of inflation on our results of operations and financial condition. In light of the current inflationary market conditions, we cannot assure you that our results of operations and financial condition will not be materially impacted by inflation in the future.</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117" w:lineRule="exact"/>
        <w:rPr>
          <w:sz w:val="20"/>
          <w:szCs w:val="20"/>
          <w:color w:val="auto"/>
        </w:rPr>
      </w:pPr>
    </w:p>
    <w:p>
      <w:pPr>
        <w:ind w:right="260"/>
        <w:spacing w:after="0" w:line="270" w:lineRule="auto"/>
        <w:rPr>
          <w:sz w:val="20"/>
          <w:szCs w:val="20"/>
          <w:color w:val="auto"/>
        </w:rPr>
      </w:pPr>
      <w:r>
        <w:rPr>
          <w:rFonts w:ascii="Arial" w:cs="Arial" w:eastAsia="Arial" w:hAnsi="Arial"/>
          <w:sz w:val="17"/>
          <w:szCs w:val="17"/>
          <w:color w:val="auto"/>
        </w:rPr>
        <w:t>In order to ensure that the information we must disclose in our filings with the Securities and Exchange Commission (the "SEC") is recorded, processed, summarized and reported on a timely basis, we have developed and implemented disclosure controls and procedures. Our management, with the participation of our President and Chief Executive Officer and our Chief Financial Officer, has evaluated the effectiveness of our disclosure controls and procedures (as such term is defined in Rules 13a-15(e) and 15d-15(e) under the Exchange Act as of September 30, 2023. Based on that evaluation, our management, including the President and Chief Executive Officer and the Chief Financial Officer, has concluded that our disclosure controls and procedures were effective as of September 30, 2023 in ensuring that information required to be disclosed in the reports that we file or submit under the Exchange Act is recorded, processed, summarized and reported within the time periods specified in the SEC's rules and forms and is accumulated and communicated to our management, including the President and Chief Executive Officer and Chief Financial Officer, as appropriate to allow timely decisions regarding required disclosure.</w:t>
      </w: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0" w:right="33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117" w:lineRule="exact"/>
        <w:rPr>
          <w:sz w:val="20"/>
          <w:szCs w:val="20"/>
          <w:color w:val="auto"/>
        </w:rPr>
      </w:pPr>
    </w:p>
    <w:p>
      <w:pPr>
        <w:spacing w:after="0" w:line="258" w:lineRule="auto"/>
        <w:rPr>
          <w:sz w:val="20"/>
          <w:szCs w:val="20"/>
          <w:color w:val="auto"/>
        </w:rPr>
      </w:pPr>
      <w:r>
        <w:rPr>
          <w:rFonts w:ascii="Arial" w:cs="Arial" w:eastAsia="Arial" w:hAnsi="Arial"/>
          <w:sz w:val="18"/>
          <w:szCs w:val="18"/>
          <w:color w:val="auto"/>
        </w:rPr>
        <w:t>There were no changes in our internal control over financial reporting that occurred during the three months ended September 30, 2023 that have materially affected, or are reasonably likely to materially affect, our internal control over financial reporting.</w:t>
      </w:r>
    </w:p>
    <w:p>
      <w:pPr>
        <w:spacing w:after="0" w:line="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49" w:right="379" w:bottom="1440" w:gutter="0" w:footer="0" w:header="0"/>
        </w:sectPr>
      </w:pPr>
    </w:p>
    <w:bookmarkStart w:id="33" w:name="page34"/>
    <w:bookmarkEnd w:id="33"/>
    <w:p>
      <w:pPr>
        <w:jc w:val="center"/>
        <w:ind w:right="-39"/>
        <w:spacing w:after="0"/>
        <w:rPr>
          <w:sz w:val="20"/>
          <w:szCs w:val="20"/>
          <w:color w:val="auto"/>
        </w:rPr>
      </w:pPr>
      <w:r>
        <w:rPr>
          <w:rFonts w:ascii="Arial" w:cs="Arial" w:eastAsia="Arial" w:hAnsi="Arial"/>
          <w:sz w:val="18"/>
          <w:szCs w:val="18"/>
          <w:b w:val="1"/>
          <w:bCs w:val="1"/>
          <w:color w:val="auto"/>
        </w:rPr>
        <w:t>PART II—OTHER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21"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We are subjected from time-to-time to various claims, lawsuits and other legal proceedings, including intellectual property claims. Some of these claims, lawsuits and other legal proceedings involve highly complex issues, and often these issues are subject to substantial uncertainties. Accordingly, our potential liability with respect to a large portion of such claims, lawsuits and other legal proceedings cannot be estimated with any certainty. Management, with the assistance of legal counsel, periodically reviews the status of each significant matter and assesses potential financial exposure. We recognize provisions for claims or pending litigation when we determine that an unfavorable outcome is probable and the amount of loss can be reasonably estimated. Due to the inherent uncertain nature of litigation, the ultimate outcome or actual cost of settlement may materially vary from estimates. If management’s estimates prove incorrect, we could incur a charge to earnings which could have a material and adverse effect on our business, results of operations, and financial condition.</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Class Action Litigation</w:t>
      </w:r>
    </w:p>
    <w:p>
      <w:pPr>
        <w:spacing w:after="0" w:line="117" w:lineRule="exact"/>
        <w:rPr>
          <w:sz w:val="20"/>
          <w:szCs w:val="20"/>
          <w:color w:val="auto"/>
        </w:rPr>
      </w:pPr>
    </w:p>
    <w:p>
      <w:pPr>
        <w:ind w:right="60"/>
        <w:spacing w:after="0" w:line="288" w:lineRule="auto"/>
        <w:rPr>
          <w:sz w:val="20"/>
          <w:szCs w:val="20"/>
          <w:color w:val="auto"/>
        </w:rPr>
      </w:pPr>
      <w:r>
        <w:rPr>
          <w:rFonts w:ascii="Arial" w:cs="Arial" w:eastAsia="Arial" w:hAnsi="Arial"/>
          <w:sz w:val="16"/>
          <w:szCs w:val="16"/>
          <w:color w:val="auto"/>
        </w:rPr>
        <w:t>On February 14, 2023, a plaintiff filed a purported class action lawsuit in the Stanislaus County Superior Court, California, on behalf of all non-exempt employees employed by Defendants Prime Shine LLC in California any time between February 14, 2019, and the present, against Prime Shine, LLC and Does 1 – 20 inclusive. Plaintiff alleges eight claims for violations of the California Labor Code and one claim for violation of the California Business &amp; Professions Code. On June 13, 2023, Plaintiff filed a First Amended Complaint to add a claim for penalties pursuant to the Private Attorneys General Act. Plaintiff seeks, among other things, an unspecified amount for unpaid wages, actual, consequential, and incidental losses, penalties, and attorneys’ fees and costs. The parties agreed to an informal exchange of information in lieu of formal discovery prior to mediation with an experienced wage-and-hour mediator. After undergoing mediation in October 2023, both parties reached a consensus to resolve the lawsuit. This agreement is contingent upon the formalization through a written settlement document and subsequent approval from the California Department of Labor and the court. Should all these conditions be met, the class action lawsuit will be considered settled. Management believes, based on currently available information, that the ultimate outcome of the proceeding described above will not have a material adverse effect on the Company’s financial condition or results of operations.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In addition to the other information set forth in this Quarterly Report on Form 10-Q, you should carefully consider the risk factors disclosed in Part I. Item 1A. "Risk Factors” and in Part II. Item 7. “Management’s Discussion and Analysis of Financial Condition and Results of Operations” of our 2022 Form 10-K, before making an investment decision. Our business, financial condition and results of operations could be materially and adversely affected by any of these risks or uncertainties. In that case, the trading price of our common stock could decline, and you may lose all or part of your investment. There have been no material changes to the risk factors described in Part I. Item 1A. "Risk Factors" of our 2022 Form 10-K.</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3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21" w:lineRule="exact"/>
        <w:rPr>
          <w:sz w:val="20"/>
          <w:szCs w:val="20"/>
          <w:color w:val="auto"/>
        </w:rPr>
      </w:pPr>
    </w:p>
    <w:p>
      <w:pPr>
        <w:ind w:left="540"/>
        <w:spacing w:after="0"/>
        <w:rPr>
          <w:sz w:val="20"/>
          <w:szCs w:val="20"/>
          <w:color w:val="auto"/>
        </w:rPr>
      </w:pPr>
      <w:r>
        <w:rPr>
          <w:rFonts w:ascii="Arial" w:cs="Arial" w:eastAsia="Arial" w:hAnsi="Arial"/>
          <w:sz w:val="18"/>
          <w:szCs w:val="18"/>
          <w:color w:val="auto"/>
        </w:rPr>
        <w:t>None.</w:t>
      </w:r>
    </w:p>
    <w:p>
      <w:pPr>
        <w:spacing w:after="0" w:line="3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applicable.</w:t>
      </w:r>
    </w:p>
    <w:p>
      <w:pPr>
        <w:spacing w:after="0" w:line="3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Rule 10b5-1 Trading Plan Elections</w:t>
      </w:r>
    </w:p>
    <w:p>
      <w:pPr>
        <w:spacing w:after="0" w:line="117" w:lineRule="exact"/>
        <w:rPr>
          <w:sz w:val="20"/>
          <w:szCs w:val="20"/>
          <w:color w:val="auto"/>
        </w:rPr>
      </w:pPr>
    </w:p>
    <w:p>
      <w:pPr>
        <w:ind w:right="460" w:firstLine="989"/>
        <w:spacing w:after="0" w:line="263" w:lineRule="auto"/>
        <w:rPr>
          <w:sz w:val="20"/>
          <w:szCs w:val="20"/>
          <w:color w:val="auto"/>
        </w:rPr>
      </w:pPr>
      <w:r>
        <w:rPr>
          <w:rFonts w:ascii="Arial" w:cs="Arial" w:eastAsia="Arial" w:hAnsi="Arial"/>
          <w:sz w:val="18"/>
          <w:szCs w:val="18"/>
          <w:color w:val="auto"/>
        </w:rPr>
        <w:t>During the quarter ended September 30, 2023, none of our directors or officers (as defined in Rule 16a-1 of the Exchange Act) adopted, modified or terminated a Rule 10b5-1 trading arrangement or a non-Rule 10b5-1 trading arrangement (as such terms are defined under Item 408 of Regulation S-K) except as described below.</w:t>
      </w:r>
    </w:p>
    <w:p>
      <w:pPr>
        <w:spacing w:after="0" w:line="183" w:lineRule="exact"/>
        <w:rPr>
          <w:sz w:val="20"/>
          <w:szCs w:val="20"/>
          <w:color w:val="auto"/>
        </w:rPr>
      </w:pPr>
    </w:p>
    <w:p>
      <w:pPr>
        <w:ind w:right="120" w:firstLine="989"/>
        <w:spacing w:after="0" w:line="258" w:lineRule="auto"/>
        <w:rPr>
          <w:sz w:val="20"/>
          <w:szCs w:val="20"/>
          <w:color w:val="auto"/>
        </w:rPr>
      </w:pPr>
      <w:r>
        <w:rPr>
          <w:rFonts w:ascii="Arial" w:cs="Arial" w:eastAsia="Arial" w:hAnsi="Arial"/>
          <w:sz w:val="18"/>
          <w:szCs w:val="18"/>
          <w:color w:val="auto"/>
        </w:rPr>
        <w:t>On September 29, 2023, John Lai, Chief Executive Officer, terminated a Rule 10b5-1 trading arrangement intended to satisfy the affirmative defense conditions of Rule 10b5-1(c) of the Exchange Act as then applicable at the time of adoption (the</w:t>
      </w:r>
    </w:p>
    <w:p>
      <w:pPr>
        <w:spacing w:after="0" w:line="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3" w:right="359" w:bottom="1440" w:gutter="0" w:footer="0" w:header="0"/>
        </w:sectPr>
      </w:pPr>
    </w:p>
    <w:bookmarkStart w:id="34" w:name="page35"/>
    <w:bookmarkEnd w:id="34"/>
    <w:p>
      <w:pPr>
        <w:spacing w:after="0" w:line="258" w:lineRule="auto"/>
        <w:rPr>
          <w:sz w:val="20"/>
          <w:szCs w:val="20"/>
          <w:color w:val="auto"/>
        </w:rPr>
      </w:pPr>
      <w:r>
        <w:rPr>
          <w:rFonts w:ascii="Arial" w:cs="Arial" w:eastAsia="Arial" w:hAnsi="Arial"/>
          <w:sz w:val="18"/>
          <w:szCs w:val="18"/>
          <w:color w:val="auto"/>
        </w:rPr>
        <w:t>“Terminated Plan”). The Terminated Plan was originally adopted on March 13, 2023 and provided for the potential sale of up to 8,277,573 shares of the Company’s common stock until September 2, 2024.</w:t>
      </w:r>
    </w:p>
    <w:p>
      <w:pPr>
        <w:spacing w:after="0" w:line="1"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20"/>
          </w:cols>
          <w:pgMar w:left="320" w:top="341" w:right="65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color w:val="auto"/>
        </w:rPr>
        <w:t>Item 6. Exhibits.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40" w:type="dxa"/>
            <w:vAlign w:val="bottom"/>
          </w:tcPr>
          <w:p>
            <w:pPr>
              <w:ind w:left="200"/>
              <w:spacing w:after="0"/>
              <w:rPr>
                <w:sz w:val="20"/>
                <w:szCs w:val="20"/>
                <w:color w:val="auto"/>
              </w:rPr>
            </w:pPr>
            <w:r>
              <w:rPr>
                <w:rFonts w:ascii="Arial" w:cs="Arial" w:eastAsia="Arial" w:hAnsi="Arial"/>
                <w:sz w:val="14"/>
                <w:szCs w:val="14"/>
                <w:b w:val="1"/>
                <w:bCs w:val="1"/>
                <w:color w:val="auto"/>
              </w:rPr>
              <w:t>Exhibit</w:t>
            </w:r>
          </w:p>
        </w:tc>
        <w:tc>
          <w:tcPr>
            <w:tcW w:w="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2800" w:type="dxa"/>
            <w:vAlign w:val="bottom"/>
            <w:gridSpan w:val="6"/>
            <w:vMerge w:val="restart"/>
          </w:tcPr>
          <w:p>
            <w:pPr>
              <w:ind w:left="80"/>
              <w:spacing w:after="0"/>
              <w:rPr>
                <w:sz w:val="20"/>
                <w:szCs w:val="20"/>
                <w:color w:val="auto"/>
              </w:rPr>
            </w:pPr>
            <w:r>
              <w:rPr>
                <w:rFonts w:ascii="Arial" w:cs="Arial" w:eastAsia="Arial" w:hAnsi="Arial"/>
                <w:sz w:val="14"/>
                <w:szCs w:val="14"/>
                <w:b w:val="1"/>
                <w:bCs w:val="1"/>
                <w:color w:val="auto"/>
              </w:rPr>
              <w:t>Description</w:t>
            </w:r>
          </w:p>
        </w:tc>
        <w:tc>
          <w:tcPr>
            <w:tcW w:w="900" w:type="dxa"/>
            <w:vAlign w:val="bottom"/>
            <w:vMerge w:val="restart"/>
          </w:tcPr>
          <w:p>
            <w:pPr>
              <w:jc w:val="center"/>
              <w:ind w:left="41"/>
              <w:spacing w:after="0"/>
              <w:rPr>
                <w:sz w:val="20"/>
                <w:szCs w:val="20"/>
                <w:color w:val="auto"/>
              </w:rPr>
            </w:pPr>
            <w:r>
              <w:rPr>
                <w:rFonts w:ascii="Arial" w:cs="Arial" w:eastAsia="Arial" w:hAnsi="Arial"/>
                <w:sz w:val="14"/>
                <w:szCs w:val="14"/>
                <w:b w:val="1"/>
                <w:bCs w:val="1"/>
                <w:color w:val="auto"/>
                <w:w w:val="97"/>
              </w:rPr>
              <w:t>Form</w:t>
            </w:r>
          </w:p>
        </w:tc>
        <w:tc>
          <w:tcPr>
            <w:tcW w:w="11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File. No</w:t>
            </w:r>
          </w:p>
        </w:tc>
        <w:tc>
          <w:tcPr>
            <w:tcW w:w="9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8"/>
              </w:rPr>
              <w:t>Exhibit</w:t>
            </w:r>
          </w:p>
        </w:tc>
        <w:tc>
          <w:tcPr>
            <w:tcW w:w="11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Filing Date</w:t>
            </w:r>
          </w:p>
        </w:tc>
        <w:tc>
          <w:tcPr>
            <w:tcW w:w="1420" w:type="dxa"/>
            <w:vAlign w:val="bottom"/>
          </w:tcPr>
          <w:p>
            <w:pPr>
              <w:jc w:val="center"/>
              <w:spacing w:after="0"/>
              <w:rPr>
                <w:sz w:val="20"/>
                <w:szCs w:val="20"/>
                <w:color w:val="auto"/>
              </w:rPr>
            </w:pPr>
            <w:r>
              <w:rPr>
                <w:rFonts w:ascii="Arial" w:cs="Arial" w:eastAsia="Arial" w:hAnsi="Arial"/>
                <w:sz w:val="14"/>
                <w:szCs w:val="14"/>
                <w:b w:val="1"/>
                <w:bCs w:val="1"/>
                <w:color w:val="auto"/>
                <w:w w:val="93"/>
              </w:rPr>
              <w:t>Filed/Furnished</w:t>
            </w:r>
          </w:p>
        </w:tc>
        <w:tc>
          <w:tcPr>
            <w:tcW w:w="0" w:type="dxa"/>
            <w:vAlign w:val="bottom"/>
          </w:tcPr>
          <w:p>
            <w:pPr>
              <w:spacing w:after="0"/>
              <w:rPr>
                <w:sz w:val="1"/>
                <w:szCs w:val="1"/>
                <w:color w:val="auto"/>
              </w:rPr>
            </w:pPr>
          </w:p>
        </w:tc>
      </w:tr>
      <w:tr>
        <w:trPr>
          <w:trHeight w:val="185"/>
        </w:trPr>
        <w:tc>
          <w:tcPr>
            <w:tcW w:w="840" w:type="dxa"/>
            <w:vAlign w:val="bottom"/>
            <w:tcBorders>
              <w:bottom w:val="single" w:sz="8" w:color="auto"/>
            </w:tcBorders>
          </w:tcPr>
          <w:p>
            <w:pPr>
              <w:ind w:left="160"/>
              <w:spacing w:after="0"/>
              <w:rPr>
                <w:sz w:val="20"/>
                <w:szCs w:val="20"/>
                <w:color w:val="auto"/>
              </w:rPr>
            </w:pPr>
            <w:r>
              <w:rPr>
                <w:rFonts w:ascii="Arial" w:cs="Arial" w:eastAsia="Arial" w:hAnsi="Arial"/>
                <w:sz w:val="14"/>
                <w:szCs w:val="14"/>
                <w:b w:val="1"/>
                <w:bCs w:val="1"/>
                <w:color w:val="auto"/>
              </w:rPr>
              <w:t>Number</w:t>
            </w:r>
          </w:p>
        </w:tc>
        <w:tc>
          <w:tcPr>
            <w:tcW w:w="1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spacing w:after="0"/>
              <w:rPr>
                <w:sz w:val="16"/>
                <w:szCs w:val="16"/>
                <w:color w:val="auto"/>
              </w:rPr>
            </w:pPr>
          </w:p>
        </w:tc>
        <w:tc>
          <w:tcPr>
            <w:tcW w:w="2800" w:type="dxa"/>
            <w:vAlign w:val="bottom"/>
            <w:tcBorders>
              <w:bottom w:val="single" w:sz="8" w:color="auto"/>
            </w:tcBorders>
            <w:gridSpan w:val="6"/>
            <w:vMerge w:val="continue"/>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1160" w:type="dxa"/>
            <w:vAlign w:val="bottom"/>
            <w:tcBorders>
              <w:bottom w:val="single" w:sz="8" w:color="auto"/>
            </w:tcBorders>
            <w:vMerge w:val="continue"/>
          </w:tcPr>
          <w:p>
            <w:pPr>
              <w:spacing w:after="0"/>
              <w:rPr>
                <w:sz w:val="16"/>
                <w:szCs w:val="16"/>
                <w:color w:val="auto"/>
              </w:rPr>
            </w:pP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Herewith</w:t>
            </w:r>
          </w:p>
        </w:tc>
        <w:tc>
          <w:tcPr>
            <w:tcW w:w="0" w:type="dxa"/>
            <w:vAlign w:val="bottom"/>
          </w:tcPr>
          <w:p>
            <w:pPr>
              <w:spacing w:after="0"/>
              <w:rPr>
                <w:sz w:val="1"/>
                <w:szCs w:val="1"/>
                <w:color w:val="auto"/>
              </w:rPr>
            </w:pPr>
          </w:p>
        </w:tc>
      </w:tr>
      <w:tr>
        <w:trPr>
          <w:trHeight w:val="155"/>
        </w:trPr>
        <w:tc>
          <w:tcPr>
            <w:tcW w:w="840" w:type="dxa"/>
            <w:vAlign w:val="bottom"/>
          </w:tcPr>
          <w:p>
            <w:pPr>
              <w:ind w:left="20"/>
              <w:spacing w:after="0" w:line="155" w:lineRule="exact"/>
              <w:rPr>
                <w:sz w:val="20"/>
                <w:szCs w:val="20"/>
                <w:color w:val="auto"/>
              </w:rPr>
            </w:pPr>
            <w:r>
              <w:rPr>
                <w:rFonts w:ascii="Arial" w:cs="Arial" w:eastAsia="Arial" w:hAnsi="Arial"/>
                <w:sz w:val="16"/>
                <w:szCs w:val="16"/>
                <w:color w:val="auto"/>
              </w:rPr>
              <w:t>3.1</w:t>
            </w:r>
          </w:p>
        </w:tc>
        <w:tc>
          <w:tcPr>
            <w:tcW w:w="140" w:type="dxa"/>
            <w:vAlign w:val="bottom"/>
          </w:tcPr>
          <w:p>
            <w:pPr>
              <w:spacing w:after="0"/>
              <w:rPr>
                <w:sz w:val="13"/>
                <w:szCs w:val="13"/>
                <w:color w:val="auto"/>
              </w:rPr>
            </w:pPr>
          </w:p>
        </w:tc>
        <w:tc>
          <w:tcPr>
            <w:tcW w:w="4760" w:type="dxa"/>
            <w:vAlign w:val="bottom"/>
            <w:gridSpan w:val="8"/>
          </w:tcPr>
          <w:p>
            <w:pPr>
              <w:spacing w:after="0" w:line="155" w:lineRule="exact"/>
              <w:rPr>
                <w:rFonts w:ascii="Arial" w:cs="Arial" w:eastAsia="Arial" w:hAnsi="Arial"/>
                <w:sz w:val="16"/>
                <w:szCs w:val="16"/>
                <w:color w:val="0000FF"/>
                <w:w w:val="98"/>
              </w:rPr>
            </w:pPr>
            <w:hyperlink r:id="rId255">
              <w:r>
                <w:rPr>
                  <w:rFonts w:ascii="Arial" w:cs="Arial" w:eastAsia="Arial" w:hAnsi="Arial"/>
                  <w:sz w:val="16"/>
                  <w:szCs w:val="16"/>
                  <w:color w:val="0000FF"/>
                  <w:w w:val="98"/>
                </w:rPr>
                <w:t>Amended and Restated Certificate of Incorporation of the Company</w:t>
              </w:r>
            </w:hyperlink>
          </w:p>
        </w:tc>
        <w:tc>
          <w:tcPr>
            <w:tcW w:w="900" w:type="dxa"/>
            <w:vAlign w:val="bottom"/>
          </w:tcPr>
          <w:p>
            <w:pPr>
              <w:jc w:val="center"/>
              <w:ind w:left="41"/>
              <w:spacing w:after="0" w:line="155" w:lineRule="exact"/>
              <w:rPr>
                <w:sz w:val="20"/>
                <w:szCs w:val="20"/>
                <w:color w:val="auto"/>
              </w:rPr>
            </w:pPr>
            <w:r>
              <w:rPr>
                <w:rFonts w:ascii="Arial" w:cs="Arial" w:eastAsia="Arial" w:hAnsi="Arial"/>
                <w:sz w:val="16"/>
                <w:szCs w:val="16"/>
                <w:color w:val="auto"/>
              </w:rPr>
              <w:t>8-K</w:t>
            </w:r>
          </w:p>
        </w:tc>
        <w:tc>
          <w:tcPr>
            <w:tcW w:w="1120" w:type="dxa"/>
            <w:vAlign w:val="bottom"/>
          </w:tcPr>
          <w:p>
            <w:pPr>
              <w:jc w:val="center"/>
              <w:spacing w:after="0" w:line="155" w:lineRule="exact"/>
              <w:rPr>
                <w:sz w:val="20"/>
                <w:szCs w:val="20"/>
                <w:color w:val="auto"/>
              </w:rPr>
            </w:pPr>
            <w:r>
              <w:rPr>
                <w:rFonts w:ascii="Arial" w:cs="Arial" w:eastAsia="Arial" w:hAnsi="Arial"/>
                <w:sz w:val="16"/>
                <w:szCs w:val="16"/>
                <w:color w:val="auto"/>
                <w:w w:val="91"/>
              </w:rPr>
              <w:t>001-40542</w:t>
            </w:r>
          </w:p>
        </w:tc>
        <w:tc>
          <w:tcPr>
            <w:tcW w:w="900" w:type="dxa"/>
            <w:vAlign w:val="bottom"/>
          </w:tcPr>
          <w:p>
            <w:pPr>
              <w:jc w:val="center"/>
              <w:spacing w:after="0" w:line="155" w:lineRule="exact"/>
              <w:rPr>
                <w:sz w:val="20"/>
                <w:szCs w:val="20"/>
                <w:color w:val="auto"/>
              </w:rPr>
            </w:pPr>
            <w:r>
              <w:rPr>
                <w:rFonts w:ascii="Arial" w:cs="Arial" w:eastAsia="Arial" w:hAnsi="Arial"/>
                <w:sz w:val="16"/>
                <w:szCs w:val="16"/>
                <w:color w:val="auto"/>
                <w:w w:val="89"/>
              </w:rPr>
              <w:t>3.2</w:t>
            </w:r>
          </w:p>
        </w:tc>
        <w:tc>
          <w:tcPr>
            <w:tcW w:w="1160" w:type="dxa"/>
            <w:vAlign w:val="bottom"/>
          </w:tcPr>
          <w:p>
            <w:pPr>
              <w:jc w:val="center"/>
              <w:spacing w:after="0" w:line="155" w:lineRule="exact"/>
              <w:rPr>
                <w:sz w:val="20"/>
                <w:szCs w:val="20"/>
                <w:color w:val="auto"/>
              </w:rPr>
            </w:pPr>
            <w:r>
              <w:rPr>
                <w:rFonts w:ascii="Arial" w:cs="Arial" w:eastAsia="Arial" w:hAnsi="Arial"/>
                <w:sz w:val="16"/>
                <w:szCs w:val="16"/>
                <w:color w:val="auto"/>
                <w:w w:val="92"/>
              </w:rPr>
              <w:t>06/01/2022</w:t>
            </w:r>
          </w:p>
        </w:tc>
        <w:tc>
          <w:tcPr>
            <w:tcW w:w="14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1600" w:type="dxa"/>
            <w:vAlign w:val="bottom"/>
            <w:tcBorders>
              <w:right w:val="single" w:sz="8" w:color="0000FF"/>
            </w:tcBorders>
            <w:shd w:val="clear" w:color="auto" w:fill="0000FF"/>
          </w:tcPr>
          <w:p>
            <w:pPr>
              <w:spacing w:after="0" w:line="20" w:lineRule="exact"/>
              <w:rPr>
                <w:sz w:val="1"/>
                <w:szCs w:val="1"/>
                <w:color w:val="auto"/>
              </w:rPr>
            </w:pPr>
          </w:p>
        </w:tc>
        <w:tc>
          <w:tcPr>
            <w:tcW w:w="1160" w:type="dxa"/>
            <w:vAlign w:val="bottom"/>
            <w:tcBorders>
              <w:right w:val="single" w:sz="8" w:color="0000FF"/>
            </w:tcBorders>
            <w:shd w:val="clear" w:color="auto" w:fill="0000FF"/>
          </w:tcPr>
          <w:p>
            <w:pPr>
              <w:spacing w:after="0" w:line="20" w:lineRule="exact"/>
              <w:rPr>
                <w:sz w:val="1"/>
                <w:szCs w:val="1"/>
                <w:color w:val="auto"/>
              </w:rPr>
            </w:pPr>
          </w:p>
        </w:tc>
        <w:tc>
          <w:tcPr>
            <w:tcW w:w="760" w:type="dxa"/>
            <w:vAlign w:val="bottom"/>
            <w:tcBorders>
              <w:right w:val="single" w:sz="8" w:color="0000FF"/>
            </w:tcBorders>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40" w:type="dxa"/>
            <w:vAlign w:val="bottom"/>
          </w:tcPr>
          <w:p>
            <w:pPr>
              <w:ind w:left="20"/>
              <w:spacing w:after="0"/>
              <w:rPr>
                <w:sz w:val="20"/>
                <w:szCs w:val="20"/>
                <w:color w:val="auto"/>
              </w:rPr>
            </w:pPr>
            <w:r>
              <w:rPr>
                <w:rFonts w:ascii="Arial" w:cs="Arial" w:eastAsia="Arial" w:hAnsi="Arial"/>
                <w:sz w:val="16"/>
                <w:szCs w:val="16"/>
                <w:color w:val="auto"/>
              </w:rPr>
              <w:t>3.2</w:t>
            </w:r>
          </w:p>
        </w:tc>
        <w:tc>
          <w:tcPr>
            <w:tcW w:w="140" w:type="dxa"/>
            <w:vAlign w:val="bottom"/>
          </w:tcPr>
          <w:p>
            <w:pPr>
              <w:spacing w:after="0"/>
              <w:rPr>
                <w:sz w:val="17"/>
                <w:szCs w:val="17"/>
                <w:color w:val="auto"/>
              </w:rPr>
            </w:pPr>
          </w:p>
        </w:tc>
        <w:tc>
          <w:tcPr>
            <w:tcW w:w="4760" w:type="dxa"/>
            <w:vAlign w:val="bottom"/>
            <w:gridSpan w:val="8"/>
          </w:tcPr>
          <w:p>
            <w:pPr>
              <w:spacing w:after="0"/>
              <w:rPr>
                <w:rFonts w:ascii="Arial" w:cs="Arial" w:eastAsia="Arial" w:hAnsi="Arial"/>
                <w:sz w:val="16"/>
                <w:szCs w:val="16"/>
                <w:color w:val="0000FF"/>
              </w:rPr>
            </w:pPr>
            <w:hyperlink r:id="rId256">
              <w:r>
                <w:rPr>
                  <w:rFonts w:ascii="Arial" w:cs="Arial" w:eastAsia="Arial" w:hAnsi="Arial"/>
                  <w:sz w:val="16"/>
                  <w:szCs w:val="16"/>
                  <w:color w:val="0000FF"/>
                </w:rPr>
                <w:t>Certificate of Amendment of Amended and Restated Certificate of</w:t>
              </w:r>
            </w:hyperlink>
          </w:p>
        </w:tc>
        <w:tc>
          <w:tcPr>
            <w:tcW w:w="900" w:type="dxa"/>
            <w:vAlign w:val="bottom"/>
          </w:tcPr>
          <w:p>
            <w:pPr>
              <w:jc w:val="center"/>
              <w:ind w:left="41"/>
              <w:spacing w:after="0"/>
              <w:rPr>
                <w:sz w:val="20"/>
                <w:szCs w:val="20"/>
                <w:color w:val="auto"/>
              </w:rPr>
            </w:pPr>
            <w:r>
              <w:rPr>
                <w:rFonts w:ascii="Arial" w:cs="Arial" w:eastAsia="Arial" w:hAnsi="Arial"/>
                <w:sz w:val="16"/>
                <w:szCs w:val="16"/>
                <w:color w:val="auto"/>
              </w:rPr>
              <w:t>8-K</w:t>
            </w:r>
          </w:p>
        </w:tc>
        <w:tc>
          <w:tcPr>
            <w:tcW w:w="1120" w:type="dxa"/>
            <w:vAlign w:val="bottom"/>
          </w:tcPr>
          <w:p>
            <w:pPr>
              <w:jc w:val="center"/>
              <w:spacing w:after="0"/>
              <w:rPr>
                <w:sz w:val="20"/>
                <w:szCs w:val="20"/>
                <w:color w:val="auto"/>
              </w:rPr>
            </w:pPr>
            <w:r>
              <w:rPr>
                <w:rFonts w:ascii="Arial" w:cs="Arial" w:eastAsia="Arial" w:hAnsi="Arial"/>
                <w:sz w:val="16"/>
                <w:szCs w:val="16"/>
                <w:color w:val="auto"/>
                <w:w w:val="91"/>
              </w:rPr>
              <w:t>001-40542</w:t>
            </w:r>
          </w:p>
        </w:tc>
        <w:tc>
          <w:tcPr>
            <w:tcW w:w="900" w:type="dxa"/>
            <w:vAlign w:val="bottom"/>
          </w:tcPr>
          <w:p>
            <w:pPr>
              <w:jc w:val="center"/>
              <w:spacing w:after="0"/>
              <w:rPr>
                <w:sz w:val="20"/>
                <w:szCs w:val="20"/>
                <w:color w:val="auto"/>
              </w:rPr>
            </w:pPr>
            <w:r>
              <w:rPr>
                <w:rFonts w:ascii="Arial" w:cs="Arial" w:eastAsia="Arial" w:hAnsi="Arial"/>
                <w:sz w:val="16"/>
                <w:szCs w:val="16"/>
                <w:color w:val="auto"/>
                <w:w w:val="89"/>
              </w:rPr>
              <w:t>3.1</w:t>
            </w:r>
          </w:p>
        </w:tc>
        <w:tc>
          <w:tcPr>
            <w:tcW w:w="1160" w:type="dxa"/>
            <w:vAlign w:val="bottom"/>
          </w:tcPr>
          <w:p>
            <w:pPr>
              <w:jc w:val="center"/>
              <w:spacing w:after="0"/>
              <w:rPr>
                <w:sz w:val="20"/>
                <w:szCs w:val="20"/>
                <w:color w:val="auto"/>
              </w:rPr>
            </w:pPr>
            <w:r>
              <w:rPr>
                <w:rFonts w:ascii="Arial" w:cs="Arial" w:eastAsia="Arial" w:hAnsi="Arial"/>
                <w:sz w:val="16"/>
                <w:szCs w:val="16"/>
                <w:color w:val="auto"/>
                <w:w w:val="92"/>
              </w:rPr>
              <w:t>06/01/2023</w:t>
            </w:r>
          </w:p>
        </w:tc>
        <w:tc>
          <w:tcPr>
            <w:tcW w:w="1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1600" w:type="dxa"/>
            <w:vAlign w:val="bottom"/>
            <w:tcBorders>
              <w:right w:val="single" w:sz="8" w:color="0000FF"/>
            </w:tcBorders>
            <w:shd w:val="clear" w:color="auto" w:fill="0000FF"/>
          </w:tcPr>
          <w:p>
            <w:pPr>
              <w:spacing w:after="0" w:line="20" w:lineRule="exact"/>
              <w:rPr>
                <w:sz w:val="1"/>
                <w:szCs w:val="1"/>
                <w:color w:val="auto"/>
              </w:rPr>
            </w:pPr>
          </w:p>
        </w:tc>
        <w:tc>
          <w:tcPr>
            <w:tcW w:w="1160" w:type="dxa"/>
            <w:vAlign w:val="bottom"/>
            <w:tcBorders>
              <w:right w:val="single" w:sz="8" w:color="0000FF"/>
            </w:tcBorders>
            <w:shd w:val="clear" w:color="auto" w:fill="0000FF"/>
          </w:tcPr>
          <w:p>
            <w:pPr>
              <w:spacing w:after="0" w:line="20" w:lineRule="exact"/>
              <w:rPr>
                <w:sz w:val="1"/>
                <w:szCs w:val="1"/>
                <w:color w:val="auto"/>
              </w:rPr>
            </w:pPr>
          </w:p>
        </w:tc>
        <w:tc>
          <w:tcPr>
            <w:tcW w:w="760" w:type="dxa"/>
            <w:vAlign w:val="bottom"/>
            <w:tcBorders>
              <w:right w:val="single" w:sz="8" w:color="0000FF"/>
            </w:tcBorders>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8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760" w:type="dxa"/>
            <w:vAlign w:val="bottom"/>
            <w:gridSpan w:val="8"/>
          </w:tcPr>
          <w:p>
            <w:pPr>
              <w:spacing w:after="0" w:line="182" w:lineRule="exact"/>
              <w:rPr>
                <w:rFonts w:ascii="Arial" w:cs="Arial" w:eastAsia="Arial" w:hAnsi="Arial"/>
                <w:sz w:val="16"/>
                <w:szCs w:val="16"/>
                <w:color w:val="0000FF"/>
              </w:rPr>
            </w:pPr>
            <w:hyperlink r:id="rId256">
              <w:r>
                <w:rPr>
                  <w:rFonts w:ascii="Arial" w:cs="Arial" w:eastAsia="Arial" w:hAnsi="Arial"/>
                  <w:sz w:val="16"/>
                  <w:szCs w:val="16"/>
                  <w:color w:val="0000FF"/>
                </w:rPr>
                <w:t>Incorporation of the Company</w:t>
              </w:r>
            </w:hyperlink>
          </w:p>
        </w:tc>
        <w:tc>
          <w:tcPr>
            <w:tcW w:w="9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1600" w:type="dxa"/>
            <w:vAlign w:val="bottom"/>
            <w:tcBorders>
              <w:right w:val="single" w:sz="8" w:color="0000EE"/>
            </w:tcBorders>
            <w:shd w:val="clear" w:color="auto" w:fill="0000FF"/>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40" w:type="dxa"/>
            <w:vAlign w:val="bottom"/>
          </w:tcPr>
          <w:p>
            <w:pPr>
              <w:ind w:left="20"/>
              <w:spacing w:after="0"/>
              <w:rPr>
                <w:sz w:val="20"/>
                <w:szCs w:val="20"/>
                <w:color w:val="auto"/>
              </w:rPr>
            </w:pPr>
            <w:r>
              <w:rPr>
                <w:rFonts w:ascii="Arial" w:cs="Arial" w:eastAsia="Arial" w:hAnsi="Arial"/>
                <w:sz w:val="16"/>
                <w:szCs w:val="16"/>
                <w:color w:val="auto"/>
              </w:rPr>
              <w:t>3.3</w:t>
            </w:r>
          </w:p>
        </w:tc>
        <w:tc>
          <w:tcPr>
            <w:tcW w:w="140" w:type="dxa"/>
            <w:vAlign w:val="bottom"/>
          </w:tcPr>
          <w:p>
            <w:pPr>
              <w:spacing w:after="0"/>
              <w:rPr>
                <w:sz w:val="17"/>
                <w:szCs w:val="17"/>
                <w:color w:val="auto"/>
              </w:rPr>
            </w:pPr>
          </w:p>
        </w:tc>
        <w:tc>
          <w:tcPr>
            <w:tcW w:w="4760" w:type="dxa"/>
            <w:vAlign w:val="bottom"/>
            <w:gridSpan w:val="8"/>
          </w:tcPr>
          <w:p>
            <w:pPr>
              <w:spacing w:after="0"/>
              <w:rPr>
                <w:rFonts w:ascii="Arial" w:cs="Arial" w:eastAsia="Arial" w:hAnsi="Arial"/>
                <w:sz w:val="16"/>
                <w:szCs w:val="16"/>
                <w:color w:val="0000FF"/>
              </w:rPr>
            </w:pPr>
            <w:hyperlink r:id="rId257">
              <w:r>
                <w:rPr>
                  <w:rFonts w:ascii="Arial" w:cs="Arial" w:eastAsia="Arial" w:hAnsi="Arial"/>
                  <w:sz w:val="16"/>
                  <w:szCs w:val="16"/>
                  <w:color w:val="0000FF"/>
                </w:rPr>
                <w:t>Amended and Restated Bylaws of the Company</w:t>
              </w:r>
            </w:hyperlink>
          </w:p>
        </w:tc>
        <w:tc>
          <w:tcPr>
            <w:tcW w:w="900" w:type="dxa"/>
            <w:vAlign w:val="bottom"/>
          </w:tcPr>
          <w:p>
            <w:pPr>
              <w:jc w:val="center"/>
              <w:ind w:left="41"/>
              <w:spacing w:after="0"/>
              <w:rPr>
                <w:sz w:val="20"/>
                <w:szCs w:val="20"/>
                <w:color w:val="auto"/>
              </w:rPr>
            </w:pPr>
            <w:r>
              <w:rPr>
                <w:rFonts w:ascii="Arial" w:cs="Arial" w:eastAsia="Arial" w:hAnsi="Arial"/>
                <w:sz w:val="16"/>
                <w:szCs w:val="16"/>
                <w:color w:val="auto"/>
              </w:rPr>
              <w:t>8-K</w:t>
            </w:r>
          </w:p>
        </w:tc>
        <w:tc>
          <w:tcPr>
            <w:tcW w:w="1120" w:type="dxa"/>
            <w:vAlign w:val="bottom"/>
          </w:tcPr>
          <w:p>
            <w:pPr>
              <w:jc w:val="center"/>
              <w:spacing w:after="0"/>
              <w:rPr>
                <w:sz w:val="20"/>
                <w:szCs w:val="20"/>
                <w:color w:val="auto"/>
              </w:rPr>
            </w:pPr>
            <w:r>
              <w:rPr>
                <w:rFonts w:ascii="Arial" w:cs="Arial" w:eastAsia="Arial" w:hAnsi="Arial"/>
                <w:sz w:val="16"/>
                <w:szCs w:val="16"/>
                <w:color w:val="auto"/>
                <w:w w:val="91"/>
              </w:rPr>
              <w:t>001-40542</w:t>
            </w:r>
          </w:p>
        </w:tc>
        <w:tc>
          <w:tcPr>
            <w:tcW w:w="900" w:type="dxa"/>
            <w:vAlign w:val="bottom"/>
          </w:tcPr>
          <w:p>
            <w:pPr>
              <w:jc w:val="center"/>
              <w:spacing w:after="0"/>
              <w:rPr>
                <w:sz w:val="20"/>
                <w:szCs w:val="20"/>
                <w:color w:val="auto"/>
              </w:rPr>
            </w:pPr>
            <w:r>
              <w:rPr>
                <w:rFonts w:ascii="Arial" w:cs="Arial" w:eastAsia="Arial" w:hAnsi="Arial"/>
                <w:sz w:val="16"/>
                <w:szCs w:val="16"/>
                <w:color w:val="auto"/>
                <w:w w:val="89"/>
              </w:rPr>
              <w:t>3.2</w:t>
            </w:r>
          </w:p>
        </w:tc>
        <w:tc>
          <w:tcPr>
            <w:tcW w:w="1160" w:type="dxa"/>
            <w:vAlign w:val="bottom"/>
          </w:tcPr>
          <w:p>
            <w:pPr>
              <w:jc w:val="center"/>
              <w:spacing w:after="0"/>
              <w:rPr>
                <w:sz w:val="20"/>
                <w:szCs w:val="20"/>
                <w:color w:val="auto"/>
              </w:rPr>
            </w:pPr>
            <w:r>
              <w:rPr>
                <w:rFonts w:ascii="Arial" w:cs="Arial" w:eastAsia="Arial" w:hAnsi="Arial"/>
                <w:sz w:val="16"/>
                <w:szCs w:val="16"/>
                <w:color w:val="auto"/>
                <w:w w:val="92"/>
              </w:rPr>
              <w:t>07/02/2021</w:t>
            </w:r>
          </w:p>
        </w:tc>
        <w:tc>
          <w:tcPr>
            <w:tcW w:w="1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2760" w:type="dxa"/>
            <w:vAlign w:val="bottom"/>
            <w:tcBorders>
              <w:right w:val="single" w:sz="8" w:color="0000EE"/>
            </w:tcBorders>
            <w:gridSpan w:val="2"/>
            <w:shd w:val="clear" w:color="auto" w:fill="0000FF"/>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40" w:type="dxa"/>
            <w:vAlign w:val="bottom"/>
          </w:tcPr>
          <w:p>
            <w:pPr>
              <w:ind w:left="20"/>
              <w:spacing w:after="0"/>
              <w:rPr>
                <w:sz w:val="20"/>
                <w:szCs w:val="20"/>
                <w:color w:val="auto"/>
              </w:rPr>
            </w:pPr>
            <w:r>
              <w:rPr>
                <w:rFonts w:ascii="Arial" w:cs="Arial" w:eastAsia="Arial" w:hAnsi="Arial"/>
                <w:sz w:val="16"/>
                <w:szCs w:val="16"/>
                <w:color w:val="auto"/>
              </w:rPr>
              <w:t>31.1</w:t>
            </w:r>
          </w:p>
        </w:tc>
        <w:tc>
          <w:tcPr>
            <w:tcW w:w="140" w:type="dxa"/>
            <w:vAlign w:val="bottom"/>
          </w:tcPr>
          <w:p>
            <w:pPr>
              <w:spacing w:after="0"/>
              <w:rPr>
                <w:sz w:val="17"/>
                <w:szCs w:val="17"/>
                <w:color w:val="auto"/>
              </w:rPr>
            </w:pPr>
          </w:p>
        </w:tc>
        <w:tc>
          <w:tcPr>
            <w:tcW w:w="4760" w:type="dxa"/>
            <w:vAlign w:val="bottom"/>
            <w:gridSpan w:val="8"/>
          </w:tcPr>
          <w:p>
            <w:pPr>
              <w:spacing w:after="0"/>
              <w:rPr>
                <w:sz w:val="20"/>
                <w:szCs w:val="20"/>
                <w:color w:val="auto"/>
              </w:rPr>
            </w:pPr>
            <w:r>
              <w:rPr>
                <w:rFonts w:ascii="Arial" w:cs="Arial" w:eastAsia="Arial" w:hAnsi="Arial"/>
                <w:sz w:val="16"/>
                <w:szCs w:val="16"/>
                <w:color w:val="0000FF"/>
                <w:w w:val="94"/>
              </w:rPr>
              <w:t>Certification of Principal Executive Officer Pursuant to Rules 13a-14(a)</w:t>
            </w:r>
          </w:p>
        </w:tc>
        <w:tc>
          <w:tcPr>
            <w:tcW w:w="9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420" w:type="dxa"/>
            <w:vAlign w:val="bottom"/>
          </w:tcPr>
          <w:p>
            <w:pPr>
              <w:jc w:val="center"/>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3520" w:type="dxa"/>
            <w:vAlign w:val="bottom"/>
            <w:tcBorders>
              <w:right w:val="single" w:sz="8" w:color="0000FF"/>
            </w:tcBorders>
            <w:gridSpan w:val="3"/>
            <w:shd w:val="clear" w:color="auto" w:fill="0000FF"/>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8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760" w:type="dxa"/>
            <w:vAlign w:val="bottom"/>
            <w:gridSpan w:val="8"/>
          </w:tcPr>
          <w:p>
            <w:pPr>
              <w:spacing w:after="0" w:line="182" w:lineRule="exact"/>
              <w:rPr>
                <w:sz w:val="20"/>
                <w:szCs w:val="20"/>
                <w:color w:val="auto"/>
              </w:rPr>
            </w:pPr>
            <w:r>
              <w:rPr>
                <w:rFonts w:ascii="Arial" w:cs="Arial" w:eastAsia="Arial" w:hAnsi="Arial"/>
                <w:sz w:val="16"/>
                <w:szCs w:val="16"/>
                <w:color w:val="0000FF"/>
                <w:w w:val="94"/>
              </w:rPr>
              <w:t>and 15d-14(a) under the Securities Exchange Act of 1934, as Adopted</w:t>
            </w:r>
          </w:p>
        </w:tc>
        <w:tc>
          <w:tcPr>
            <w:tcW w:w="9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3520" w:type="dxa"/>
            <w:vAlign w:val="bottom"/>
            <w:tcBorders>
              <w:right w:val="single" w:sz="8" w:color="0000FF"/>
            </w:tcBorders>
            <w:gridSpan w:val="3"/>
            <w:shd w:val="clear" w:color="auto" w:fill="0000FF"/>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8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760" w:type="dxa"/>
            <w:vAlign w:val="bottom"/>
            <w:gridSpan w:val="8"/>
          </w:tcPr>
          <w:p>
            <w:pPr>
              <w:spacing w:after="0" w:line="182" w:lineRule="exact"/>
              <w:rPr>
                <w:sz w:val="20"/>
                <w:szCs w:val="20"/>
                <w:color w:val="auto"/>
              </w:rPr>
            </w:pPr>
            <w:r>
              <w:rPr>
                <w:rFonts w:ascii="Arial" w:cs="Arial" w:eastAsia="Arial" w:hAnsi="Arial"/>
                <w:sz w:val="16"/>
                <w:szCs w:val="16"/>
                <w:color w:val="0000FF"/>
              </w:rPr>
              <w:t>Pursuant to Section 302 of the Sarbanes-Oxley Act of 2002.</w:t>
            </w:r>
          </w:p>
        </w:tc>
        <w:tc>
          <w:tcPr>
            <w:tcW w:w="9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3520" w:type="dxa"/>
            <w:vAlign w:val="bottom"/>
            <w:tcBorders>
              <w:right w:val="single" w:sz="8" w:color="0000EE"/>
            </w:tcBorders>
            <w:gridSpan w:val="3"/>
            <w:shd w:val="clear" w:color="auto" w:fill="0000FF"/>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40" w:type="dxa"/>
            <w:vAlign w:val="bottom"/>
          </w:tcPr>
          <w:p>
            <w:pPr>
              <w:ind w:left="20"/>
              <w:spacing w:after="0"/>
              <w:rPr>
                <w:sz w:val="20"/>
                <w:szCs w:val="20"/>
                <w:color w:val="auto"/>
              </w:rPr>
            </w:pPr>
            <w:r>
              <w:rPr>
                <w:rFonts w:ascii="Arial" w:cs="Arial" w:eastAsia="Arial" w:hAnsi="Arial"/>
                <w:sz w:val="16"/>
                <w:szCs w:val="16"/>
                <w:color w:val="auto"/>
              </w:rPr>
              <w:t>31.2</w:t>
            </w:r>
          </w:p>
        </w:tc>
        <w:tc>
          <w:tcPr>
            <w:tcW w:w="140" w:type="dxa"/>
            <w:vAlign w:val="bottom"/>
          </w:tcPr>
          <w:p>
            <w:pPr>
              <w:spacing w:after="0"/>
              <w:rPr>
                <w:sz w:val="17"/>
                <w:szCs w:val="17"/>
                <w:color w:val="auto"/>
              </w:rPr>
            </w:pPr>
          </w:p>
        </w:tc>
        <w:tc>
          <w:tcPr>
            <w:tcW w:w="4760" w:type="dxa"/>
            <w:vAlign w:val="bottom"/>
            <w:gridSpan w:val="8"/>
          </w:tcPr>
          <w:p>
            <w:pPr>
              <w:spacing w:after="0"/>
              <w:rPr>
                <w:sz w:val="20"/>
                <w:szCs w:val="20"/>
                <w:color w:val="auto"/>
              </w:rPr>
            </w:pPr>
            <w:r>
              <w:rPr>
                <w:rFonts w:ascii="Arial" w:cs="Arial" w:eastAsia="Arial" w:hAnsi="Arial"/>
                <w:sz w:val="16"/>
                <w:szCs w:val="16"/>
                <w:color w:val="0000FF"/>
                <w:w w:val="95"/>
              </w:rPr>
              <w:t>Certification of Principal Financial Officer Pursuant to Rules 13a-14(a)</w:t>
            </w:r>
          </w:p>
        </w:tc>
        <w:tc>
          <w:tcPr>
            <w:tcW w:w="9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420" w:type="dxa"/>
            <w:vAlign w:val="bottom"/>
          </w:tcPr>
          <w:p>
            <w:pPr>
              <w:jc w:val="center"/>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4280" w:type="dxa"/>
            <w:vAlign w:val="bottom"/>
            <w:gridSpan w:val="6"/>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8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760" w:type="dxa"/>
            <w:vAlign w:val="bottom"/>
            <w:gridSpan w:val="8"/>
          </w:tcPr>
          <w:p>
            <w:pPr>
              <w:spacing w:after="0" w:line="182" w:lineRule="exact"/>
              <w:rPr>
                <w:sz w:val="20"/>
                <w:szCs w:val="20"/>
                <w:color w:val="auto"/>
              </w:rPr>
            </w:pPr>
            <w:r>
              <w:rPr>
                <w:rFonts w:ascii="Arial" w:cs="Arial" w:eastAsia="Arial" w:hAnsi="Arial"/>
                <w:sz w:val="16"/>
                <w:szCs w:val="16"/>
                <w:color w:val="0000FF"/>
                <w:w w:val="94"/>
              </w:rPr>
              <w:t>and 15d-14(a) under the Securities Exchange Act of 1934, as Adopted</w:t>
            </w:r>
          </w:p>
        </w:tc>
        <w:tc>
          <w:tcPr>
            <w:tcW w:w="9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4200" w:type="dxa"/>
            <w:vAlign w:val="bottom"/>
            <w:gridSpan w:val="5"/>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8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760" w:type="dxa"/>
            <w:vAlign w:val="bottom"/>
            <w:gridSpan w:val="8"/>
          </w:tcPr>
          <w:p>
            <w:pPr>
              <w:spacing w:after="0" w:line="182" w:lineRule="exact"/>
              <w:rPr>
                <w:sz w:val="20"/>
                <w:szCs w:val="20"/>
                <w:color w:val="auto"/>
              </w:rPr>
            </w:pPr>
            <w:r>
              <w:rPr>
                <w:rFonts w:ascii="Arial" w:cs="Arial" w:eastAsia="Arial" w:hAnsi="Arial"/>
                <w:sz w:val="16"/>
                <w:szCs w:val="16"/>
                <w:color w:val="0000FF"/>
              </w:rPr>
              <w:t>Pursuant to Section 302 of the Sarbanes-Oxley Act of 2002.</w:t>
            </w:r>
          </w:p>
        </w:tc>
        <w:tc>
          <w:tcPr>
            <w:tcW w:w="9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3520" w:type="dxa"/>
            <w:vAlign w:val="bottom"/>
            <w:tcBorders>
              <w:right w:val="single" w:sz="8" w:color="0000EE"/>
            </w:tcBorders>
            <w:gridSpan w:val="3"/>
            <w:shd w:val="clear" w:color="auto" w:fill="0000FF"/>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40" w:type="dxa"/>
            <w:vAlign w:val="bottom"/>
          </w:tcPr>
          <w:p>
            <w:pPr>
              <w:ind w:left="20"/>
              <w:spacing w:after="0"/>
              <w:rPr>
                <w:sz w:val="20"/>
                <w:szCs w:val="20"/>
                <w:color w:val="auto"/>
              </w:rPr>
            </w:pPr>
            <w:r>
              <w:rPr>
                <w:rFonts w:ascii="Arial" w:cs="Arial" w:eastAsia="Arial" w:hAnsi="Arial"/>
                <w:sz w:val="16"/>
                <w:szCs w:val="16"/>
                <w:color w:val="auto"/>
              </w:rPr>
              <w:t>32.1</w:t>
            </w:r>
          </w:p>
        </w:tc>
        <w:tc>
          <w:tcPr>
            <w:tcW w:w="140" w:type="dxa"/>
            <w:vAlign w:val="bottom"/>
          </w:tcPr>
          <w:p>
            <w:pPr>
              <w:spacing w:after="0"/>
              <w:rPr>
                <w:sz w:val="17"/>
                <w:szCs w:val="17"/>
                <w:color w:val="auto"/>
              </w:rPr>
            </w:pPr>
          </w:p>
        </w:tc>
        <w:tc>
          <w:tcPr>
            <w:tcW w:w="4760" w:type="dxa"/>
            <w:vAlign w:val="bottom"/>
            <w:gridSpan w:val="8"/>
          </w:tcPr>
          <w:p>
            <w:pPr>
              <w:spacing w:after="0"/>
              <w:rPr>
                <w:sz w:val="20"/>
                <w:szCs w:val="20"/>
                <w:color w:val="auto"/>
              </w:rPr>
            </w:pPr>
            <w:r>
              <w:rPr>
                <w:rFonts w:ascii="Arial" w:cs="Arial" w:eastAsia="Arial" w:hAnsi="Arial"/>
                <w:sz w:val="16"/>
                <w:szCs w:val="16"/>
                <w:color w:val="0000FF"/>
                <w:w w:val="92"/>
              </w:rPr>
              <w:t>Certification of Principal Executive Officer Pursuant to 18 U.S.C. Section</w:t>
            </w:r>
          </w:p>
        </w:tc>
        <w:tc>
          <w:tcPr>
            <w:tcW w:w="9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420" w:type="dxa"/>
            <w:vAlign w:val="bottom"/>
          </w:tcPr>
          <w:p>
            <w:pPr>
              <w:jc w:val="center"/>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4280" w:type="dxa"/>
            <w:vAlign w:val="bottom"/>
            <w:gridSpan w:val="6"/>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900" w:type="dxa"/>
            <w:vAlign w:val="bottom"/>
            <w:tcBorders>
              <w:left w:val="single" w:sz="8" w:color="0000FF"/>
            </w:tcBorders>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8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760" w:type="dxa"/>
            <w:vAlign w:val="bottom"/>
            <w:gridSpan w:val="8"/>
          </w:tcPr>
          <w:p>
            <w:pPr>
              <w:spacing w:after="0" w:line="182" w:lineRule="exact"/>
              <w:rPr>
                <w:sz w:val="20"/>
                <w:szCs w:val="20"/>
                <w:color w:val="auto"/>
              </w:rPr>
            </w:pPr>
            <w:r>
              <w:rPr>
                <w:rFonts w:ascii="Arial" w:cs="Arial" w:eastAsia="Arial" w:hAnsi="Arial"/>
                <w:sz w:val="16"/>
                <w:szCs w:val="16"/>
                <w:color w:val="0000FF"/>
                <w:w w:val="92"/>
              </w:rPr>
              <w:t>1350, as Adopted Pursuant to Section 906 of the Sarbanes-Oxley Act of</w:t>
            </w:r>
          </w:p>
        </w:tc>
        <w:tc>
          <w:tcPr>
            <w:tcW w:w="9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1600" w:type="dxa"/>
            <w:vAlign w:val="bottom"/>
            <w:tcBorders>
              <w:right w:val="single" w:sz="8" w:color="0000FF"/>
            </w:tcBorders>
            <w:shd w:val="clear" w:color="auto" w:fill="0000FF"/>
          </w:tcPr>
          <w:p>
            <w:pPr>
              <w:spacing w:after="0" w:line="20" w:lineRule="exact"/>
              <w:rPr>
                <w:sz w:val="1"/>
                <w:szCs w:val="1"/>
                <w:color w:val="auto"/>
              </w:rPr>
            </w:pPr>
          </w:p>
        </w:tc>
        <w:tc>
          <w:tcPr>
            <w:tcW w:w="1160" w:type="dxa"/>
            <w:vAlign w:val="bottom"/>
            <w:tcBorders>
              <w:right w:val="single" w:sz="8" w:color="0000FF"/>
            </w:tcBorders>
            <w:shd w:val="clear" w:color="auto" w:fill="0000FF"/>
          </w:tcPr>
          <w:p>
            <w:pPr>
              <w:spacing w:after="0" w:line="20" w:lineRule="exact"/>
              <w:rPr>
                <w:sz w:val="1"/>
                <w:szCs w:val="1"/>
                <w:color w:val="auto"/>
              </w:rPr>
            </w:pPr>
          </w:p>
        </w:tc>
        <w:tc>
          <w:tcPr>
            <w:tcW w:w="760" w:type="dxa"/>
            <w:vAlign w:val="bottom"/>
            <w:tcBorders>
              <w:right w:val="single" w:sz="8" w:color="0000FF"/>
            </w:tcBorders>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8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60" w:type="dxa"/>
            <w:vAlign w:val="bottom"/>
          </w:tcPr>
          <w:p>
            <w:pPr>
              <w:spacing w:after="0" w:line="182" w:lineRule="exact"/>
              <w:rPr>
                <w:sz w:val="20"/>
                <w:szCs w:val="20"/>
                <w:color w:val="auto"/>
              </w:rPr>
            </w:pPr>
            <w:r>
              <w:rPr>
                <w:rFonts w:ascii="Arial" w:cs="Arial" w:eastAsia="Arial" w:hAnsi="Arial"/>
                <w:sz w:val="16"/>
                <w:szCs w:val="16"/>
                <w:color w:val="0000FF"/>
                <w:w w:val="79"/>
              </w:rPr>
              <w:t>2002.</w:t>
            </w:r>
          </w:p>
        </w:tc>
        <w:tc>
          <w:tcPr>
            <w:tcW w:w="16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360" w:type="dxa"/>
            <w:vAlign w:val="bottom"/>
            <w:tcBorders>
              <w:right w:val="single" w:sz="8" w:color="0000EE"/>
            </w:tcBorders>
            <w:shd w:val="clear" w:color="auto" w:fill="0000FF"/>
          </w:tcPr>
          <w:p>
            <w:pPr>
              <w:spacing w:after="0" w:line="20" w:lineRule="exact"/>
              <w:rPr>
                <w:sz w:val="1"/>
                <w:szCs w:val="1"/>
                <w:color w:val="auto"/>
              </w:rPr>
            </w:pPr>
          </w:p>
        </w:tc>
        <w:tc>
          <w:tcPr>
            <w:tcW w:w="4400" w:type="dxa"/>
            <w:vAlign w:val="bottom"/>
            <w:gridSpan w:val="7"/>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40" w:type="dxa"/>
            <w:vAlign w:val="bottom"/>
          </w:tcPr>
          <w:p>
            <w:pPr>
              <w:ind w:left="20"/>
              <w:spacing w:after="0"/>
              <w:rPr>
                <w:sz w:val="20"/>
                <w:szCs w:val="20"/>
                <w:color w:val="auto"/>
              </w:rPr>
            </w:pPr>
            <w:r>
              <w:rPr>
                <w:rFonts w:ascii="Arial" w:cs="Arial" w:eastAsia="Arial" w:hAnsi="Arial"/>
                <w:sz w:val="16"/>
                <w:szCs w:val="16"/>
                <w:color w:val="auto"/>
              </w:rPr>
              <w:t>32.2</w:t>
            </w:r>
          </w:p>
        </w:tc>
        <w:tc>
          <w:tcPr>
            <w:tcW w:w="140" w:type="dxa"/>
            <w:vAlign w:val="bottom"/>
          </w:tcPr>
          <w:p>
            <w:pPr>
              <w:spacing w:after="0"/>
              <w:rPr>
                <w:sz w:val="17"/>
                <w:szCs w:val="17"/>
                <w:color w:val="auto"/>
              </w:rPr>
            </w:pPr>
          </w:p>
        </w:tc>
        <w:tc>
          <w:tcPr>
            <w:tcW w:w="4760" w:type="dxa"/>
            <w:vAlign w:val="bottom"/>
            <w:gridSpan w:val="8"/>
          </w:tcPr>
          <w:p>
            <w:pPr>
              <w:spacing w:after="0"/>
              <w:rPr>
                <w:sz w:val="20"/>
                <w:szCs w:val="20"/>
                <w:color w:val="auto"/>
              </w:rPr>
            </w:pPr>
            <w:r>
              <w:rPr>
                <w:rFonts w:ascii="Arial" w:cs="Arial" w:eastAsia="Arial" w:hAnsi="Arial"/>
                <w:sz w:val="16"/>
                <w:szCs w:val="16"/>
                <w:color w:val="0000FF"/>
                <w:w w:val="93"/>
              </w:rPr>
              <w:t>Certification of Principal Financial Officer Pursuant to 18 U.S.C. Section</w:t>
            </w:r>
          </w:p>
        </w:tc>
        <w:tc>
          <w:tcPr>
            <w:tcW w:w="9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420" w:type="dxa"/>
            <w:vAlign w:val="bottom"/>
          </w:tcPr>
          <w:p>
            <w:pPr>
              <w:jc w:val="center"/>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760" w:type="dxa"/>
            <w:vAlign w:val="bottom"/>
            <w:gridSpan w:val="8"/>
            <w:shd w:val="clear" w:color="auto" w:fill="0000FF"/>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8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760" w:type="dxa"/>
            <w:vAlign w:val="bottom"/>
            <w:gridSpan w:val="8"/>
          </w:tcPr>
          <w:p>
            <w:pPr>
              <w:spacing w:after="0" w:line="182" w:lineRule="exact"/>
              <w:rPr>
                <w:sz w:val="20"/>
                <w:szCs w:val="20"/>
                <w:color w:val="auto"/>
              </w:rPr>
            </w:pPr>
            <w:r>
              <w:rPr>
                <w:rFonts w:ascii="Arial" w:cs="Arial" w:eastAsia="Arial" w:hAnsi="Arial"/>
                <w:sz w:val="16"/>
                <w:szCs w:val="16"/>
                <w:color w:val="0000FF"/>
                <w:w w:val="92"/>
              </w:rPr>
              <w:t>1350, as Adopted Pursuant to Section 906 of the Sarbanes-Oxley Act of</w:t>
            </w:r>
          </w:p>
        </w:tc>
        <w:tc>
          <w:tcPr>
            <w:tcW w:w="9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1600" w:type="dxa"/>
            <w:vAlign w:val="bottom"/>
            <w:tcBorders>
              <w:right w:val="single" w:sz="8" w:color="0000FF"/>
            </w:tcBorders>
            <w:shd w:val="clear" w:color="auto" w:fill="0000FF"/>
          </w:tcPr>
          <w:p>
            <w:pPr>
              <w:spacing w:after="0" w:line="20" w:lineRule="exact"/>
              <w:rPr>
                <w:sz w:val="1"/>
                <w:szCs w:val="1"/>
                <w:color w:val="auto"/>
              </w:rPr>
            </w:pPr>
          </w:p>
        </w:tc>
        <w:tc>
          <w:tcPr>
            <w:tcW w:w="1160" w:type="dxa"/>
            <w:vAlign w:val="bottom"/>
            <w:tcBorders>
              <w:right w:val="single" w:sz="8" w:color="0000FF"/>
            </w:tcBorders>
            <w:shd w:val="clear" w:color="auto" w:fill="0000FF"/>
          </w:tcPr>
          <w:p>
            <w:pPr>
              <w:spacing w:after="0" w:line="20" w:lineRule="exact"/>
              <w:rPr>
                <w:sz w:val="1"/>
                <w:szCs w:val="1"/>
                <w:color w:val="auto"/>
              </w:rPr>
            </w:pPr>
          </w:p>
        </w:tc>
        <w:tc>
          <w:tcPr>
            <w:tcW w:w="760" w:type="dxa"/>
            <w:vAlign w:val="bottom"/>
            <w:tcBorders>
              <w:right w:val="single" w:sz="8" w:color="0000FF"/>
            </w:tcBorders>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8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60" w:type="dxa"/>
            <w:vAlign w:val="bottom"/>
          </w:tcPr>
          <w:p>
            <w:pPr>
              <w:spacing w:after="0" w:line="182" w:lineRule="exact"/>
              <w:rPr>
                <w:sz w:val="20"/>
                <w:szCs w:val="20"/>
                <w:color w:val="auto"/>
              </w:rPr>
            </w:pPr>
            <w:r>
              <w:rPr>
                <w:rFonts w:ascii="Arial" w:cs="Arial" w:eastAsia="Arial" w:hAnsi="Arial"/>
                <w:sz w:val="16"/>
                <w:szCs w:val="16"/>
                <w:color w:val="0000FF"/>
                <w:w w:val="79"/>
              </w:rPr>
              <w:t>2002.</w:t>
            </w:r>
          </w:p>
        </w:tc>
        <w:tc>
          <w:tcPr>
            <w:tcW w:w="16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360" w:type="dxa"/>
            <w:vAlign w:val="bottom"/>
            <w:tcBorders>
              <w:right w:val="single" w:sz="8" w:color="0000EE"/>
            </w:tcBorders>
            <w:shd w:val="clear" w:color="auto" w:fill="0000FF"/>
          </w:tcPr>
          <w:p>
            <w:pPr>
              <w:spacing w:after="0" w:line="20" w:lineRule="exact"/>
              <w:rPr>
                <w:sz w:val="1"/>
                <w:szCs w:val="1"/>
                <w:color w:val="auto"/>
              </w:rPr>
            </w:pPr>
          </w:p>
        </w:tc>
        <w:tc>
          <w:tcPr>
            <w:tcW w:w="4400" w:type="dxa"/>
            <w:vAlign w:val="bottom"/>
            <w:gridSpan w:val="7"/>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840" w:type="dxa"/>
            <w:vAlign w:val="bottom"/>
          </w:tcPr>
          <w:p>
            <w:pPr>
              <w:ind w:left="20"/>
              <w:spacing w:after="0"/>
              <w:rPr>
                <w:sz w:val="20"/>
                <w:szCs w:val="20"/>
                <w:color w:val="auto"/>
              </w:rPr>
            </w:pPr>
            <w:r>
              <w:rPr>
                <w:rFonts w:ascii="Arial" w:cs="Arial" w:eastAsia="Arial" w:hAnsi="Arial"/>
                <w:sz w:val="16"/>
                <w:szCs w:val="16"/>
                <w:color w:val="auto"/>
              </w:rPr>
              <w:t>101.INS</w:t>
            </w:r>
          </w:p>
        </w:tc>
        <w:tc>
          <w:tcPr>
            <w:tcW w:w="140" w:type="dxa"/>
            <w:vAlign w:val="bottom"/>
          </w:tcPr>
          <w:p>
            <w:pPr>
              <w:spacing w:after="0"/>
              <w:rPr>
                <w:sz w:val="19"/>
                <w:szCs w:val="19"/>
                <w:color w:val="auto"/>
              </w:rPr>
            </w:pPr>
          </w:p>
        </w:tc>
        <w:tc>
          <w:tcPr>
            <w:tcW w:w="4760" w:type="dxa"/>
            <w:vAlign w:val="bottom"/>
            <w:gridSpan w:val="8"/>
          </w:tcPr>
          <w:p>
            <w:pPr>
              <w:spacing w:after="0"/>
              <w:rPr>
                <w:sz w:val="20"/>
                <w:szCs w:val="20"/>
                <w:color w:val="auto"/>
              </w:rPr>
            </w:pPr>
            <w:r>
              <w:rPr>
                <w:rFonts w:ascii="Arial" w:cs="Arial" w:eastAsia="Arial" w:hAnsi="Arial"/>
                <w:sz w:val="16"/>
                <w:szCs w:val="16"/>
                <w:color w:val="auto"/>
                <w:w w:val="89"/>
              </w:rPr>
              <w:t>Inline XBRL Instance Document – the instance document does not appear</w:t>
            </w:r>
          </w:p>
        </w:tc>
        <w:tc>
          <w:tcPr>
            <w:tcW w:w="9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420" w:type="dxa"/>
            <w:vAlign w:val="bottom"/>
          </w:tcPr>
          <w:p>
            <w:pPr>
              <w:jc w:val="center"/>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2"/>
        </w:trPr>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760" w:type="dxa"/>
            <w:vAlign w:val="bottom"/>
            <w:gridSpan w:val="8"/>
          </w:tcPr>
          <w:p>
            <w:pPr>
              <w:spacing w:after="0"/>
              <w:rPr>
                <w:sz w:val="20"/>
                <w:szCs w:val="20"/>
                <w:color w:val="auto"/>
              </w:rPr>
            </w:pPr>
            <w:r>
              <w:rPr>
                <w:rFonts w:ascii="Arial" w:cs="Arial" w:eastAsia="Arial" w:hAnsi="Arial"/>
                <w:sz w:val="16"/>
                <w:szCs w:val="16"/>
                <w:color w:val="auto"/>
                <w:w w:val="92"/>
              </w:rPr>
              <w:t>in the Interactive Data File because XBRL tags are embedded within the</w:t>
            </w:r>
          </w:p>
        </w:tc>
        <w:tc>
          <w:tcPr>
            <w:tcW w:w="9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760" w:type="dxa"/>
            <w:vAlign w:val="bottom"/>
            <w:gridSpan w:val="8"/>
          </w:tcPr>
          <w:p>
            <w:pPr>
              <w:spacing w:after="0"/>
              <w:rPr>
                <w:sz w:val="20"/>
                <w:szCs w:val="20"/>
                <w:color w:val="auto"/>
              </w:rPr>
            </w:pPr>
            <w:r>
              <w:rPr>
                <w:rFonts w:ascii="Arial" w:cs="Arial" w:eastAsia="Arial" w:hAnsi="Arial"/>
                <w:sz w:val="16"/>
                <w:szCs w:val="16"/>
                <w:color w:val="auto"/>
              </w:rPr>
              <w:t>Inline XBRL document.</w:t>
            </w:r>
          </w:p>
        </w:tc>
        <w:tc>
          <w:tcPr>
            <w:tcW w:w="9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40" w:type="dxa"/>
            <w:vAlign w:val="bottom"/>
          </w:tcPr>
          <w:p>
            <w:pPr>
              <w:ind w:left="20"/>
              <w:spacing w:after="0"/>
              <w:rPr>
                <w:sz w:val="20"/>
                <w:szCs w:val="20"/>
                <w:color w:val="auto"/>
              </w:rPr>
            </w:pPr>
            <w:r>
              <w:rPr>
                <w:rFonts w:ascii="Arial" w:cs="Arial" w:eastAsia="Arial" w:hAnsi="Arial"/>
                <w:sz w:val="16"/>
                <w:szCs w:val="16"/>
                <w:color w:val="auto"/>
              </w:rPr>
              <w:t>101.SCH</w:t>
            </w:r>
          </w:p>
        </w:tc>
        <w:tc>
          <w:tcPr>
            <w:tcW w:w="140" w:type="dxa"/>
            <w:vAlign w:val="bottom"/>
          </w:tcPr>
          <w:p>
            <w:pPr>
              <w:spacing w:after="0"/>
              <w:rPr>
                <w:sz w:val="18"/>
                <w:szCs w:val="18"/>
                <w:color w:val="auto"/>
              </w:rPr>
            </w:pPr>
          </w:p>
        </w:tc>
        <w:tc>
          <w:tcPr>
            <w:tcW w:w="4760" w:type="dxa"/>
            <w:vAlign w:val="bottom"/>
            <w:gridSpan w:val="8"/>
          </w:tcPr>
          <w:p>
            <w:pPr>
              <w:spacing w:after="0"/>
              <w:rPr>
                <w:sz w:val="20"/>
                <w:szCs w:val="20"/>
                <w:color w:val="auto"/>
              </w:rPr>
            </w:pPr>
            <w:r>
              <w:rPr>
                <w:rFonts w:ascii="Arial" w:cs="Arial" w:eastAsia="Arial" w:hAnsi="Arial"/>
                <w:sz w:val="16"/>
                <w:szCs w:val="16"/>
                <w:color w:val="auto"/>
              </w:rPr>
              <w:t>Inline XBRL Taxonomy Extension Schema Document</w:t>
            </w:r>
          </w:p>
        </w:tc>
        <w:tc>
          <w:tcPr>
            <w:tcW w:w="9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20" w:type="dxa"/>
            <w:vAlign w:val="bottom"/>
          </w:tcPr>
          <w:p>
            <w:pPr>
              <w:jc w:val="center"/>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840" w:type="dxa"/>
            <w:vAlign w:val="bottom"/>
          </w:tcPr>
          <w:p>
            <w:pPr>
              <w:ind w:left="20"/>
              <w:spacing w:after="0"/>
              <w:rPr>
                <w:sz w:val="20"/>
                <w:szCs w:val="20"/>
                <w:color w:val="auto"/>
              </w:rPr>
            </w:pPr>
            <w:r>
              <w:rPr>
                <w:rFonts w:ascii="Arial" w:cs="Arial" w:eastAsia="Arial" w:hAnsi="Arial"/>
                <w:sz w:val="16"/>
                <w:szCs w:val="16"/>
                <w:color w:val="auto"/>
              </w:rPr>
              <w:t>101.CAL</w:t>
            </w:r>
          </w:p>
        </w:tc>
        <w:tc>
          <w:tcPr>
            <w:tcW w:w="140" w:type="dxa"/>
            <w:vAlign w:val="bottom"/>
          </w:tcPr>
          <w:p>
            <w:pPr>
              <w:spacing w:after="0"/>
              <w:rPr>
                <w:sz w:val="18"/>
                <w:szCs w:val="18"/>
                <w:color w:val="auto"/>
              </w:rPr>
            </w:pPr>
          </w:p>
        </w:tc>
        <w:tc>
          <w:tcPr>
            <w:tcW w:w="4760" w:type="dxa"/>
            <w:vAlign w:val="bottom"/>
            <w:gridSpan w:val="8"/>
          </w:tcPr>
          <w:p>
            <w:pPr>
              <w:spacing w:after="0"/>
              <w:rPr>
                <w:sz w:val="20"/>
                <w:szCs w:val="20"/>
                <w:color w:val="auto"/>
              </w:rPr>
            </w:pPr>
            <w:r>
              <w:rPr>
                <w:rFonts w:ascii="Arial" w:cs="Arial" w:eastAsia="Arial" w:hAnsi="Arial"/>
                <w:sz w:val="16"/>
                <w:szCs w:val="16"/>
                <w:color w:val="auto"/>
              </w:rPr>
              <w:t>Inline XBRL Taxonomy Extension Calculation Linkbase Document</w:t>
            </w:r>
          </w:p>
        </w:tc>
        <w:tc>
          <w:tcPr>
            <w:tcW w:w="9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20" w:type="dxa"/>
            <w:vAlign w:val="bottom"/>
          </w:tcPr>
          <w:p>
            <w:pPr>
              <w:jc w:val="center"/>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840" w:type="dxa"/>
            <w:vAlign w:val="bottom"/>
          </w:tcPr>
          <w:p>
            <w:pPr>
              <w:ind w:left="20"/>
              <w:spacing w:after="0"/>
              <w:rPr>
                <w:sz w:val="20"/>
                <w:szCs w:val="20"/>
                <w:color w:val="auto"/>
              </w:rPr>
            </w:pPr>
            <w:r>
              <w:rPr>
                <w:rFonts w:ascii="Arial" w:cs="Arial" w:eastAsia="Arial" w:hAnsi="Arial"/>
                <w:sz w:val="16"/>
                <w:szCs w:val="16"/>
                <w:color w:val="auto"/>
              </w:rPr>
              <w:t>101.DEF</w:t>
            </w:r>
          </w:p>
        </w:tc>
        <w:tc>
          <w:tcPr>
            <w:tcW w:w="140" w:type="dxa"/>
            <w:vAlign w:val="bottom"/>
          </w:tcPr>
          <w:p>
            <w:pPr>
              <w:spacing w:after="0"/>
              <w:rPr>
                <w:sz w:val="18"/>
                <w:szCs w:val="18"/>
                <w:color w:val="auto"/>
              </w:rPr>
            </w:pPr>
          </w:p>
        </w:tc>
        <w:tc>
          <w:tcPr>
            <w:tcW w:w="4760" w:type="dxa"/>
            <w:vAlign w:val="bottom"/>
            <w:gridSpan w:val="8"/>
          </w:tcPr>
          <w:p>
            <w:pPr>
              <w:spacing w:after="0"/>
              <w:rPr>
                <w:sz w:val="20"/>
                <w:szCs w:val="20"/>
                <w:color w:val="auto"/>
              </w:rPr>
            </w:pPr>
            <w:r>
              <w:rPr>
                <w:rFonts w:ascii="Arial" w:cs="Arial" w:eastAsia="Arial" w:hAnsi="Arial"/>
                <w:sz w:val="16"/>
                <w:szCs w:val="16"/>
                <w:color w:val="auto"/>
              </w:rPr>
              <w:t>Inline XBRL Taxonomy Extension Definition Linkbase Document</w:t>
            </w:r>
          </w:p>
        </w:tc>
        <w:tc>
          <w:tcPr>
            <w:tcW w:w="9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20" w:type="dxa"/>
            <w:vAlign w:val="bottom"/>
          </w:tcPr>
          <w:p>
            <w:pPr>
              <w:jc w:val="center"/>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840" w:type="dxa"/>
            <w:vAlign w:val="bottom"/>
          </w:tcPr>
          <w:p>
            <w:pPr>
              <w:ind w:left="20"/>
              <w:spacing w:after="0"/>
              <w:rPr>
                <w:sz w:val="20"/>
                <w:szCs w:val="20"/>
                <w:color w:val="auto"/>
              </w:rPr>
            </w:pPr>
            <w:r>
              <w:rPr>
                <w:rFonts w:ascii="Arial" w:cs="Arial" w:eastAsia="Arial" w:hAnsi="Arial"/>
                <w:sz w:val="16"/>
                <w:szCs w:val="16"/>
                <w:color w:val="auto"/>
              </w:rPr>
              <w:t>101.LAB</w:t>
            </w:r>
          </w:p>
        </w:tc>
        <w:tc>
          <w:tcPr>
            <w:tcW w:w="140" w:type="dxa"/>
            <w:vAlign w:val="bottom"/>
          </w:tcPr>
          <w:p>
            <w:pPr>
              <w:spacing w:after="0"/>
              <w:rPr>
                <w:sz w:val="18"/>
                <w:szCs w:val="18"/>
                <w:color w:val="auto"/>
              </w:rPr>
            </w:pPr>
          </w:p>
        </w:tc>
        <w:tc>
          <w:tcPr>
            <w:tcW w:w="4760" w:type="dxa"/>
            <w:vAlign w:val="bottom"/>
            <w:gridSpan w:val="8"/>
          </w:tcPr>
          <w:p>
            <w:pPr>
              <w:spacing w:after="0"/>
              <w:rPr>
                <w:sz w:val="20"/>
                <w:szCs w:val="20"/>
                <w:color w:val="auto"/>
              </w:rPr>
            </w:pPr>
            <w:r>
              <w:rPr>
                <w:rFonts w:ascii="Arial" w:cs="Arial" w:eastAsia="Arial" w:hAnsi="Arial"/>
                <w:sz w:val="16"/>
                <w:szCs w:val="16"/>
                <w:color w:val="auto"/>
              </w:rPr>
              <w:t>Inline XBRL Taxonomy Extension Label Linkbase Document</w:t>
            </w:r>
          </w:p>
        </w:tc>
        <w:tc>
          <w:tcPr>
            <w:tcW w:w="9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20" w:type="dxa"/>
            <w:vAlign w:val="bottom"/>
          </w:tcPr>
          <w:p>
            <w:pPr>
              <w:jc w:val="center"/>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840" w:type="dxa"/>
            <w:vAlign w:val="bottom"/>
          </w:tcPr>
          <w:p>
            <w:pPr>
              <w:ind w:left="20"/>
              <w:spacing w:after="0"/>
              <w:rPr>
                <w:sz w:val="20"/>
                <w:szCs w:val="20"/>
                <w:color w:val="auto"/>
              </w:rPr>
            </w:pPr>
            <w:r>
              <w:rPr>
                <w:rFonts w:ascii="Arial" w:cs="Arial" w:eastAsia="Arial" w:hAnsi="Arial"/>
                <w:sz w:val="16"/>
                <w:szCs w:val="16"/>
                <w:color w:val="auto"/>
              </w:rPr>
              <w:t>101.PRE</w:t>
            </w:r>
          </w:p>
        </w:tc>
        <w:tc>
          <w:tcPr>
            <w:tcW w:w="140" w:type="dxa"/>
            <w:vAlign w:val="bottom"/>
          </w:tcPr>
          <w:p>
            <w:pPr>
              <w:spacing w:after="0"/>
              <w:rPr>
                <w:sz w:val="18"/>
                <w:szCs w:val="18"/>
                <w:color w:val="auto"/>
              </w:rPr>
            </w:pPr>
          </w:p>
        </w:tc>
        <w:tc>
          <w:tcPr>
            <w:tcW w:w="4760" w:type="dxa"/>
            <w:vAlign w:val="bottom"/>
            <w:gridSpan w:val="8"/>
          </w:tcPr>
          <w:p>
            <w:pPr>
              <w:spacing w:after="0"/>
              <w:rPr>
                <w:sz w:val="20"/>
                <w:szCs w:val="20"/>
                <w:color w:val="auto"/>
              </w:rPr>
            </w:pPr>
            <w:r>
              <w:rPr>
                <w:rFonts w:ascii="Arial" w:cs="Arial" w:eastAsia="Arial" w:hAnsi="Arial"/>
                <w:sz w:val="16"/>
                <w:szCs w:val="16"/>
                <w:color w:val="auto"/>
                <w:w w:val="98"/>
              </w:rPr>
              <w:t>Inline XBRL Taxonomy Extension Presentation Linkbase Document</w:t>
            </w:r>
          </w:p>
        </w:tc>
        <w:tc>
          <w:tcPr>
            <w:tcW w:w="9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20" w:type="dxa"/>
            <w:vAlign w:val="bottom"/>
          </w:tcPr>
          <w:p>
            <w:pPr>
              <w:jc w:val="center"/>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2"/>
        </w:trPr>
        <w:tc>
          <w:tcPr>
            <w:tcW w:w="840" w:type="dxa"/>
            <w:vAlign w:val="bottom"/>
          </w:tcPr>
          <w:p>
            <w:pPr>
              <w:ind w:left="20"/>
              <w:spacing w:after="0"/>
              <w:rPr>
                <w:sz w:val="20"/>
                <w:szCs w:val="20"/>
                <w:color w:val="auto"/>
              </w:rPr>
            </w:pPr>
            <w:r>
              <w:rPr>
                <w:rFonts w:ascii="Arial" w:cs="Arial" w:eastAsia="Arial" w:hAnsi="Arial"/>
                <w:sz w:val="16"/>
                <w:szCs w:val="16"/>
                <w:color w:val="auto"/>
              </w:rPr>
              <w:t>104</w:t>
            </w:r>
          </w:p>
        </w:tc>
        <w:tc>
          <w:tcPr>
            <w:tcW w:w="140" w:type="dxa"/>
            <w:vAlign w:val="bottom"/>
          </w:tcPr>
          <w:p>
            <w:pPr>
              <w:spacing w:after="0"/>
              <w:rPr>
                <w:sz w:val="18"/>
                <w:szCs w:val="18"/>
                <w:color w:val="auto"/>
              </w:rPr>
            </w:pPr>
          </w:p>
        </w:tc>
        <w:tc>
          <w:tcPr>
            <w:tcW w:w="4760" w:type="dxa"/>
            <w:vAlign w:val="bottom"/>
            <w:gridSpan w:val="8"/>
          </w:tcPr>
          <w:p>
            <w:pPr>
              <w:spacing w:after="0"/>
              <w:rPr>
                <w:sz w:val="20"/>
                <w:szCs w:val="20"/>
                <w:color w:val="auto"/>
              </w:rPr>
            </w:pPr>
            <w:r>
              <w:rPr>
                <w:rFonts w:ascii="Arial" w:cs="Arial" w:eastAsia="Arial" w:hAnsi="Arial"/>
                <w:sz w:val="16"/>
                <w:szCs w:val="16"/>
                <w:color w:val="auto"/>
                <w:w w:val="98"/>
              </w:rPr>
              <w:t>Cover Page Interactive Data File (embedded within the Inline XBRL</w:t>
            </w:r>
          </w:p>
        </w:tc>
        <w:tc>
          <w:tcPr>
            <w:tcW w:w="9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20" w:type="dxa"/>
            <w:vAlign w:val="bottom"/>
          </w:tcPr>
          <w:p>
            <w:pPr>
              <w:jc w:val="center"/>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6"/>
        </w:trPr>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760" w:type="dxa"/>
            <w:vAlign w:val="bottom"/>
            <w:gridSpan w:val="8"/>
          </w:tcPr>
          <w:p>
            <w:pPr>
              <w:spacing w:after="0"/>
              <w:rPr>
                <w:sz w:val="20"/>
                <w:szCs w:val="20"/>
                <w:color w:val="auto"/>
              </w:rPr>
            </w:pPr>
            <w:r>
              <w:rPr>
                <w:rFonts w:ascii="Arial" w:cs="Arial" w:eastAsia="Arial" w:hAnsi="Arial"/>
                <w:sz w:val="16"/>
                <w:szCs w:val="16"/>
                <w:color w:val="auto"/>
              </w:rPr>
              <w:t>document)</w:t>
            </w:r>
          </w:p>
        </w:tc>
        <w:tc>
          <w:tcPr>
            <w:tcW w:w="9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243205</wp:posOffset>
            </wp:positionV>
            <wp:extent cx="950595"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8">
                      <a:extLst>
                        <a:ext uri="{28A0092B-C50C-407E-A947-70E740481C1C}"/>
                      </a:extLst>
                    </a:blip>
                    <a:srcRect/>
                    <a:stretch>
                      <a:fillRect/>
                    </a:stretch>
                  </pic:blipFill>
                  <pic:spPr bwMode="auto">
                    <a:xfrm>
                      <a:off x="0" y="0"/>
                      <a:ext cx="950595" cy="8255"/>
                    </a:xfrm>
                    <a:prstGeom prst="rect">
                      <a:avLst/>
                    </a:prstGeom>
                    <a:noFill/>
                  </pic:spPr>
                </pic:pic>
              </a:graphicData>
            </a:graphic>
          </wp:anchor>
        </w:drawing>
      </w:r>
    </w:p>
    <w:p>
      <w:pPr>
        <w:spacing w:after="0" w:line="200" w:lineRule="exact"/>
        <w:rPr>
          <w:sz w:val="20"/>
          <w:szCs w:val="20"/>
          <w:color w:val="auto"/>
        </w:rPr>
      </w:pPr>
    </w:p>
    <w:p>
      <w:pPr>
        <w:spacing w:after="0" w:line="271" w:lineRule="exact"/>
        <w:rPr>
          <w:sz w:val="20"/>
          <w:szCs w:val="20"/>
          <w:color w:val="auto"/>
        </w:rPr>
      </w:pPr>
    </w:p>
    <w:p>
      <w:pPr>
        <w:ind w:left="320" w:hanging="312"/>
        <w:spacing w:after="0"/>
        <w:tabs>
          <w:tab w:leader="none" w:pos="3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  Furnished herewith.</w:t>
      </w:r>
    </w:p>
    <w:p>
      <w:pPr>
        <w:spacing w:after="0" w:line="117" w:lineRule="exact"/>
        <w:rPr>
          <w:sz w:val="20"/>
          <w:szCs w:val="20"/>
          <w:color w:val="auto"/>
        </w:rPr>
      </w:pPr>
    </w:p>
    <w:p>
      <w:pPr>
        <w:ind w:left="520" w:right="360" w:hanging="512"/>
        <w:spacing w:after="0" w:line="277" w:lineRule="auto"/>
        <w:tabs>
          <w:tab w:leader="none" w:pos="337" w:val="left"/>
        </w:tabs>
        <w:numPr>
          <w:ilvl w:val="0"/>
          <w:numId w:val="12"/>
        </w:numPr>
        <w:rPr>
          <w:rFonts w:ascii="Arial" w:cs="Arial" w:eastAsia="Arial" w:hAnsi="Arial"/>
          <w:sz w:val="18"/>
          <w:szCs w:val="18"/>
          <w:color w:val="auto"/>
        </w:rPr>
      </w:pPr>
      <w:r>
        <w:rPr>
          <w:rFonts w:ascii="Arial" w:cs="Arial" w:eastAsia="Arial" w:hAnsi="Arial"/>
          <w:sz w:val="18"/>
          <w:szCs w:val="18"/>
          <w:color w:val="auto"/>
        </w:rPr>
        <w:t>Schedules have been omitted pursuant to Item 601(a)(5) of Regulation S-K. The Company undertakes to furnish supplemental copies of any of the omitted schedules upon request by the SEC.</w:t>
      </w:r>
    </w:p>
    <w:p>
      <w:pPr>
        <w:spacing w:after="0" w:line="62" w:lineRule="exact"/>
        <w:rPr>
          <w:sz w:val="20"/>
          <w:szCs w:val="20"/>
          <w:color w:val="auto"/>
        </w:rPr>
      </w:pPr>
    </w:p>
    <w:p>
      <w:pPr>
        <w:ind w:left="5540" w:right="4200" w:hanging="5532"/>
        <w:spacing w:after="0" w:line="439" w:lineRule="auto"/>
        <w:tabs>
          <w:tab w:leader="none" w:pos="323" w:val="left"/>
        </w:tabs>
        <w:numPr>
          <w:ilvl w:val="0"/>
          <w:numId w:val="13"/>
        </w:numPr>
        <w:rPr>
          <w:rFonts w:ascii="Arial" w:cs="Arial" w:eastAsia="Arial" w:hAnsi="Arial"/>
          <w:sz w:val="17"/>
          <w:szCs w:val="17"/>
          <w:color w:val="auto"/>
        </w:rPr>
      </w:pPr>
      <w:r>
        <w:rPr>
          <w:rFonts w:ascii="Arial" w:cs="Arial" w:eastAsia="Arial" w:hAnsi="Arial"/>
          <w:sz w:val="17"/>
          <w:szCs w:val="17"/>
          <w:color w:val="auto"/>
        </w:rPr>
        <w:t>Portions of this exhibit have been omitted pursuant to Item 601(b)(10)(iv) of Regulation S-K. 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-46355</wp:posOffset>
            </wp:positionV>
            <wp:extent cx="7157720" cy="425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36" w:name="page37"/>
    <w:bookmarkEnd w:id="36"/>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460" w:firstLine="509"/>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6"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3720" w:type="dxa"/>
            <w:vAlign w:val="bottom"/>
          </w:tcPr>
          <w:p>
            <w:pPr>
              <w:spacing w:after="0"/>
              <w:rPr>
                <w:sz w:val="20"/>
                <w:szCs w:val="20"/>
                <w:color w:val="auto"/>
              </w:rPr>
            </w:pPr>
          </w:p>
        </w:tc>
        <w:tc>
          <w:tcPr>
            <w:tcW w:w="7500" w:type="dxa"/>
            <w:vAlign w:val="bottom"/>
            <w:gridSpan w:val="2"/>
          </w:tcPr>
          <w:p>
            <w:pPr>
              <w:ind w:left="1960"/>
              <w:spacing w:after="0"/>
              <w:rPr>
                <w:sz w:val="20"/>
                <w:szCs w:val="20"/>
                <w:color w:val="auto"/>
              </w:rPr>
            </w:pPr>
            <w:r>
              <w:rPr>
                <w:rFonts w:ascii="Arial" w:cs="Arial" w:eastAsia="Arial" w:hAnsi="Arial"/>
                <w:sz w:val="18"/>
                <w:szCs w:val="18"/>
                <w:color w:val="auto"/>
              </w:rPr>
              <w:t>Mister Car Wash, Inc.</w:t>
            </w:r>
          </w:p>
        </w:tc>
      </w:tr>
      <w:tr>
        <w:trPr>
          <w:trHeight w:val="472"/>
        </w:trPr>
        <w:tc>
          <w:tcPr>
            <w:tcW w:w="3720" w:type="dxa"/>
            <w:vAlign w:val="bottom"/>
          </w:tcPr>
          <w:p>
            <w:pPr>
              <w:spacing w:after="0"/>
              <w:rPr>
                <w:sz w:val="20"/>
                <w:szCs w:val="20"/>
                <w:color w:val="auto"/>
              </w:rPr>
            </w:pPr>
            <w:r>
              <w:rPr>
                <w:rFonts w:ascii="Arial" w:cs="Arial" w:eastAsia="Arial" w:hAnsi="Arial"/>
                <w:sz w:val="18"/>
                <w:szCs w:val="18"/>
                <w:color w:val="auto"/>
              </w:rPr>
              <w:t>Date: November 3, 2023</w:t>
            </w:r>
          </w:p>
        </w:tc>
        <w:tc>
          <w:tcPr>
            <w:tcW w:w="2280" w:type="dxa"/>
            <w:vAlign w:val="bottom"/>
          </w:tcPr>
          <w:p>
            <w:pPr>
              <w:ind w:left="1960"/>
              <w:spacing w:after="0"/>
              <w:rPr>
                <w:sz w:val="20"/>
                <w:szCs w:val="20"/>
                <w:color w:val="auto"/>
              </w:rPr>
            </w:pPr>
            <w:r>
              <w:rPr>
                <w:rFonts w:ascii="Arial" w:cs="Arial" w:eastAsia="Arial" w:hAnsi="Arial"/>
                <w:sz w:val="18"/>
                <w:szCs w:val="18"/>
                <w:color w:val="auto"/>
              </w:rPr>
              <w:t>By:</w:t>
            </w:r>
          </w:p>
        </w:tc>
        <w:tc>
          <w:tcPr>
            <w:tcW w:w="52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/s/ John Lai</w:t>
            </w:r>
          </w:p>
        </w:tc>
      </w:tr>
      <w:tr>
        <w:trPr>
          <w:trHeight w:val="208"/>
        </w:trPr>
        <w:tc>
          <w:tcPr>
            <w:tcW w:w="372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5220" w:type="dxa"/>
            <w:vAlign w:val="bottom"/>
          </w:tcPr>
          <w:p>
            <w:pPr>
              <w:jc w:val="center"/>
              <w:spacing w:after="0"/>
              <w:rPr>
                <w:sz w:val="20"/>
                <w:szCs w:val="20"/>
                <w:color w:val="auto"/>
              </w:rPr>
            </w:pPr>
            <w:r>
              <w:rPr>
                <w:rFonts w:ascii="Arial" w:cs="Arial" w:eastAsia="Arial" w:hAnsi="Arial"/>
                <w:sz w:val="18"/>
                <w:szCs w:val="18"/>
                <w:color w:val="auto"/>
                <w:w w:val="91"/>
              </w:rPr>
              <w:t>John Lai</w:t>
            </w:r>
          </w:p>
        </w:tc>
      </w:tr>
      <w:tr>
        <w:trPr>
          <w:trHeight w:val="216"/>
        </w:trPr>
        <w:tc>
          <w:tcPr>
            <w:tcW w:w="372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5220" w:type="dxa"/>
            <w:vAlign w:val="bottom"/>
          </w:tcPr>
          <w:p>
            <w:pPr>
              <w:jc w:val="center"/>
              <w:spacing w:after="0"/>
              <w:rPr>
                <w:sz w:val="20"/>
                <w:szCs w:val="20"/>
                <w:color w:val="auto"/>
              </w:rPr>
            </w:pPr>
            <w:r>
              <w:rPr>
                <w:rFonts w:ascii="Arial" w:cs="Arial" w:eastAsia="Arial" w:hAnsi="Arial"/>
                <w:sz w:val="18"/>
                <w:szCs w:val="18"/>
                <w:color w:val="auto"/>
                <w:w w:val="90"/>
              </w:rPr>
              <w:t>Chairperson, President and Chief Executive Officer</w:t>
            </w:r>
          </w:p>
        </w:tc>
      </w:tr>
      <w:tr>
        <w:trPr>
          <w:trHeight w:val="230"/>
        </w:trPr>
        <w:tc>
          <w:tcPr>
            <w:tcW w:w="372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5220" w:type="dxa"/>
            <w:vAlign w:val="bottom"/>
          </w:tcPr>
          <w:p>
            <w:pPr>
              <w:jc w:val="center"/>
              <w:spacing w:after="0"/>
              <w:rPr>
                <w:sz w:val="20"/>
                <w:szCs w:val="20"/>
                <w:color w:val="auto"/>
              </w:rPr>
            </w:pPr>
            <w:r>
              <w:rPr>
                <w:rFonts w:ascii="Arial" w:cs="Arial" w:eastAsia="Arial" w:hAnsi="Arial"/>
                <w:sz w:val="18"/>
                <w:szCs w:val="18"/>
                <w:color w:val="auto"/>
                <w:w w:val="94"/>
              </w:rPr>
              <w:t>(Principal Executive Officer)</w:t>
            </w:r>
          </w:p>
        </w:tc>
      </w:tr>
      <w:tr>
        <w:trPr>
          <w:trHeight w:val="472"/>
        </w:trPr>
        <w:tc>
          <w:tcPr>
            <w:tcW w:w="3720" w:type="dxa"/>
            <w:vAlign w:val="bottom"/>
          </w:tcPr>
          <w:p>
            <w:pPr>
              <w:spacing w:after="0"/>
              <w:rPr>
                <w:sz w:val="20"/>
                <w:szCs w:val="20"/>
                <w:color w:val="auto"/>
              </w:rPr>
            </w:pPr>
            <w:r>
              <w:rPr>
                <w:rFonts w:ascii="Arial" w:cs="Arial" w:eastAsia="Arial" w:hAnsi="Arial"/>
                <w:sz w:val="18"/>
                <w:szCs w:val="18"/>
                <w:color w:val="auto"/>
              </w:rPr>
              <w:t>Date: November 3, 2023</w:t>
            </w:r>
          </w:p>
        </w:tc>
        <w:tc>
          <w:tcPr>
            <w:tcW w:w="2280" w:type="dxa"/>
            <w:vAlign w:val="bottom"/>
          </w:tcPr>
          <w:p>
            <w:pPr>
              <w:ind w:left="1960"/>
              <w:spacing w:after="0"/>
              <w:rPr>
                <w:sz w:val="20"/>
                <w:szCs w:val="20"/>
                <w:color w:val="auto"/>
              </w:rPr>
            </w:pPr>
            <w:r>
              <w:rPr>
                <w:rFonts w:ascii="Arial" w:cs="Arial" w:eastAsia="Arial" w:hAnsi="Arial"/>
                <w:sz w:val="18"/>
                <w:szCs w:val="18"/>
                <w:color w:val="auto"/>
              </w:rPr>
              <w:t>By:</w:t>
            </w:r>
          </w:p>
        </w:tc>
        <w:tc>
          <w:tcPr>
            <w:tcW w:w="52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/s/ Jedidiah Gold</w:t>
            </w:r>
          </w:p>
        </w:tc>
      </w:tr>
      <w:tr>
        <w:trPr>
          <w:trHeight w:val="224"/>
        </w:trPr>
        <w:tc>
          <w:tcPr>
            <w:tcW w:w="372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5220" w:type="dxa"/>
            <w:vAlign w:val="bottom"/>
          </w:tcPr>
          <w:p>
            <w:pPr>
              <w:jc w:val="center"/>
              <w:spacing w:after="0"/>
              <w:rPr>
                <w:sz w:val="20"/>
                <w:szCs w:val="20"/>
                <w:color w:val="auto"/>
              </w:rPr>
            </w:pPr>
            <w:r>
              <w:rPr>
                <w:rFonts w:ascii="Arial" w:cs="Arial" w:eastAsia="Arial" w:hAnsi="Arial"/>
                <w:sz w:val="18"/>
                <w:szCs w:val="18"/>
                <w:color w:val="auto"/>
                <w:w w:val="92"/>
              </w:rPr>
              <w:t>Jedidiah Gold</w:t>
            </w:r>
          </w:p>
        </w:tc>
      </w:tr>
    </w:tbl>
    <w:p>
      <w:pPr>
        <w:jc w:val="center"/>
        <w:ind w:left="6000"/>
        <w:spacing w:after="0"/>
        <w:rPr>
          <w:sz w:val="20"/>
          <w:szCs w:val="20"/>
          <w:color w:val="auto"/>
        </w:rPr>
      </w:pPr>
      <w:r>
        <w:rPr>
          <w:rFonts w:ascii="Arial" w:cs="Arial" w:eastAsia="Arial" w:hAnsi="Arial"/>
          <w:sz w:val="18"/>
          <w:szCs w:val="18"/>
          <w:color w:val="auto"/>
        </w:rPr>
        <w:t>Chief Financial Officer</w:t>
      </w:r>
    </w:p>
    <w:p>
      <w:pPr>
        <w:spacing w:after="0" w:line="8" w:lineRule="exact"/>
        <w:rPr>
          <w:sz w:val="20"/>
          <w:szCs w:val="20"/>
          <w:color w:val="auto"/>
        </w:rPr>
      </w:pPr>
    </w:p>
    <w:p>
      <w:pPr>
        <w:jc w:val="center"/>
        <w:ind w:left="6000"/>
        <w:spacing w:after="0"/>
        <w:rPr>
          <w:sz w:val="20"/>
          <w:szCs w:val="20"/>
          <w:color w:val="auto"/>
        </w:rPr>
      </w:pPr>
      <w:r>
        <w:rPr>
          <w:rFonts w:ascii="Arial" w:cs="Arial" w:eastAsia="Arial" w:hAnsi="Arial"/>
          <w:sz w:val="18"/>
          <w:szCs w:val="18"/>
          <w:color w:val="auto"/>
        </w:rPr>
        <w:t>(Principal Financial Officer)</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7" w:name="page38"/>
    <w:bookmarkEnd w:id="37"/>
    <w:p>
      <w:pPr>
        <w:jc w:val="right"/>
        <w:spacing w:after="0"/>
        <w:rPr>
          <w:sz w:val="20"/>
          <w:szCs w:val="20"/>
          <w:color w:val="auto"/>
        </w:rPr>
      </w:pPr>
      <w:r>
        <w:rPr>
          <w:rFonts w:ascii="Arial" w:cs="Arial" w:eastAsia="Arial" w:hAnsi="Arial"/>
          <w:sz w:val="18"/>
          <w:szCs w:val="18"/>
          <w:b w:val="1"/>
          <w:bCs w:val="1"/>
          <w:color w:val="auto"/>
        </w:rPr>
        <w:t>Exhibit 31.1</w:t>
      </w: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I, John Lai, certify that:</w:t>
      </w:r>
    </w:p>
    <w:p>
      <w:pPr>
        <w:spacing w:after="0" w:line="225" w:lineRule="exact"/>
        <w:rPr>
          <w:sz w:val="20"/>
          <w:szCs w:val="20"/>
          <w:color w:val="auto"/>
        </w:rPr>
      </w:pPr>
    </w:p>
    <w:p>
      <w:pPr>
        <w:ind w:left="520" w:hanging="512"/>
        <w:spacing w:after="0"/>
        <w:tabs>
          <w:tab w:leader="none" w:pos="5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quarterly period ended September 30, 2023 of Mister Car Wash, Inc.;</w:t>
      </w:r>
    </w:p>
    <w:p>
      <w:pPr>
        <w:spacing w:after="0" w:line="224" w:lineRule="exact"/>
        <w:rPr>
          <w:rFonts w:ascii="Arial" w:cs="Arial" w:eastAsia="Arial" w:hAnsi="Arial"/>
          <w:sz w:val="18"/>
          <w:szCs w:val="18"/>
          <w:color w:val="auto"/>
        </w:rPr>
      </w:pPr>
    </w:p>
    <w:p>
      <w:pPr>
        <w:jc w:val="both"/>
        <w:ind w:left="520" w:right="260" w:hanging="512"/>
        <w:spacing w:after="0" w:line="263" w:lineRule="auto"/>
        <w:tabs>
          <w:tab w:leader="none" w:pos="5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2" w:lineRule="exact"/>
        <w:rPr>
          <w:rFonts w:ascii="Arial" w:cs="Arial" w:eastAsia="Arial" w:hAnsi="Arial"/>
          <w:sz w:val="18"/>
          <w:szCs w:val="18"/>
          <w:color w:val="auto"/>
        </w:rPr>
      </w:pPr>
    </w:p>
    <w:p>
      <w:pPr>
        <w:ind w:left="520" w:right="240" w:hanging="512"/>
        <w:spacing w:after="0" w:line="307" w:lineRule="auto"/>
        <w:tabs>
          <w:tab w:leader="none" w:pos="520" w:val="left"/>
        </w:tabs>
        <w:numPr>
          <w:ilvl w:val="0"/>
          <w:numId w:val="1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7" w:lineRule="exact"/>
        <w:rPr>
          <w:rFonts w:ascii="Arial" w:cs="Arial" w:eastAsia="Arial" w:hAnsi="Arial"/>
          <w:sz w:val="17"/>
          <w:szCs w:val="17"/>
          <w:color w:val="auto"/>
        </w:rPr>
      </w:pPr>
    </w:p>
    <w:p>
      <w:pPr>
        <w:ind w:left="520" w:right="280" w:hanging="512"/>
        <w:spacing w:after="0" w:line="277" w:lineRule="auto"/>
        <w:tabs>
          <w:tab w:leader="none" w:pos="5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169" w:lineRule="exact"/>
        <w:rPr>
          <w:rFonts w:ascii="Arial" w:cs="Arial" w:eastAsia="Arial" w:hAnsi="Arial"/>
          <w:sz w:val="18"/>
          <w:szCs w:val="18"/>
          <w:color w:val="auto"/>
        </w:rPr>
      </w:pPr>
    </w:p>
    <w:p>
      <w:pPr>
        <w:ind w:left="1020" w:right="100" w:hanging="479"/>
        <w:spacing w:after="0" w:line="263" w:lineRule="auto"/>
        <w:tabs>
          <w:tab w:leader="none" w:pos="894" w:val="left"/>
        </w:tabs>
        <w:numPr>
          <w:ilvl w:val="1"/>
          <w:numId w:val="1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2" w:lineRule="exact"/>
        <w:rPr>
          <w:rFonts w:ascii="Arial" w:cs="Arial" w:eastAsia="Arial" w:hAnsi="Arial"/>
          <w:sz w:val="18"/>
          <w:szCs w:val="18"/>
          <w:color w:val="auto"/>
        </w:rPr>
      </w:pPr>
    </w:p>
    <w:p>
      <w:pPr>
        <w:ind w:left="1020" w:right="340" w:hanging="479"/>
        <w:spacing w:after="0" w:line="263" w:lineRule="auto"/>
        <w:tabs>
          <w:tab w:leader="none" w:pos="894" w:val="left"/>
        </w:tabs>
        <w:numPr>
          <w:ilvl w:val="1"/>
          <w:numId w:val="1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2" w:lineRule="exact"/>
        <w:rPr>
          <w:rFonts w:ascii="Arial" w:cs="Arial" w:eastAsia="Arial" w:hAnsi="Arial"/>
          <w:sz w:val="18"/>
          <w:szCs w:val="18"/>
          <w:color w:val="auto"/>
        </w:rPr>
      </w:pPr>
    </w:p>
    <w:p>
      <w:pPr>
        <w:ind w:left="1020" w:right="500" w:hanging="479"/>
        <w:spacing w:after="0" w:line="341" w:lineRule="auto"/>
        <w:tabs>
          <w:tab w:leader="none" w:pos="894" w:val="left"/>
        </w:tabs>
        <w:numPr>
          <w:ilvl w:val="1"/>
          <w:numId w:val="1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4" w:lineRule="exact"/>
        <w:rPr>
          <w:rFonts w:ascii="Arial" w:cs="Arial" w:eastAsia="Arial" w:hAnsi="Arial"/>
          <w:sz w:val="16"/>
          <w:szCs w:val="16"/>
          <w:color w:val="auto"/>
        </w:rPr>
      </w:pPr>
    </w:p>
    <w:p>
      <w:pPr>
        <w:ind w:left="1020" w:right="180" w:hanging="479"/>
        <w:spacing w:after="0" w:line="263" w:lineRule="auto"/>
        <w:tabs>
          <w:tab w:leader="none" w:pos="894" w:val="left"/>
        </w:tabs>
        <w:numPr>
          <w:ilvl w:val="1"/>
          <w:numId w:val="1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2" w:lineRule="exact"/>
        <w:rPr>
          <w:rFonts w:ascii="Arial" w:cs="Arial" w:eastAsia="Arial" w:hAnsi="Arial"/>
          <w:sz w:val="18"/>
          <w:szCs w:val="18"/>
          <w:color w:val="auto"/>
        </w:rPr>
      </w:pPr>
    </w:p>
    <w:p>
      <w:pPr>
        <w:ind w:left="520" w:right="240" w:hanging="512"/>
        <w:spacing w:after="0" w:line="341" w:lineRule="auto"/>
        <w:tabs>
          <w:tab w:leader="none" w:pos="52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4" w:lineRule="exact"/>
        <w:rPr>
          <w:rFonts w:ascii="Arial" w:cs="Arial" w:eastAsia="Arial" w:hAnsi="Arial"/>
          <w:sz w:val="16"/>
          <w:szCs w:val="16"/>
          <w:color w:val="auto"/>
        </w:rPr>
      </w:pPr>
    </w:p>
    <w:p>
      <w:pPr>
        <w:ind w:left="1020" w:right="40" w:hanging="479"/>
        <w:spacing w:after="0" w:line="307" w:lineRule="auto"/>
        <w:tabs>
          <w:tab w:leader="none" w:pos="894" w:val="left"/>
        </w:tabs>
        <w:numPr>
          <w:ilvl w:val="1"/>
          <w:numId w:val="14"/>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7" w:lineRule="exact"/>
        <w:rPr>
          <w:rFonts w:ascii="Arial" w:cs="Arial" w:eastAsia="Arial" w:hAnsi="Arial"/>
          <w:sz w:val="17"/>
          <w:szCs w:val="17"/>
          <w:color w:val="auto"/>
        </w:rPr>
      </w:pPr>
    </w:p>
    <w:p>
      <w:pPr>
        <w:ind w:left="1020" w:right="20" w:hanging="479"/>
        <w:spacing w:after="0" w:line="277" w:lineRule="auto"/>
        <w:tabs>
          <w:tab w:leader="none" w:pos="894" w:val="left"/>
        </w:tabs>
        <w:numPr>
          <w:ilvl w:val="1"/>
          <w:numId w:val="1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3740" w:type="dxa"/>
            <w:vAlign w:val="bottom"/>
          </w:tcPr>
          <w:p>
            <w:pPr>
              <w:ind w:left="20"/>
              <w:spacing w:after="0"/>
              <w:rPr>
                <w:sz w:val="20"/>
                <w:szCs w:val="20"/>
                <w:color w:val="auto"/>
              </w:rPr>
            </w:pPr>
            <w:r>
              <w:rPr>
                <w:rFonts w:ascii="Arial" w:cs="Arial" w:eastAsia="Arial" w:hAnsi="Arial"/>
                <w:sz w:val="18"/>
                <w:szCs w:val="18"/>
                <w:color w:val="auto"/>
              </w:rPr>
              <w:t>Date: November 3, 2023</w:t>
            </w:r>
          </w:p>
        </w:tc>
        <w:tc>
          <w:tcPr>
            <w:tcW w:w="2280" w:type="dxa"/>
            <w:vAlign w:val="bottom"/>
          </w:tcPr>
          <w:p>
            <w:pPr>
              <w:ind w:left="1960"/>
              <w:spacing w:after="0"/>
              <w:rPr>
                <w:sz w:val="20"/>
                <w:szCs w:val="20"/>
                <w:color w:val="auto"/>
              </w:rPr>
            </w:pPr>
            <w:r>
              <w:rPr>
                <w:rFonts w:ascii="Arial" w:cs="Arial" w:eastAsia="Arial" w:hAnsi="Arial"/>
                <w:sz w:val="18"/>
                <w:szCs w:val="18"/>
                <w:color w:val="auto"/>
              </w:rPr>
              <w:t>By:</w:t>
            </w:r>
          </w:p>
        </w:tc>
        <w:tc>
          <w:tcPr>
            <w:tcW w:w="52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/s/ John Lai</w:t>
            </w:r>
          </w:p>
        </w:tc>
      </w:tr>
      <w:tr>
        <w:trPr>
          <w:trHeight w:val="208"/>
        </w:trPr>
        <w:tc>
          <w:tcPr>
            <w:tcW w:w="374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5220" w:type="dxa"/>
            <w:vAlign w:val="bottom"/>
          </w:tcPr>
          <w:p>
            <w:pPr>
              <w:jc w:val="center"/>
              <w:spacing w:after="0"/>
              <w:rPr>
                <w:sz w:val="20"/>
                <w:szCs w:val="20"/>
                <w:color w:val="auto"/>
              </w:rPr>
            </w:pPr>
            <w:r>
              <w:rPr>
                <w:rFonts w:ascii="Arial" w:cs="Arial" w:eastAsia="Arial" w:hAnsi="Arial"/>
                <w:sz w:val="18"/>
                <w:szCs w:val="18"/>
                <w:color w:val="auto"/>
                <w:w w:val="91"/>
              </w:rPr>
              <w:t>John Lai</w:t>
            </w:r>
          </w:p>
        </w:tc>
      </w:tr>
      <w:tr>
        <w:trPr>
          <w:trHeight w:val="216"/>
        </w:trPr>
        <w:tc>
          <w:tcPr>
            <w:tcW w:w="374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5220" w:type="dxa"/>
            <w:vAlign w:val="bottom"/>
          </w:tcPr>
          <w:p>
            <w:pPr>
              <w:jc w:val="center"/>
              <w:spacing w:after="0"/>
              <w:rPr>
                <w:sz w:val="20"/>
                <w:szCs w:val="20"/>
                <w:color w:val="auto"/>
              </w:rPr>
            </w:pPr>
            <w:r>
              <w:rPr>
                <w:rFonts w:ascii="Arial" w:cs="Arial" w:eastAsia="Arial" w:hAnsi="Arial"/>
                <w:sz w:val="18"/>
                <w:szCs w:val="18"/>
                <w:color w:val="auto"/>
                <w:w w:val="90"/>
              </w:rPr>
              <w:t>Chairperson, President and Chief Executive Officer</w:t>
            </w:r>
          </w:p>
        </w:tc>
      </w:tr>
      <w:tr>
        <w:trPr>
          <w:trHeight w:val="230"/>
        </w:trPr>
        <w:tc>
          <w:tcPr>
            <w:tcW w:w="374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5220" w:type="dxa"/>
            <w:vAlign w:val="bottom"/>
          </w:tcPr>
          <w:p>
            <w:pPr>
              <w:jc w:val="center"/>
              <w:spacing w:after="0"/>
              <w:rPr>
                <w:sz w:val="20"/>
                <w:szCs w:val="20"/>
                <w:color w:val="auto"/>
              </w:rPr>
            </w:pPr>
            <w:r>
              <w:rPr>
                <w:rFonts w:ascii="Arial" w:cs="Arial" w:eastAsia="Arial" w:hAnsi="Arial"/>
                <w:sz w:val="18"/>
                <w:szCs w:val="18"/>
                <w:color w:val="auto"/>
                <w:w w:val="94"/>
              </w:rPr>
              <w:t>(Principal Executive Officer)</w:t>
            </w:r>
          </w:p>
        </w:tc>
      </w:tr>
      <w:tr>
        <w:trPr>
          <w:trHeight w:val="775"/>
        </w:trPr>
        <w:tc>
          <w:tcPr>
            <w:tcW w:w="3740" w:type="dxa"/>
            <w:vAlign w:val="bottom"/>
            <w:tcBorders>
              <w:bottom w:val="single" w:sz="8" w:color="9A9A9A"/>
            </w:tcBorders>
          </w:tcPr>
          <w:p>
            <w:pPr>
              <w:spacing w:after="0"/>
              <w:rPr>
                <w:sz w:val="24"/>
                <w:szCs w:val="24"/>
                <w:color w:val="auto"/>
              </w:rPr>
            </w:pPr>
          </w:p>
        </w:tc>
        <w:tc>
          <w:tcPr>
            <w:tcW w:w="2280" w:type="dxa"/>
            <w:vAlign w:val="bottom"/>
            <w:tcBorders>
              <w:bottom w:val="single" w:sz="8" w:color="9A9A9A"/>
            </w:tcBorders>
          </w:tcPr>
          <w:p>
            <w:pPr>
              <w:spacing w:after="0"/>
              <w:rPr>
                <w:sz w:val="24"/>
                <w:szCs w:val="24"/>
                <w:color w:val="auto"/>
              </w:rPr>
            </w:pPr>
          </w:p>
        </w:tc>
        <w:tc>
          <w:tcPr>
            <w:tcW w:w="52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6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62">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8" w:name="page39"/>
    <w:bookmarkEnd w:id="38"/>
    <w:p>
      <w:pPr>
        <w:jc w:val="right"/>
        <w:spacing w:after="0"/>
        <w:rPr>
          <w:sz w:val="20"/>
          <w:szCs w:val="20"/>
          <w:color w:val="auto"/>
        </w:rPr>
      </w:pPr>
      <w:r>
        <w:rPr>
          <w:rFonts w:ascii="Arial" w:cs="Arial" w:eastAsia="Arial" w:hAnsi="Arial"/>
          <w:sz w:val="18"/>
          <w:szCs w:val="18"/>
          <w:b w:val="1"/>
          <w:bCs w:val="1"/>
          <w:color w:val="auto"/>
        </w:rPr>
        <w:t>Exhibit 31.2</w:t>
      </w: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I, Jedidiah Gold, certify that:</w:t>
      </w:r>
    </w:p>
    <w:p>
      <w:pPr>
        <w:spacing w:after="0" w:line="225" w:lineRule="exact"/>
        <w:rPr>
          <w:sz w:val="20"/>
          <w:szCs w:val="20"/>
          <w:color w:val="auto"/>
        </w:rPr>
      </w:pPr>
    </w:p>
    <w:p>
      <w:pPr>
        <w:ind w:left="520" w:hanging="512"/>
        <w:spacing w:after="0"/>
        <w:tabs>
          <w:tab w:leader="none" w:pos="5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quarterly period ended September 30, 2023 of Mister Car Wash, Inc.;</w:t>
      </w:r>
    </w:p>
    <w:p>
      <w:pPr>
        <w:spacing w:after="0" w:line="224" w:lineRule="exact"/>
        <w:rPr>
          <w:rFonts w:ascii="Arial" w:cs="Arial" w:eastAsia="Arial" w:hAnsi="Arial"/>
          <w:sz w:val="18"/>
          <w:szCs w:val="18"/>
          <w:color w:val="auto"/>
        </w:rPr>
      </w:pPr>
    </w:p>
    <w:p>
      <w:pPr>
        <w:jc w:val="both"/>
        <w:ind w:left="520" w:right="260" w:hanging="512"/>
        <w:spacing w:after="0" w:line="263" w:lineRule="auto"/>
        <w:tabs>
          <w:tab w:leader="none" w:pos="5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2" w:lineRule="exact"/>
        <w:rPr>
          <w:rFonts w:ascii="Arial" w:cs="Arial" w:eastAsia="Arial" w:hAnsi="Arial"/>
          <w:sz w:val="18"/>
          <w:szCs w:val="18"/>
          <w:color w:val="auto"/>
        </w:rPr>
      </w:pPr>
    </w:p>
    <w:p>
      <w:pPr>
        <w:ind w:left="520" w:right="240" w:hanging="512"/>
        <w:spacing w:after="0" w:line="307" w:lineRule="auto"/>
        <w:tabs>
          <w:tab w:leader="none" w:pos="520" w:val="left"/>
        </w:tabs>
        <w:numPr>
          <w:ilvl w:val="0"/>
          <w:numId w:val="1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7" w:lineRule="exact"/>
        <w:rPr>
          <w:rFonts w:ascii="Arial" w:cs="Arial" w:eastAsia="Arial" w:hAnsi="Arial"/>
          <w:sz w:val="17"/>
          <w:szCs w:val="17"/>
          <w:color w:val="auto"/>
        </w:rPr>
      </w:pPr>
    </w:p>
    <w:p>
      <w:pPr>
        <w:ind w:left="520" w:right="280" w:hanging="512"/>
        <w:spacing w:after="0" w:line="277" w:lineRule="auto"/>
        <w:tabs>
          <w:tab w:leader="none" w:pos="5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169" w:lineRule="exact"/>
        <w:rPr>
          <w:rFonts w:ascii="Arial" w:cs="Arial" w:eastAsia="Arial" w:hAnsi="Arial"/>
          <w:sz w:val="18"/>
          <w:szCs w:val="18"/>
          <w:color w:val="auto"/>
        </w:rPr>
      </w:pPr>
    </w:p>
    <w:p>
      <w:pPr>
        <w:ind w:left="1020" w:right="100" w:hanging="479"/>
        <w:spacing w:after="0" w:line="263" w:lineRule="auto"/>
        <w:tabs>
          <w:tab w:leader="none" w:pos="894" w:val="left"/>
        </w:tabs>
        <w:numPr>
          <w:ilvl w:val="1"/>
          <w:numId w:val="1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2" w:lineRule="exact"/>
        <w:rPr>
          <w:rFonts w:ascii="Arial" w:cs="Arial" w:eastAsia="Arial" w:hAnsi="Arial"/>
          <w:sz w:val="18"/>
          <w:szCs w:val="18"/>
          <w:color w:val="auto"/>
        </w:rPr>
      </w:pPr>
    </w:p>
    <w:p>
      <w:pPr>
        <w:ind w:left="1020" w:right="340" w:hanging="479"/>
        <w:spacing w:after="0" w:line="263" w:lineRule="auto"/>
        <w:tabs>
          <w:tab w:leader="none" w:pos="894" w:val="left"/>
        </w:tabs>
        <w:numPr>
          <w:ilvl w:val="1"/>
          <w:numId w:val="1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2" w:lineRule="exact"/>
        <w:rPr>
          <w:rFonts w:ascii="Arial" w:cs="Arial" w:eastAsia="Arial" w:hAnsi="Arial"/>
          <w:sz w:val="18"/>
          <w:szCs w:val="18"/>
          <w:color w:val="auto"/>
        </w:rPr>
      </w:pPr>
    </w:p>
    <w:p>
      <w:pPr>
        <w:ind w:left="1020" w:right="500" w:hanging="479"/>
        <w:spacing w:after="0" w:line="341" w:lineRule="auto"/>
        <w:tabs>
          <w:tab w:leader="none" w:pos="894" w:val="left"/>
        </w:tabs>
        <w:numPr>
          <w:ilvl w:val="1"/>
          <w:numId w:val="1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4" w:lineRule="exact"/>
        <w:rPr>
          <w:rFonts w:ascii="Arial" w:cs="Arial" w:eastAsia="Arial" w:hAnsi="Arial"/>
          <w:sz w:val="16"/>
          <w:szCs w:val="16"/>
          <w:color w:val="auto"/>
        </w:rPr>
      </w:pPr>
    </w:p>
    <w:p>
      <w:pPr>
        <w:ind w:left="1020" w:right="180" w:hanging="479"/>
        <w:spacing w:after="0" w:line="263" w:lineRule="auto"/>
        <w:tabs>
          <w:tab w:leader="none" w:pos="894" w:val="left"/>
        </w:tabs>
        <w:numPr>
          <w:ilvl w:val="1"/>
          <w:numId w:val="1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2" w:lineRule="exact"/>
        <w:rPr>
          <w:rFonts w:ascii="Arial" w:cs="Arial" w:eastAsia="Arial" w:hAnsi="Arial"/>
          <w:sz w:val="18"/>
          <w:szCs w:val="18"/>
          <w:color w:val="auto"/>
        </w:rPr>
      </w:pPr>
    </w:p>
    <w:p>
      <w:pPr>
        <w:ind w:left="520" w:right="240" w:hanging="512"/>
        <w:spacing w:after="0" w:line="341" w:lineRule="auto"/>
        <w:tabs>
          <w:tab w:leader="none" w:pos="52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4" w:lineRule="exact"/>
        <w:rPr>
          <w:rFonts w:ascii="Arial" w:cs="Arial" w:eastAsia="Arial" w:hAnsi="Arial"/>
          <w:sz w:val="16"/>
          <w:szCs w:val="16"/>
          <w:color w:val="auto"/>
        </w:rPr>
      </w:pPr>
    </w:p>
    <w:p>
      <w:pPr>
        <w:ind w:left="1020" w:right="40" w:hanging="479"/>
        <w:spacing w:after="0" w:line="307" w:lineRule="auto"/>
        <w:tabs>
          <w:tab w:leader="none" w:pos="894" w:val="left"/>
        </w:tabs>
        <w:numPr>
          <w:ilvl w:val="1"/>
          <w:numId w:val="15"/>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7" w:lineRule="exact"/>
        <w:rPr>
          <w:rFonts w:ascii="Arial" w:cs="Arial" w:eastAsia="Arial" w:hAnsi="Arial"/>
          <w:sz w:val="17"/>
          <w:szCs w:val="17"/>
          <w:color w:val="auto"/>
        </w:rPr>
      </w:pPr>
    </w:p>
    <w:p>
      <w:pPr>
        <w:ind w:left="1020" w:right="20" w:hanging="479"/>
        <w:spacing w:after="0" w:line="277" w:lineRule="auto"/>
        <w:tabs>
          <w:tab w:leader="none" w:pos="894" w:val="left"/>
        </w:tabs>
        <w:numPr>
          <w:ilvl w:val="1"/>
          <w:numId w:val="1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3740" w:type="dxa"/>
            <w:vAlign w:val="bottom"/>
          </w:tcPr>
          <w:p>
            <w:pPr>
              <w:ind w:left="20"/>
              <w:spacing w:after="0"/>
              <w:rPr>
                <w:sz w:val="20"/>
                <w:szCs w:val="20"/>
                <w:color w:val="auto"/>
              </w:rPr>
            </w:pPr>
            <w:r>
              <w:rPr>
                <w:rFonts w:ascii="Arial" w:cs="Arial" w:eastAsia="Arial" w:hAnsi="Arial"/>
                <w:sz w:val="18"/>
                <w:szCs w:val="18"/>
                <w:color w:val="auto"/>
              </w:rPr>
              <w:t>Date: November 3, 2023</w:t>
            </w:r>
          </w:p>
        </w:tc>
        <w:tc>
          <w:tcPr>
            <w:tcW w:w="2280" w:type="dxa"/>
            <w:vAlign w:val="bottom"/>
          </w:tcPr>
          <w:p>
            <w:pPr>
              <w:ind w:left="1960"/>
              <w:spacing w:after="0"/>
              <w:rPr>
                <w:sz w:val="20"/>
                <w:szCs w:val="20"/>
                <w:color w:val="auto"/>
              </w:rPr>
            </w:pPr>
            <w:r>
              <w:rPr>
                <w:rFonts w:ascii="Arial" w:cs="Arial" w:eastAsia="Arial" w:hAnsi="Arial"/>
                <w:sz w:val="18"/>
                <w:szCs w:val="18"/>
                <w:color w:val="auto"/>
              </w:rPr>
              <w:t>By:</w:t>
            </w:r>
          </w:p>
        </w:tc>
        <w:tc>
          <w:tcPr>
            <w:tcW w:w="52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/s/ Jedidiah Gold</w:t>
            </w:r>
          </w:p>
        </w:tc>
      </w:tr>
      <w:tr>
        <w:trPr>
          <w:trHeight w:val="208"/>
        </w:trPr>
        <w:tc>
          <w:tcPr>
            <w:tcW w:w="374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5220" w:type="dxa"/>
            <w:vAlign w:val="bottom"/>
          </w:tcPr>
          <w:p>
            <w:pPr>
              <w:jc w:val="center"/>
              <w:spacing w:after="0"/>
              <w:rPr>
                <w:sz w:val="20"/>
                <w:szCs w:val="20"/>
                <w:color w:val="auto"/>
              </w:rPr>
            </w:pPr>
            <w:r>
              <w:rPr>
                <w:rFonts w:ascii="Arial" w:cs="Arial" w:eastAsia="Arial" w:hAnsi="Arial"/>
                <w:sz w:val="18"/>
                <w:szCs w:val="18"/>
                <w:color w:val="auto"/>
                <w:w w:val="92"/>
              </w:rPr>
              <w:t>Jedidiah Gold</w:t>
            </w:r>
          </w:p>
        </w:tc>
      </w:tr>
      <w:tr>
        <w:trPr>
          <w:trHeight w:val="216"/>
        </w:trPr>
        <w:tc>
          <w:tcPr>
            <w:tcW w:w="374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5220" w:type="dxa"/>
            <w:vAlign w:val="bottom"/>
          </w:tcPr>
          <w:p>
            <w:pPr>
              <w:jc w:val="center"/>
              <w:spacing w:after="0"/>
              <w:rPr>
                <w:sz w:val="20"/>
                <w:szCs w:val="20"/>
                <w:color w:val="auto"/>
              </w:rPr>
            </w:pPr>
            <w:r>
              <w:rPr>
                <w:rFonts w:ascii="Arial" w:cs="Arial" w:eastAsia="Arial" w:hAnsi="Arial"/>
                <w:sz w:val="18"/>
                <w:szCs w:val="18"/>
                <w:color w:val="auto"/>
                <w:w w:val="93"/>
              </w:rPr>
              <w:t>Chief Financial Officer</w:t>
            </w:r>
          </w:p>
        </w:tc>
      </w:tr>
      <w:tr>
        <w:trPr>
          <w:trHeight w:val="230"/>
        </w:trPr>
        <w:tc>
          <w:tcPr>
            <w:tcW w:w="374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5220" w:type="dxa"/>
            <w:vAlign w:val="bottom"/>
          </w:tcPr>
          <w:p>
            <w:pPr>
              <w:jc w:val="center"/>
              <w:spacing w:after="0"/>
              <w:rPr>
                <w:sz w:val="20"/>
                <w:szCs w:val="20"/>
                <w:color w:val="auto"/>
              </w:rPr>
            </w:pPr>
            <w:r>
              <w:rPr>
                <w:rFonts w:ascii="Arial" w:cs="Arial" w:eastAsia="Arial" w:hAnsi="Arial"/>
                <w:sz w:val="18"/>
                <w:szCs w:val="18"/>
                <w:color w:val="auto"/>
                <w:w w:val="94"/>
              </w:rPr>
              <w:t>(Principal Financial Officer)</w:t>
            </w:r>
          </w:p>
        </w:tc>
      </w:tr>
      <w:tr>
        <w:trPr>
          <w:trHeight w:val="775"/>
        </w:trPr>
        <w:tc>
          <w:tcPr>
            <w:tcW w:w="3740" w:type="dxa"/>
            <w:vAlign w:val="bottom"/>
            <w:tcBorders>
              <w:bottom w:val="single" w:sz="8" w:color="9A9A9A"/>
            </w:tcBorders>
          </w:tcPr>
          <w:p>
            <w:pPr>
              <w:spacing w:after="0"/>
              <w:rPr>
                <w:sz w:val="24"/>
                <w:szCs w:val="24"/>
                <w:color w:val="auto"/>
              </w:rPr>
            </w:pPr>
          </w:p>
        </w:tc>
        <w:tc>
          <w:tcPr>
            <w:tcW w:w="2280" w:type="dxa"/>
            <w:vAlign w:val="bottom"/>
            <w:tcBorders>
              <w:bottom w:val="single" w:sz="8" w:color="9A9A9A"/>
            </w:tcBorders>
          </w:tcPr>
          <w:p>
            <w:pPr>
              <w:spacing w:after="0"/>
              <w:rPr>
                <w:sz w:val="24"/>
                <w:szCs w:val="24"/>
                <w:color w:val="auto"/>
              </w:rPr>
            </w:pPr>
          </w:p>
        </w:tc>
        <w:tc>
          <w:tcPr>
            <w:tcW w:w="52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4">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9" w:name="page40"/>
    <w:bookmarkEnd w:id="39"/>
    <w:p>
      <w:pPr>
        <w:jc w:val="right"/>
        <w:spacing w:after="0"/>
        <w:rPr>
          <w:sz w:val="20"/>
          <w:szCs w:val="20"/>
          <w:color w:val="auto"/>
        </w:rPr>
      </w:pPr>
      <w:r>
        <w:rPr>
          <w:rFonts w:ascii="Arial" w:cs="Arial" w:eastAsia="Arial" w:hAnsi="Arial"/>
          <w:sz w:val="18"/>
          <w:szCs w:val="18"/>
          <w:b w:val="1"/>
          <w:bCs w:val="1"/>
          <w:color w:val="auto"/>
        </w:rPr>
        <w:t>Exhibit 32.1</w:t>
      </w: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ind w:left="3360"/>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0" w:lineRule="exact"/>
        <w:rPr>
          <w:sz w:val="20"/>
          <w:szCs w:val="20"/>
          <w:color w:val="auto"/>
        </w:rPr>
      </w:pPr>
    </w:p>
    <w:p>
      <w:pPr>
        <w:ind w:right="140" w:firstLine="509"/>
        <w:spacing w:after="0" w:line="263" w:lineRule="auto"/>
        <w:rPr>
          <w:sz w:val="20"/>
          <w:szCs w:val="20"/>
          <w:color w:val="auto"/>
        </w:rPr>
      </w:pPr>
      <w:r>
        <w:rPr>
          <w:rFonts w:ascii="Arial" w:cs="Arial" w:eastAsia="Arial" w:hAnsi="Arial"/>
          <w:sz w:val="18"/>
          <w:szCs w:val="18"/>
          <w:color w:val="auto"/>
        </w:rPr>
        <w:t>In connection with the Quarterly Report of Mister Car Wash, Inc. (the “Company”) on Form 10-Q for the quarterly period ended September 30, 2023 as filed with the Securities and Exchange Commission on the date hereof (the “Report”), I certify, pursuant to 18 U.S.C. § 1350, as adopted pursuant to § 906 of the Sarbanes-Oxley Act of 2002, that:</w:t>
      </w:r>
    </w:p>
    <w:p>
      <w:pPr>
        <w:spacing w:after="0" w:line="183" w:lineRule="exact"/>
        <w:rPr>
          <w:sz w:val="20"/>
          <w:szCs w:val="20"/>
          <w:color w:val="auto"/>
        </w:rPr>
      </w:pPr>
    </w:p>
    <w:p>
      <w:pPr>
        <w:ind w:left="900" w:hanging="359"/>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4" w:lineRule="exact"/>
        <w:rPr>
          <w:rFonts w:ascii="Arial" w:cs="Arial" w:eastAsia="Arial" w:hAnsi="Arial"/>
          <w:sz w:val="18"/>
          <w:szCs w:val="18"/>
          <w:color w:val="auto"/>
        </w:rPr>
      </w:pPr>
    </w:p>
    <w:p>
      <w:pPr>
        <w:ind w:left="1020" w:right="760" w:hanging="479"/>
        <w:spacing w:after="0" w:line="277" w:lineRule="auto"/>
        <w:tabs>
          <w:tab w:leader="none" w:pos="894"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 of operations of the Company.</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3740" w:type="dxa"/>
            <w:vAlign w:val="bottom"/>
          </w:tcPr>
          <w:p>
            <w:pPr>
              <w:ind w:left="20"/>
              <w:spacing w:after="0"/>
              <w:rPr>
                <w:sz w:val="20"/>
                <w:szCs w:val="20"/>
                <w:color w:val="auto"/>
              </w:rPr>
            </w:pPr>
            <w:r>
              <w:rPr>
                <w:rFonts w:ascii="Arial" w:cs="Arial" w:eastAsia="Arial" w:hAnsi="Arial"/>
                <w:sz w:val="18"/>
                <w:szCs w:val="18"/>
                <w:color w:val="auto"/>
              </w:rPr>
              <w:t>Date: November 3, 2023</w:t>
            </w:r>
          </w:p>
        </w:tc>
        <w:tc>
          <w:tcPr>
            <w:tcW w:w="2280" w:type="dxa"/>
            <w:vAlign w:val="bottom"/>
          </w:tcPr>
          <w:p>
            <w:pPr>
              <w:ind w:left="1960"/>
              <w:spacing w:after="0"/>
              <w:rPr>
                <w:sz w:val="20"/>
                <w:szCs w:val="20"/>
                <w:color w:val="auto"/>
              </w:rPr>
            </w:pPr>
            <w:r>
              <w:rPr>
                <w:rFonts w:ascii="Arial" w:cs="Arial" w:eastAsia="Arial" w:hAnsi="Arial"/>
                <w:sz w:val="18"/>
                <w:szCs w:val="18"/>
                <w:color w:val="auto"/>
              </w:rPr>
              <w:t>By:</w:t>
            </w:r>
          </w:p>
        </w:tc>
        <w:tc>
          <w:tcPr>
            <w:tcW w:w="52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/s/ John Lai</w:t>
            </w:r>
          </w:p>
        </w:tc>
      </w:tr>
      <w:tr>
        <w:trPr>
          <w:trHeight w:val="208"/>
        </w:trPr>
        <w:tc>
          <w:tcPr>
            <w:tcW w:w="374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5220" w:type="dxa"/>
            <w:vAlign w:val="bottom"/>
          </w:tcPr>
          <w:p>
            <w:pPr>
              <w:jc w:val="center"/>
              <w:spacing w:after="0"/>
              <w:rPr>
                <w:sz w:val="20"/>
                <w:szCs w:val="20"/>
                <w:color w:val="auto"/>
              </w:rPr>
            </w:pPr>
            <w:r>
              <w:rPr>
                <w:rFonts w:ascii="Arial" w:cs="Arial" w:eastAsia="Arial" w:hAnsi="Arial"/>
                <w:sz w:val="18"/>
                <w:szCs w:val="18"/>
                <w:color w:val="auto"/>
                <w:w w:val="91"/>
              </w:rPr>
              <w:t>John Lai</w:t>
            </w:r>
          </w:p>
        </w:tc>
      </w:tr>
      <w:tr>
        <w:trPr>
          <w:trHeight w:val="216"/>
        </w:trPr>
        <w:tc>
          <w:tcPr>
            <w:tcW w:w="374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5220" w:type="dxa"/>
            <w:vAlign w:val="bottom"/>
          </w:tcPr>
          <w:p>
            <w:pPr>
              <w:jc w:val="center"/>
              <w:spacing w:after="0"/>
              <w:rPr>
                <w:sz w:val="20"/>
                <w:szCs w:val="20"/>
                <w:color w:val="auto"/>
              </w:rPr>
            </w:pPr>
            <w:r>
              <w:rPr>
                <w:rFonts w:ascii="Arial" w:cs="Arial" w:eastAsia="Arial" w:hAnsi="Arial"/>
                <w:sz w:val="18"/>
                <w:szCs w:val="18"/>
                <w:color w:val="auto"/>
                <w:w w:val="90"/>
              </w:rPr>
              <w:t>Chairperson, President and Chief Executive Officer</w:t>
            </w:r>
          </w:p>
        </w:tc>
      </w:tr>
      <w:tr>
        <w:trPr>
          <w:trHeight w:val="230"/>
        </w:trPr>
        <w:tc>
          <w:tcPr>
            <w:tcW w:w="374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5220" w:type="dxa"/>
            <w:vAlign w:val="bottom"/>
          </w:tcPr>
          <w:p>
            <w:pPr>
              <w:jc w:val="center"/>
              <w:spacing w:after="0"/>
              <w:rPr>
                <w:sz w:val="20"/>
                <w:szCs w:val="20"/>
                <w:color w:val="auto"/>
              </w:rPr>
            </w:pPr>
            <w:r>
              <w:rPr>
                <w:rFonts w:ascii="Arial" w:cs="Arial" w:eastAsia="Arial" w:hAnsi="Arial"/>
                <w:sz w:val="18"/>
                <w:szCs w:val="18"/>
                <w:color w:val="auto"/>
                <w:w w:val="94"/>
              </w:rPr>
              <w:t>(Principal Executive Officer)</w:t>
            </w:r>
          </w:p>
        </w:tc>
      </w:tr>
      <w:tr>
        <w:trPr>
          <w:trHeight w:val="775"/>
        </w:trPr>
        <w:tc>
          <w:tcPr>
            <w:tcW w:w="3740" w:type="dxa"/>
            <w:vAlign w:val="bottom"/>
            <w:tcBorders>
              <w:bottom w:val="single" w:sz="8" w:color="9A9A9A"/>
            </w:tcBorders>
          </w:tcPr>
          <w:p>
            <w:pPr>
              <w:spacing w:after="0"/>
              <w:rPr>
                <w:sz w:val="24"/>
                <w:szCs w:val="24"/>
                <w:color w:val="auto"/>
              </w:rPr>
            </w:pPr>
          </w:p>
        </w:tc>
        <w:tc>
          <w:tcPr>
            <w:tcW w:w="2280" w:type="dxa"/>
            <w:vAlign w:val="bottom"/>
            <w:tcBorders>
              <w:bottom w:val="single" w:sz="8" w:color="9A9A9A"/>
            </w:tcBorders>
          </w:tcPr>
          <w:p>
            <w:pPr>
              <w:spacing w:after="0"/>
              <w:rPr>
                <w:sz w:val="24"/>
                <w:szCs w:val="24"/>
                <w:color w:val="auto"/>
              </w:rPr>
            </w:pPr>
          </w:p>
        </w:tc>
        <w:tc>
          <w:tcPr>
            <w:tcW w:w="52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6">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0" w:name="page41"/>
    <w:bookmarkEnd w:id="40"/>
    <w:p>
      <w:pPr>
        <w:jc w:val="right"/>
        <w:spacing w:after="0"/>
        <w:rPr>
          <w:sz w:val="20"/>
          <w:szCs w:val="20"/>
          <w:color w:val="auto"/>
        </w:rPr>
      </w:pPr>
      <w:r>
        <w:rPr>
          <w:rFonts w:ascii="Arial" w:cs="Arial" w:eastAsia="Arial" w:hAnsi="Arial"/>
          <w:sz w:val="18"/>
          <w:szCs w:val="18"/>
          <w:b w:val="1"/>
          <w:bCs w:val="1"/>
          <w:color w:val="auto"/>
        </w:rPr>
        <w:t>Exhibit 32.2</w:t>
      </w: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ind w:left="3360"/>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0" w:lineRule="exact"/>
        <w:rPr>
          <w:sz w:val="20"/>
          <w:szCs w:val="20"/>
          <w:color w:val="auto"/>
        </w:rPr>
      </w:pPr>
    </w:p>
    <w:p>
      <w:pPr>
        <w:ind w:right="140" w:firstLine="509"/>
        <w:spacing w:after="0" w:line="263" w:lineRule="auto"/>
        <w:rPr>
          <w:sz w:val="20"/>
          <w:szCs w:val="20"/>
          <w:color w:val="auto"/>
        </w:rPr>
      </w:pPr>
      <w:r>
        <w:rPr>
          <w:rFonts w:ascii="Arial" w:cs="Arial" w:eastAsia="Arial" w:hAnsi="Arial"/>
          <w:sz w:val="18"/>
          <w:szCs w:val="18"/>
          <w:color w:val="auto"/>
        </w:rPr>
        <w:t>In connection with the Quarterly Report of Mister Car Wash, Inc. (the “Company”) on Form 10-Q for the quarterly period ended September 30, 2023 as filed with the Securities and Exchange Commission on the date hereof (the “Report”), I certify, pursuant to 18 U.S.C. § 1350, as adopted pursuant to § 906 of the Sarbanes-Oxley Act of 2002, that:</w:t>
      </w:r>
    </w:p>
    <w:p>
      <w:pPr>
        <w:spacing w:after="0" w:line="183" w:lineRule="exact"/>
        <w:rPr>
          <w:sz w:val="20"/>
          <w:szCs w:val="20"/>
          <w:color w:val="auto"/>
        </w:rPr>
      </w:pPr>
    </w:p>
    <w:p>
      <w:pPr>
        <w:ind w:left="900" w:hanging="359"/>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4" w:lineRule="exact"/>
        <w:rPr>
          <w:rFonts w:ascii="Arial" w:cs="Arial" w:eastAsia="Arial" w:hAnsi="Arial"/>
          <w:sz w:val="18"/>
          <w:szCs w:val="18"/>
          <w:color w:val="auto"/>
        </w:rPr>
      </w:pPr>
    </w:p>
    <w:p>
      <w:pPr>
        <w:ind w:left="1020" w:right="760" w:hanging="479"/>
        <w:spacing w:after="0" w:line="277" w:lineRule="auto"/>
        <w:tabs>
          <w:tab w:leader="none" w:pos="894"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 of operations of the Company.</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3740" w:type="dxa"/>
            <w:vAlign w:val="bottom"/>
          </w:tcPr>
          <w:p>
            <w:pPr>
              <w:ind w:left="20"/>
              <w:spacing w:after="0"/>
              <w:rPr>
                <w:sz w:val="20"/>
                <w:szCs w:val="20"/>
                <w:color w:val="auto"/>
              </w:rPr>
            </w:pPr>
            <w:r>
              <w:rPr>
                <w:rFonts w:ascii="Arial" w:cs="Arial" w:eastAsia="Arial" w:hAnsi="Arial"/>
                <w:sz w:val="18"/>
                <w:szCs w:val="18"/>
                <w:color w:val="auto"/>
              </w:rPr>
              <w:t>Date: November 3, 2023</w:t>
            </w:r>
          </w:p>
        </w:tc>
        <w:tc>
          <w:tcPr>
            <w:tcW w:w="2280" w:type="dxa"/>
            <w:vAlign w:val="bottom"/>
          </w:tcPr>
          <w:p>
            <w:pPr>
              <w:ind w:left="1960"/>
              <w:spacing w:after="0"/>
              <w:rPr>
                <w:sz w:val="20"/>
                <w:szCs w:val="20"/>
                <w:color w:val="auto"/>
              </w:rPr>
            </w:pPr>
            <w:r>
              <w:rPr>
                <w:rFonts w:ascii="Arial" w:cs="Arial" w:eastAsia="Arial" w:hAnsi="Arial"/>
                <w:sz w:val="18"/>
                <w:szCs w:val="18"/>
                <w:color w:val="auto"/>
              </w:rPr>
              <w:t>By:</w:t>
            </w:r>
          </w:p>
        </w:tc>
        <w:tc>
          <w:tcPr>
            <w:tcW w:w="52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/s/ Jedidiah Gold</w:t>
            </w:r>
          </w:p>
        </w:tc>
      </w:tr>
      <w:tr>
        <w:trPr>
          <w:trHeight w:val="208"/>
        </w:trPr>
        <w:tc>
          <w:tcPr>
            <w:tcW w:w="374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5220" w:type="dxa"/>
            <w:vAlign w:val="bottom"/>
          </w:tcPr>
          <w:p>
            <w:pPr>
              <w:jc w:val="center"/>
              <w:spacing w:after="0"/>
              <w:rPr>
                <w:sz w:val="20"/>
                <w:szCs w:val="20"/>
                <w:color w:val="auto"/>
              </w:rPr>
            </w:pPr>
            <w:r>
              <w:rPr>
                <w:rFonts w:ascii="Arial" w:cs="Arial" w:eastAsia="Arial" w:hAnsi="Arial"/>
                <w:sz w:val="18"/>
                <w:szCs w:val="18"/>
                <w:color w:val="auto"/>
                <w:w w:val="92"/>
              </w:rPr>
              <w:t>Jedidiah Gold</w:t>
            </w:r>
          </w:p>
        </w:tc>
      </w:tr>
      <w:tr>
        <w:trPr>
          <w:trHeight w:val="216"/>
        </w:trPr>
        <w:tc>
          <w:tcPr>
            <w:tcW w:w="374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5220" w:type="dxa"/>
            <w:vAlign w:val="bottom"/>
          </w:tcPr>
          <w:p>
            <w:pPr>
              <w:jc w:val="center"/>
              <w:spacing w:after="0"/>
              <w:rPr>
                <w:sz w:val="20"/>
                <w:szCs w:val="20"/>
                <w:color w:val="auto"/>
              </w:rPr>
            </w:pPr>
            <w:r>
              <w:rPr>
                <w:rFonts w:ascii="Arial" w:cs="Arial" w:eastAsia="Arial" w:hAnsi="Arial"/>
                <w:sz w:val="18"/>
                <w:szCs w:val="18"/>
                <w:color w:val="auto"/>
                <w:w w:val="93"/>
              </w:rPr>
              <w:t>Chief Financial Officer</w:t>
            </w:r>
          </w:p>
        </w:tc>
      </w:tr>
      <w:tr>
        <w:trPr>
          <w:trHeight w:val="230"/>
        </w:trPr>
        <w:tc>
          <w:tcPr>
            <w:tcW w:w="374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5220" w:type="dxa"/>
            <w:vAlign w:val="bottom"/>
          </w:tcPr>
          <w:p>
            <w:pPr>
              <w:jc w:val="center"/>
              <w:spacing w:after="0"/>
              <w:rPr>
                <w:sz w:val="20"/>
                <w:szCs w:val="20"/>
                <w:color w:val="auto"/>
              </w:rPr>
            </w:pPr>
            <w:r>
              <w:rPr>
                <w:rFonts w:ascii="Arial" w:cs="Arial" w:eastAsia="Arial" w:hAnsi="Arial"/>
                <w:sz w:val="18"/>
                <w:szCs w:val="18"/>
                <w:color w:val="auto"/>
                <w:w w:val="94"/>
              </w:rPr>
              <w:t>(Principal Financial Officer)</w:t>
            </w:r>
          </w:p>
        </w:tc>
      </w:tr>
      <w:tr>
        <w:trPr>
          <w:trHeight w:val="1207"/>
        </w:trPr>
        <w:tc>
          <w:tcPr>
            <w:tcW w:w="3740" w:type="dxa"/>
            <w:vAlign w:val="bottom"/>
            <w:tcBorders>
              <w:bottom w:val="single" w:sz="8" w:color="9A9A9A"/>
            </w:tcBorders>
          </w:tcPr>
          <w:p>
            <w:pPr>
              <w:spacing w:after="0"/>
              <w:rPr>
                <w:sz w:val="24"/>
                <w:szCs w:val="24"/>
                <w:color w:val="auto"/>
              </w:rPr>
            </w:pPr>
          </w:p>
        </w:tc>
        <w:tc>
          <w:tcPr>
            <w:tcW w:w="2280" w:type="dxa"/>
            <w:vAlign w:val="bottom"/>
            <w:tcBorders>
              <w:bottom w:val="single" w:sz="8" w:color="9A9A9A"/>
            </w:tcBorders>
          </w:tcPr>
          <w:p>
            <w:pPr>
              <w:spacing w:after="0"/>
              <w:rPr>
                <w:sz w:val="24"/>
                <w:szCs w:val="24"/>
                <w:color w:val="auto"/>
              </w:rPr>
            </w:pPr>
          </w:p>
        </w:tc>
        <w:tc>
          <w:tcPr>
            <w:tcW w:w="52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8">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1" w:name="page42"/>
    <w:bookmarkEnd w:id="41"/>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BD062C2"/>
    <w:multiLevelType w:val="hybridMultilevel"/>
    <w:lvl w:ilvl="0">
      <w:lvlJc w:val="left"/>
      <w:lvlText w:val="☒"/>
      <w:numFmt w:val="bullet"/>
      <w:start w:val="1"/>
    </w:lvl>
  </w:abstractNum>
  <w:abstractNum w:abstractNumId="1">
    <w:nsid w:val="12200854"/>
    <w:multiLevelType w:val="hybridMultilevel"/>
    <w:lvl w:ilvl="0">
      <w:lvlJc w:val="left"/>
      <w:lvlText w:val="☐"/>
      <w:numFmt w:val="bullet"/>
      <w:start w:val="1"/>
    </w:lvl>
  </w:abstractNum>
  <w:abstractNum w:abstractNumId="2">
    <w:nsid w:val="4DB127F8"/>
    <w:multiLevelType w:val="hybridMultilevel"/>
    <w:lvl w:ilvl="0">
      <w:lvlJc w:val="left"/>
      <w:lvlText w:val="•"/>
      <w:numFmt w:val="bullet"/>
      <w:start w:val="1"/>
    </w:lvl>
  </w:abstractNum>
  <w:abstractNum w:abstractNumId="3">
    <w:nsid w:val="216231B"/>
    <w:multiLevelType w:val="hybridMultilevel"/>
    <w:lvl w:ilvl="0">
      <w:lvlJc w:val="left"/>
      <w:lvlText w:val="(%1)"/>
      <w:numFmt w:val="decimal"/>
      <w:start w:val="1"/>
    </w:lvl>
  </w:abstractNum>
  <w:abstractNum w:abstractNumId="4">
    <w:nsid w:val="1F16E9E8"/>
    <w:multiLevelType w:val="hybridMultilevel"/>
    <w:lvl w:ilvl="0">
      <w:lvlJc w:val="left"/>
      <w:lvlText w:val="(%1)"/>
      <w:numFmt w:val="lowerRoman"/>
      <w:start w:val="1"/>
    </w:lvl>
  </w:abstractNum>
  <w:abstractNum w:abstractNumId="5">
    <w:nsid w:val="1190CDE7"/>
    <w:multiLevelType w:val="hybridMultilevel"/>
    <w:lvl w:ilvl="0">
      <w:lvlJc w:val="left"/>
      <w:lvlText w:val="•"/>
      <w:numFmt w:val="bullet"/>
      <w:start w:val="1"/>
    </w:lvl>
  </w:abstractNum>
  <w:abstractNum w:abstractNumId="6">
    <w:nsid w:val="66EF438D"/>
    <w:multiLevelType w:val="hybridMultilevel"/>
    <w:lvl w:ilvl="0">
      <w:lvlJc w:val="left"/>
      <w:lvlText w:val="(%1)"/>
      <w:numFmt w:val="decimal"/>
      <w:start w:val="1"/>
    </w:lvl>
  </w:abstractNum>
  <w:abstractNum w:abstractNumId="7">
    <w:nsid w:val="140E0F76"/>
    <w:multiLevelType w:val="hybridMultilevel"/>
    <w:lvl w:ilvl="0">
      <w:lvlJc w:val="left"/>
      <w:lvlText w:val="•"/>
      <w:numFmt w:val="bullet"/>
      <w:start w:val="1"/>
    </w:lvl>
  </w:abstractNum>
  <w:abstractNum w:abstractNumId="8">
    <w:nsid w:val="3352255A"/>
    <w:multiLevelType w:val="hybridMultilevel"/>
    <w:lvl w:ilvl="0">
      <w:lvlJc w:val="left"/>
      <w:lvlText w:val="•"/>
      <w:numFmt w:val="bullet"/>
      <w:start w:val="1"/>
    </w:lvl>
  </w:abstractNum>
  <w:abstractNum w:abstractNumId="9">
    <w:nsid w:val="109CF92E"/>
    <w:multiLevelType w:val="hybridMultilevel"/>
    <w:lvl w:ilvl="0">
      <w:lvlJc w:val="left"/>
      <w:lvlText w:val="(%1)"/>
      <w:numFmt w:val="lowerLetter"/>
      <w:start w:val="1"/>
    </w:lvl>
  </w:abstractNum>
  <w:abstractNum w:abstractNumId="10">
    <w:nsid w:val="DED7263"/>
    <w:multiLevelType w:val="hybridMultilevel"/>
    <w:lvl w:ilvl="0">
      <w:lvlJc w:val="left"/>
      <w:lvlText w:val="*"/>
      <w:numFmt w:val="bullet"/>
      <w:start w:val="1"/>
    </w:lvl>
  </w:abstractNum>
  <w:abstractNum w:abstractNumId="11">
    <w:nsid w:val="7FDCC233"/>
    <w:multiLevelType w:val="hybridMultilevel"/>
    <w:lvl w:ilvl="0">
      <w:lvlJc w:val="left"/>
      <w:lvlText w:val="+"/>
      <w:numFmt w:val="bullet"/>
      <w:start w:val="1"/>
    </w:lvl>
  </w:abstractNum>
  <w:abstractNum w:abstractNumId="12">
    <w:nsid w:val="1BEFD79F"/>
    <w:multiLevelType w:val="hybridMultilevel"/>
    <w:lvl w:ilvl="0">
      <w:lvlJc w:val="left"/>
      <w:lvlText w:val="^"/>
      <w:numFmt w:val="bullet"/>
      <w:start w:val="1"/>
    </w:lvl>
  </w:abstractNum>
  <w:abstractNum w:abstractNumId="13">
    <w:nsid w:val="41A7C4C9"/>
    <w:multiLevelType w:val="hybridMultilevel"/>
    <w:lvl w:ilvl="0">
      <w:lvlJc w:val="left"/>
      <w:lvlText w:val="%1."/>
      <w:numFmt w:val="decimal"/>
      <w:start w:val="1"/>
    </w:lvl>
    <w:lvl w:ilvl="1">
      <w:lvlJc w:val="left"/>
      <w:lvlText w:val="(%2)"/>
      <w:numFmt w:val="lowerLetter"/>
      <w:start w:val="1"/>
    </w:lvl>
  </w:abstractNum>
  <w:abstractNum w:abstractNumId="14">
    <w:nsid w:val="6B68079A"/>
    <w:multiLevelType w:val="hybridMultilevel"/>
    <w:lvl w:ilvl="0">
      <w:lvlJc w:val="left"/>
      <w:lvlText w:val="%1."/>
      <w:numFmt w:val="decimal"/>
      <w:start w:val="1"/>
    </w:lvl>
    <w:lvl w:ilvl="1">
      <w:lvlJc w:val="left"/>
      <w:lvlText w:val="(%2)"/>
      <w:numFmt w:val="lowerLetter"/>
      <w:start w:val="1"/>
    </w:lvl>
  </w:abstractNum>
  <w:abstractNum w:abstractNumId="15">
    <w:nsid w:val="4E6AFB66"/>
    <w:multiLevelType w:val="hybridMultilevel"/>
    <w:lvl w:ilvl="0">
      <w:lvlJc w:val="left"/>
      <w:lvlText w:val="(%1)"/>
      <w:numFmt w:val="decimal"/>
      <w:start w:val="1"/>
    </w:lvl>
  </w:abstractNum>
  <w:abstractNum w:abstractNumId="16">
    <w:nsid w:val="25E45D3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8" Type="http://schemas.openxmlformats.org/officeDocument/2006/relationships/image" Target="media/image248.png"/><Relationship Id="rId259" Type="http://schemas.openxmlformats.org/officeDocument/2006/relationships/image" Target="media/image249.png"/><Relationship Id="rId260" Type="http://schemas.openxmlformats.org/officeDocument/2006/relationships/image" Target="media/image250.png"/><Relationship Id="rId261" Type="http://schemas.openxmlformats.org/officeDocument/2006/relationships/image" Target="media/image251.png"/><Relationship Id="rId262" Type="http://schemas.openxmlformats.org/officeDocument/2006/relationships/image" Target="media/image252.png"/><Relationship Id="rId263" Type="http://schemas.openxmlformats.org/officeDocument/2006/relationships/image" Target="media/image253.png"/><Relationship Id="rId264" Type="http://schemas.openxmlformats.org/officeDocument/2006/relationships/image" Target="media/image254.png"/><Relationship Id="rId265" Type="http://schemas.openxmlformats.org/officeDocument/2006/relationships/image" Target="media/image255.png"/><Relationship Id="rId266" Type="http://schemas.openxmlformats.org/officeDocument/2006/relationships/image" Target="media/image256.png"/><Relationship Id="rId267" Type="http://schemas.openxmlformats.org/officeDocument/2006/relationships/image" Target="media/image257.png"/><Relationship Id="rId268" Type="http://schemas.openxmlformats.org/officeDocument/2006/relationships/image" Target="media/image258.png"/><Relationship Id="rId255" Type="http://schemas.openxmlformats.org/officeDocument/2006/relationships/hyperlink" Target="https://www.sec.gov/Archives/edgar/data/1853513/000095017022010967/mcw-ex3_2.htm" TargetMode="External"/><Relationship Id="rId256" Type="http://schemas.openxmlformats.org/officeDocument/2006/relationships/hyperlink" Target="https://www.sec.gov/Archives/edgar/data/1853513/000095017023025696/mcw-ex3_1.htm" TargetMode="External"/><Relationship Id="rId257" Type="http://schemas.openxmlformats.org/officeDocument/2006/relationships/hyperlink" Target="https://www.sec.gov/Archives/edgar/data/1853513/000119312521207571/d197509dex3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2023-11-03T07:10:55Z</dcterms:created>
  <dcterms:modified xsi:type="dcterms:W3CDTF">2023-11-03T07:10:55Z</dcterms:modified>
</cp:coreProperties>
</file>