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82550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ind w:left="4080" w:right="2840" w:hanging="4059"/>
        <w:spacing w:after="0" w:line="334" w:lineRule="auto"/>
        <w:tabs>
          <w:tab w:leader="none" w:pos="48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000" w:right="2500" w:hanging="3979"/>
        <w:spacing w:after="0" w:line="334" w:lineRule="auto"/>
        <w:tabs>
          <w:tab w:leader="none" w:pos="48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___to___</w:t>
      </w:r>
    </w:p>
    <w:p>
      <w:pPr>
        <w:ind w:left="43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Mister Car Wash,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tbl>
      <w:tblPr>
        <w:tblLayout w:type="fixed"/>
        <w:tblInd w:w="1200" w:type="dxa"/>
        <w:tblCellMar>
          <w:top w:w="0" w:type="dxa"/>
          <w:left w:w="0" w:type="dxa"/>
          <w:bottom w:w="0" w:type="dxa"/>
          <w:right w:w="0" w:type="dxa"/>
        </w:tblCellMar>
      </w:tblPr>
      <w:tr>
        <w:trPr>
          <w:trHeight w:val="198"/>
        </w:trPr>
        <w:tc>
          <w:tcPr>
            <w:tcW w:w="476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4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47-1393909</w:t>
            </w:r>
          </w:p>
        </w:tc>
      </w:tr>
      <w:tr>
        <w:trPr>
          <w:trHeight w:val="128"/>
        </w:trPr>
        <w:tc>
          <w:tcPr>
            <w:tcW w:w="4760" w:type="dxa"/>
            <w:vAlign w:val="bottom"/>
          </w:tcPr>
          <w:p>
            <w:pPr>
              <w:jc w:val="center"/>
              <w:ind w:right="1448"/>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440" w:type="dxa"/>
            <w:vAlign w:val="bottom"/>
          </w:tcPr>
          <w:p>
            <w:pPr>
              <w:jc w:val="center"/>
              <w:ind w:left="1428"/>
              <w:spacing w:after="0" w:line="128" w:lineRule="exact"/>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23"/>
        </w:trPr>
        <w:tc>
          <w:tcPr>
            <w:tcW w:w="4760" w:type="dxa"/>
            <w:vAlign w:val="bottom"/>
          </w:tcPr>
          <w:p>
            <w:pPr>
              <w:jc w:val="center"/>
              <w:ind w:right="1448"/>
              <w:spacing w:after="0" w:line="223" w:lineRule="exact"/>
              <w:rPr>
                <w:sz w:val="20"/>
                <w:szCs w:val="20"/>
                <w:color w:val="auto"/>
              </w:rPr>
            </w:pPr>
            <w:r>
              <w:rPr>
                <w:rFonts w:ascii="Times New Roman" w:cs="Times New Roman" w:eastAsia="Times New Roman" w:hAnsi="Times New Roman"/>
                <w:sz w:val="16"/>
                <w:szCs w:val="16"/>
                <w:b w:val="1"/>
                <w:bCs w:val="1"/>
                <w:color w:val="auto"/>
                <w:w w:val="99"/>
              </w:rPr>
              <w:t>222 E. 5</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Street, Tucson, Arizona</w:t>
            </w:r>
          </w:p>
        </w:tc>
        <w:tc>
          <w:tcPr>
            <w:tcW w:w="344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85705</w:t>
            </w:r>
          </w:p>
        </w:tc>
      </w:tr>
      <w:tr>
        <w:trPr>
          <w:trHeight w:val="166"/>
        </w:trPr>
        <w:tc>
          <w:tcPr>
            <w:tcW w:w="4760" w:type="dxa"/>
            <w:vAlign w:val="bottom"/>
          </w:tcPr>
          <w:p>
            <w:pPr>
              <w:jc w:val="center"/>
              <w:ind w:right="144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40" w:type="dxa"/>
            <w:vAlign w:val="bottom"/>
          </w:tcPr>
          <w:p>
            <w:pPr>
              <w:jc w:val="center"/>
              <w:ind w:left="14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MCW</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9" w:lineRule="exact"/>
        <w:rPr>
          <w:sz w:val="24"/>
          <w:szCs w:val="24"/>
          <w:color w:val="auto"/>
        </w:rPr>
      </w:pPr>
    </w:p>
    <w:p>
      <w:pPr>
        <w:ind w:right="348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9"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3"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New York Stock Exchange on June 30, 2024, was $675,479,256.</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13, 2025 was 324,053,935.</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Portions of our Proxy Statement for the 2025 Annual Meeting of Stockholders to be filed with the Securities and Exchange Commission within 120 days of our fiscal year ended December 31, 2024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 w:name="page2"/>
    <w:bookmarkEnd w:id="1"/>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8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MISTER CAR WASH, INC.</w:t>
            </w:r>
          </w:p>
        </w:tc>
        <w:tc>
          <w:tcPr>
            <w:tcW w:w="9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8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34"/>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FF0FC"/>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r>
      <w:tr>
        <w:trPr>
          <w:trHeight w:val="176"/>
        </w:trPr>
        <w:tc>
          <w:tcPr>
            <w:tcW w:w="20" w:type="dxa"/>
            <w:vAlign w:val="bottom"/>
            <w:shd w:val="clear" w:color="auto" w:fill="CFF0FC"/>
          </w:tcPr>
          <w:p>
            <w:pPr>
              <w:spacing w:after="0"/>
              <w:rPr>
                <w:sz w:val="15"/>
                <w:szCs w:val="15"/>
                <w:color w:val="auto"/>
              </w:rPr>
            </w:pPr>
          </w:p>
        </w:tc>
        <w:tc>
          <w:tcPr>
            <w:tcW w:w="1360" w:type="dxa"/>
            <w:vAlign w:val="bottom"/>
            <w:gridSpan w:val="1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PART I</w:t>
            </w: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1.</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gridSpan w:val="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1A.</w:t>
            </w:r>
          </w:p>
        </w:tc>
        <w:tc>
          <w:tcPr>
            <w:tcW w:w="380" w:type="dxa"/>
            <w:vAlign w:val="bottom"/>
            <w:shd w:val="clear" w:color="auto" w:fill="CFF0FC"/>
          </w:tcPr>
          <w:p>
            <w:pPr>
              <w:spacing w:after="0"/>
              <w:rPr>
                <w:sz w:val="15"/>
                <w:szCs w:val="15"/>
                <w:color w:val="auto"/>
              </w:rPr>
            </w:pP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w w:val="98"/>
              </w:rPr>
              <w:t>Item 1B.</w:t>
            </w:r>
          </w:p>
        </w:tc>
        <w:tc>
          <w:tcPr>
            <w:tcW w:w="380" w:type="dxa"/>
            <w:vAlign w:val="bottom"/>
          </w:tcPr>
          <w:p>
            <w:pPr>
              <w:spacing w:after="0"/>
              <w:rPr>
                <w:sz w:val="15"/>
                <w:szCs w:val="15"/>
                <w:color w:val="auto"/>
              </w:rPr>
            </w:pP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1C.</w:t>
            </w: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175"/>
        </w:trPr>
        <w:tc>
          <w:tcPr>
            <w:tcW w:w="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620" w:type="dxa"/>
            <w:vAlign w:val="bottom"/>
            <w:tcBorders>
              <w:top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2.</w:t>
            </w:r>
          </w:p>
        </w:tc>
        <w:tc>
          <w:tcPr>
            <w:tcW w:w="400" w:type="dxa"/>
            <w:vAlign w:val="bottom"/>
            <w:tcBorders>
              <w:top w:val="single" w:sz="8" w:color="CFF0FC"/>
            </w:tcBorders>
            <w:gridSpan w:val="2"/>
          </w:tcPr>
          <w:p>
            <w:pPr>
              <w:spacing w:after="0"/>
              <w:rPr>
                <w:sz w:val="15"/>
                <w:szCs w:val="15"/>
                <w:color w:val="auto"/>
              </w:rPr>
            </w:pPr>
          </w:p>
        </w:tc>
        <w:tc>
          <w:tcPr>
            <w:tcW w:w="102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tcBorders>
              <w:top w:val="single" w:sz="8" w:color="CFF0FC"/>
            </w:tcBorders>
            <w:gridSpan w:val="17"/>
          </w:tcPr>
          <w:p>
            <w:pPr>
              <w:spacing w:after="0"/>
              <w:rPr>
                <w:sz w:val="15"/>
                <w:szCs w:val="15"/>
                <w:color w:val="auto"/>
              </w:rPr>
            </w:pPr>
          </w:p>
        </w:tc>
        <w:tc>
          <w:tcPr>
            <w:tcW w:w="98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3.</w:t>
            </w: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4.</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175"/>
        </w:trPr>
        <w:tc>
          <w:tcPr>
            <w:tcW w:w="13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5.</w:t>
            </w: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6.</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7.</w:t>
            </w: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54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7A.</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8.</w:t>
            </w: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9.</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0000FF"/>
            </w:tcBorders>
            <w:gridSpan w:val="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6"/>
              </w:rPr>
              <w:t>Item 9A.</w:t>
            </w:r>
          </w:p>
        </w:tc>
        <w:tc>
          <w:tcPr>
            <w:tcW w:w="38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0000FF"/>
            </w:tcBorders>
            <w:gridSpan w:val="1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100" w:type="dxa"/>
            <w:vAlign w:val="bottom"/>
            <w:tcBorders>
              <w:bottom w:val="single" w:sz="8" w:color="CFF0FC"/>
            </w:tcBorders>
            <w:gridSpan w:val="13"/>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9B.</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9C.</w:t>
            </w: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r>
      <w:tr>
        <w:trPr>
          <w:trHeight w:val="175"/>
        </w:trPr>
        <w:tc>
          <w:tcPr>
            <w:tcW w:w="20" w:type="dxa"/>
            <w:vAlign w:val="bottom"/>
            <w:shd w:val="clear" w:color="auto" w:fill="CFF0FC"/>
          </w:tcPr>
          <w:p>
            <w:pPr>
              <w:spacing w:after="0"/>
              <w:rPr>
                <w:sz w:val="15"/>
                <w:szCs w:val="15"/>
                <w:color w:val="auto"/>
              </w:rPr>
            </w:pPr>
          </w:p>
        </w:tc>
        <w:tc>
          <w:tcPr>
            <w:tcW w:w="1360" w:type="dxa"/>
            <w:vAlign w:val="bottom"/>
            <w:gridSpan w:val="1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Item 10.</w:t>
            </w: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11.</w:t>
            </w:r>
          </w:p>
        </w:tc>
        <w:tc>
          <w:tcPr>
            <w:tcW w:w="420" w:type="dxa"/>
            <w:vAlign w:val="bottom"/>
            <w:gridSpan w:val="3"/>
            <w:shd w:val="clear" w:color="auto" w:fill="CFF0FC"/>
          </w:tcPr>
          <w:p>
            <w:pPr>
              <w:spacing w:after="0"/>
              <w:rPr>
                <w:sz w:val="15"/>
                <w:szCs w:val="15"/>
                <w:color w:val="auto"/>
              </w:rPr>
            </w:pP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12.</w:t>
            </w:r>
          </w:p>
        </w:tc>
        <w:tc>
          <w:tcPr>
            <w:tcW w:w="420" w:type="dxa"/>
            <w:vAlign w:val="bottom"/>
            <w:gridSpan w:val="3"/>
          </w:tcPr>
          <w:p>
            <w:pPr>
              <w:spacing w:after="0"/>
              <w:rPr>
                <w:sz w:val="15"/>
                <w:szCs w:val="15"/>
                <w:color w:val="auto"/>
              </w:rPr>
            </w:pPr>
          </w:p>
        </w:tc>
        <w:tc>
          <w:tcPr>
            <w:tcW w:w="88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13.</w:t>
            </w:r>
          </w:p>
        </w:tc>
        <w:tc>
          <w:tcPr>
            <w:tcW w:w="420" w:type="dxa"/>
            <w:vAlign w:val="bottom"/>
            <w:gridSpan w:val="3"/>
            <w:shd w:val="clear" w:color="auto" w:fill="CFF0FC"/>
          </w:tcPr>
          <w:p>
            <w:pPr>
              <w:spacing w:after="0"/>
              <w:rPr>
                <w:sz w:val="17"/>
                <w:szCs w:val="17"/>
                <w:color w:val="auto"/>
              </w:rPr>
            </w:pP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175"/>
        </w:trPr>
        <w:tc>
          <w:tcPr>
            <w:tcW w:w="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60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14.</w:t>
            </w:r>
          </w:p>
        </w:tc>
        <w:tc>
          <w:tcPr>
            <w:tcW w:w="420" w:type="dxa"/>
            <w:vAlign w:val="bottom"/>
            <w:tcBorders>
              <w:top w:val="single" w:sz="8" w:color="CFF0FC"/>
            </w:tcBorders>
            <w:gridSpan w:val="3"/>
          </w:tcPr>
          <w:p>
            <w:pPr>
              <w:spacing w:after="0"/>
              <w:rPr>
                <w:sz w:val="15"/>
                <w:szCs w:val="15"/>
                <w:color w:val="auto"/>
              </w:rPr>
            </w:pPr>
          </w:p>
        </w:tc>
        <w:tc>
          <w:tcPr>
            <w:tcW w:w="5460" w:type="dxa"/>
            <w:vAlign w:val="bottom"/>
            <w:tcBorders>
              <w:top w:val="single" w:sz="8" w:color="0000FF"/>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tcBorders>
              <w:top w:val="single" w:sz="8" w:color="CFF0FC"/>
            </w:tcBorders>
            <w:gridSpan w:val="4"/>
          </w:tcPr>
          <w:p>
            <w:pPr>
              <w:spacing w:after="0"/>
              <w:rPr>
                <w:sz w:val="15"/>
                <w:szCs w:val="15"/>
                <w:color w:val="auto"/>
              </w:rPr>
            </w:pPr>
          </w:p>
        </w:tc>
        <w:tc>
          <w:tcPr>
            <w:tcW w:w="98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175"/>
        </w:trPr>
        <w:tc>
          <w:tcPr>
            <w:tcW w:w="138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15.</w:t>
            </w:r>
          </w:p>
        </w:tc>
        <w:tc>
          <w:tcPr>
            <w:tcW w:w="420" w:type="dxa"/>
            <w:vAlign w:val="bottom"/>
            <w:gridSpan w:val="3"/>
            <w:shd w:val="clear" w:color="auto" w:fill="CFF0FC"/>
          </w:tcPr>
          <w:p>
            <w:pPr>
              <w:spacing w:after="0"/>
              <w:rPr>
                <w:sz w:val="17"/>
                <w:szCs w:val="17"/>
                <w:color w:val="auto"/>
              </w:rPr>
            </w:pP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176"/>
        </w:trPr>
        <w:tc>
          <w:tcPr>
            <w:tcW w:w="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60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w w:val="96"/>
              </w:rPr>
              <w:t>Item 16.</w:t>
            </w:r>
          </w:p>
        </w:tc>
        <w:tc>
          <w:tcPr>
            <w:tcW w:w="420" w:type="dxa"/>
            <w:vAlign w:val="bottom"/>
            <w:tcBorders>
              <w:top w:val="single" w:sz="8" w:color="CFF0FC"/>
            </w:tcBorders>
            <w:gridSpan w:val="3"/>
          </w:tcPr>
          <w:p>
            <w:pPr>
              <w:spacing w:after="0"/>
              <w:rPr>
                <w:sz w:val="15"/>
                <w:szCs w:val="15"/>
                <w:color w:val="auto"/>
              </w:rPr>
            </w:pPr>
          </w:p>
        </w:tc>
        <w:tc>
          <w:tcPr>
            <w:tcW w:w="2900" w:type="dxa"/>
            <w:vAlign w:val="bottom"/>
            <w:tcBorders>
              <w:top w:val="single" w:sz="8" w:color="0000FF"/>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Form 10-K Summary</w:t>
            </w:r>
          </w:p>
        </w:tc>
        <w:tc>
          <w:tcPr>
            <w:tcW w:w="5980" w:type="dxa"/>
            <w:vAlign w:val="bottom"/>
            <w:tcBorders>
              <w:top w:val="single" w:sz="8" w:color="CFF0FC"/>
            </w:tcBorders>
            <w:gridSpan w:val="9"/>
          </w:tcPr>
          <w:p>
            <w:pPr>
              <w:spacing w:after="0"/>
              <w:rPr>
                <w:sz w:val="15"/>
                <w:szCs w:val="15"/>
                <w:color w:val="auto"/>
              </w:rPr>
            </w:pPr>
          </w:p>
        </w:tc>
        <w:tc>
          <w:tcPr>
            <w:tcW w:w="98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80" w:type="dxa"/>
            <w:vAlign w:val="bottom"/>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9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Annual Report on Form 10-K, including without limitation, statements regarding our intent, belief and expectations about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or “should,” or the negative thereof or other variations thereon or comparable terminology. However, the absence of these words or similar terminology does not mean that a statement is not forward-looking.</w:t>
      </w:r>
    </w:p>
    <w:p>
      <w:pPr>
        <w:spacing w:after="0" w:line="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as guarantees of future performance. Although we believe that the expectations reflected in the forward-looking statements are reasonable, our actual results of operations, financial condition and liquidity, and the development of the industry in which we operate, may differ materially from the forward-looking statements included in this Annual Report on Form 10-K.</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Annual Report on Form 10-K speaks only as of the date hereof.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references to “Mister Car Wash,” “Mister,” the “Company,” “we,” “us,” and “our,” refer to Mister Car Wash, Inc. and its subsidiaries on a consolidated basis.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Founded in 1996, Mister Car Wash, Inc. is the largest national car wash brand, with 514 locations in 21 states, as of December 31, 2024. Primarily offering express exterior cleaning services, we provide the highest quality car wash, ensuring our customers a quick and convenient experience, which we call the “Mister Experience.” Through our advanced technology and dedication to exceptional customer experiences, we deliver a clean, dry and shiny car every time. In addition, with over 2.1 million members, we offer North America's largest monthly car wash subscription program, Unlimited Wash Club®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UWC”), as a flexible, quick and convenient option for customers to keep their cars clean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purpose is simple: Inspire People to Shine®. This starts with our own people. The Mister brand is deeply rooted in delivering quality service, fostering friendliness, and demonstrating a genuine commitment to the communities it serves, while prioritizing responsible environmental practices and resource management. We have a proven, people-first approach that is scalable and has enabled us to develop a passionate, world class team of professionals. We believe our purpose-driven culture is critical to our success.</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Mister Car Wash offers an affordable, feel-good experience, enjoyed by all who value a clean, dry and shiny car. As we grow, we are dedicated to putting our team members first to deliver a consistent, convenient and superior car wash experience at scale.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car wash locations consist of two formats: (a) Express Exterior Locations (450) and (b) Interior Cleaning Locations (64) as of December 31, 2024. All locations offer express exterior wash packages and have exterior-only lanes.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Express Exterior Locations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Express Exterior Locations offer self-drive exterior cleaning services and include free vacuums available for customer use. Customers can purchase a wash or sign-up for a UWC membership, either through sales kiosks or with the assistance of Mister team members, and remain in their vehicle through the tunnel and wash process. Customers have the option to use free self-serve vacuums at any time before or after their exterior wash.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Interior Cleaning Locations</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Interior Cleaning Locations offer exterior and interior cleaning services, including vacuuming by our team members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Customers can purchase a wash or sign-up for a UWC membership, either through sales kiosks or with the assistance of Mister team members, and either remain in their vehicle through the tunnel and wash process or wait in the lobby. Customers who purchase interior cleaning services have their vehicles vacuumed and cleaned by Mister team members.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serve a diverse mix of customers, including individual retail customers and UWC Members, which are comprised of both retail and corporate customers. Given the broad appeal of our services, we have a wide variety of customers spanning a broad set of demographics and income levels. The portfolio of cars serviced across our locations is diverse and represents a balance across new and old cars and across all vehicle price points. Our customer service, convenient locations and easy-to-manage membership programs have helped position our locations as the “go-to” destinations for our customers’ car wash needs.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the largest national car wash brand, we have developed extensive resources and capabilities over our 25-year history. Our scale, consistency of operations at every location and culture of continuous improvement have enabled us to deliver an efficient and high-quality customer experience with every wash.</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believe our key differentiators include our unified national brand, robust training and development programs which cultivate a talent pipeline, dedicated regional support infrastructure, sophisticated technology and proprietary product formulation, and strategic market density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network effect”.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Growth Drivers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UWC Members to Drive Predictable Earnings Growth and Higher Annual Customer Spend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there is an opportunity to continue to grow UWC penetration in core, acquired and greenfield locations. In 2024, we increased overall UWC penetration from 71% to 74% of total wash sales. We estimate that the average UWC Member spends more than four times the retail car wash consumer, providing us an opportunity to increase our sales as penetration increases. At both greenfield and acquired locations, we have developed processes that have produced continued growth of UWC memberships.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Upon Our Success in Opening Greenfield Locations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2024, we successfully opened 39 greenfield locations and expect to primarily drive our future location growth through greenfield openings. We have developed a rigorous process for opening new greenfield locations, from site selection to post-opening local marketing initiatives, which has driven our greenfield performance consistently over time. We plan to continue investing in this part of our growth strategy and have a development pipeline for future locations in existing and adjacent markets nationwide.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Opportunistic Acquisitions in Highly Fragmented Industry</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will continue to employ a disciplined approach to acquisitions, carefully selecting locations that meet our criteria for a potential Mister Car Wash site. We have a proven track record of driving location growth through acquisitions, as well as a stringent process for integrating and upgrading acquired locations that has led to the successful integration of over 100 acquisitions during our history.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Scale Efficiencies and Robust Free Cash Flow Generation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will continue to utilize our scale to drive operating leverage as our business grows. As we open and acquire new locations and maximize throughput at our existing locations through our ongoing focus on operational excellence, we believe we will have an opportunity to generate meaningful efficiencies of scale.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lead with a unified national brand across our entire footprint. To acquire, convert and retain our customers at a local level, we use a mix of traditional and digital marketing tactics and channels to emphasize our convenient, easy, and high-quality wash experience.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car wash industry is highly fragmented, and we compete with a variety of operators including national, regional and local independent car wash operators, as well as gasoline and convenience retailers that also offer car washes. We believe our scale enables us to compete effectively due to our convenience, quality, price, and service.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Products and Advanced Technology</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research and development (“R&amp;D”) team is responsible for car wash processes, equipment and technology improvements. The team tests new products, formulations, processes and ideas in select markets before rolling out upgrades and changes across the broader platform. Through continuous R&amp;D, Mister Car Wash has formulated a streamlined wash process that factors in conveyor length, line speed, water quality, mechanical equipment, ambient temperature and soil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Distribution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maintain long-term relationships with our key vendors. We believe our scale and large volume purchases provide us leverage in securing competitive pricing. Our key purchases include car wash equipment and parts and wash chemicals.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While we maintain a limited stock of parts and supplies for repairs and maintenance, most equipment, chemicals, and other supplies are purchased on an as-needed basis, which generally are shipped directly from the vendors to our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locations. We have deep industry knowledge and maintain relationships with previous and prospective vendors to quickly address issues that may arise with our current supply chain.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2018, we entered into an agreement with a supplier of a comprehensive suite of hardware, software, and management systems for our car wash locations which better tracks our membership and customer loyalty programs, streamlines our operations and enhances our ability to track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Trademarks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own intellectual property, including patents, patent applications, technology, trade secrets, know-how and trademarks in the United States and internationally. As of December 31, 2024, we had approximately 48 trademark registrations and applications, including registrations for “Mister Car Wash,” “Hotshine,” “Mister Hotshine” and “Unlimited Wash Club,” and held two U.S. patents and one pending U.S. patent application. Our issued patents are expected to expire between 2025 and 2040. We have also registered the Internet domain name: “mistercarwash.com”.</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and, therefore, we devote resources to the protection of our trademarks and proprietary rights. However, we believe that no single patent, trademark or intellectual property asset is material in relation to our business as a whole.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our presence in certain markets that are subject to seasonal weather patterns, some of our business is seasonal. However, our 21-state geographic diversity typically limits the weather impacts of a specific region on overall performance. Additionally, we do experience a majority of sales of UWC memberships during the first six months of the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centered around our purpose of Inspiring People to Shine, and that starts with our team members. To recruit and retain the most qualified team members in the industry, we focus on competitive wages and benefit packages, as well as offering robust training and development opportunities. We invest in the training and development of our team members through our specialized programs and our MisterLearn training platform that allows us to develop and promote entry-level team members to leadership roles. We believe engaged employees are more productive, are more likely to have a positive impact on other employees and are more likely to deliver memorable experiences to our customers. Through these efforts, we expect to build strength in our bench of future leaders while increasing retention and diversity, as well as ensuring our wash locations run as efficiently as possible.</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approximately 6,640 team members, which is a 1% increase from the prior year. This increase was primarily due to adding 38 net new locations throughout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Matters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including those governing consumer protection, environmental protection, data privacy, labor and employment, tax, and other laws and regulations.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not aware of any federal, state, local, or other laws or regulations that are likely to materially alter or impact our revenues, cash flow, or competitive positions or result in any material capital expenditures. However, we cannot predict the effect on our operations of any pending or future legislation or regulations or the future interpretation of any existing laws, including newly enacted laws, that may impact us.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further discussion, see Part I, Item 1A. “Risk Factors – Risks Related to Government Regulation – Our locations are subject to certain environmental laws and regulations.”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www.mistercarwash.com</w:t>
      </w:r>
      <w:r>
        <w:rPr>
          <w:rFonts w:ascii="Times New Roman" w:cs="Times New Roman" w:eastAsia="Times New Roman" w:hAnsi="Times New Roman"/>
          <w:sz w:val="18"/>
          <w:szCs w:val="18"/>
          <w:color w:val="auto"/>
        </w:rPr>
        <w:t>. We post, and stockholders may access without charge, our recent filings and any amendments to our Annual Reports on Form 10-K, Quarterly Reports on Form 10-Q, Current Reports on Form 8-K and our Proxy Statement as soon as reasonably practicable after such reports are filed with the Securities and Exchange Commission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SEC”).</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 w:cs="Times New Roman" w:eastAsia="Times New Roman" w:hAnsi="Times New Roman"/>
          <w:sz w:val="18"/>
          <w:szCs w:val="18"/>
          <w:i w:val="1"/>
          <w:iCs w:val="1"/>
          <w:color w:val="auto"/>
        </w:rPr>
        <w:t>https://ir.mistercarwash.com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reference to the Company's or other websites herein does not constitute incorporation by reference of the information contained on or available through our website, and you should not consider such information to be a part of this Form 10-K.</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and information statements, and other information regarding issuers that file electronically with the SEC, including us, at http://www.sec.gov.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all of the other information included in this Annual Report on Form 10-K, which could materially affect our business, financial condition and results of operations. In that case, the trading price of our common stock could decline, and you may lose all or part of your investment. The risks described below are not the only risks we face. Additional risks not currently known to us or that we currently deem to be immaterial also may materially adversely affect our business, financial condition and results of operations in future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sustain or increase demand for our UWC subscription program, which could adversely affect our business, financial condition and results of operations and rate of growth.</w:t>
      </w:r>
    </w:p>
    <w:p>
      <w:pPr>
        <w:spacing w:after="0" w:line="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Because our UWC subscription program accounted for 74% of our total wash sales in 2024, and we estimate that the average UWC Member spends more than four times than the average retail car wash consumer, our continued business and revenue growth is largely dependent on our ability to continue to attract and retain UWC Members.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UWC Members can cancel their membership at any time and may decide to cancel or forego memberships due to any number of reasons, including increased prices for UWC membership or for our services, quality issues with our services, harm to our reputation or brand, seasonal usage, or individuals’ personal economic pressures, as well as potential increasing governmental regulation of automatically renewing subscription programs, and such cancellations may contribute to a net decline, plateau, or continued slower growth plateau in UWC Members, resulting in a potential material adverse effect on revenue and our growth strategies.</w:t>
      </w:r>
    </w:p>
    <w:p>
      <w:pPr>
        <w:spacing w:after="0" w:line="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open and operate new locations in a timely and cost-effective manner or fail to successfully enter new markets, our financial performance could be materially and adversely affected.</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growth strategy depends on growing our location base, primarily through greenfield expansion and acquisitions, in existing and new geographic regions and operating our new locations successfully. Our ability to execute our growth strategy on favorable terms and successfully operate new locations may be exposed to significant risks, including, but not limited to, the following:</w:t>
      </w:r>
    </w:p>
    <w:p>
      <w:pPr>
        <w:spacing w:after="0" w:line="6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acquire a desired location or property because of competition from other investors with significant capital;</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acquire a desired location or property, competition from other potential acquirers may significantly increase the purchase price or result in other less favorable terms;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complete an acquisition because we cannot secure financing on favorable terms or at all;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spend more than budgeted amounts to make necessary improvements or renovations to acquired locations;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quickly and efficiently integrate acquired locations into our existing operations;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properties may be subject to tax reassessment, which may result in higher-than-expected property tax payments;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staff at acquired locations or inability to attract, retain and motivate staff necessary for our expanded operations;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locations or greenfield expansions in regions where we have not historically conducted business may subject us to new operational risks, laws, regulations, staff expectations, customs, and practices; and</w:t>
      </w:r>
    </w:p>
    <w:p>
      <w:pPr>
        <w:spacing w:after="0" w:line="53"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properties subject to liabilities and without any recourse, or with only limited recourse, with respect to unknown liabilities, such as liabilities for the remediation of undisclosed environmental contamination; and claims for indemnification by general partners, directors, officers, and others indemnified by the former owners of the properties.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realization of any of the above risks could significantly and adversely affect our ability to execute our growth strategy, meet our financial expectations, our financial condition, results of operations, and cash flows, the market price of our common stock, and our ability to satisfy our debt service obligations. We cannot assure you that our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strategy will be successful, or that such expansion will be completed in the time frames or at the costs we estimate.</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there can be no assurance that newly opened or acquired locations will achieve sales or profitability levels comparable to those of our existing locations in the time periods estimated by us, or at all. In instances where new or acquired locations are geographically proximate to existing locations, such locations may also adversely impact the comparable store sales growth of our existing car wash locations. Changes in areas around our locations or to the adjacent streets that reduce car traffic or otherwise render the locations unsuitable, could cause our sales to decline or otherwise be less than expected. If our locations fail to achieve, or are unable to sustain, acceptable total sales and profitability levels, our business may be materially and adversely affected, and we may incur significant costs associated with the early closure of such locations. Our plans to accelerate the growth of our location base may increase this risk.</w:t>
      </w:r>
    </w:p>
    <w:p>
      <w:pPr>
        <w:spacing w:after="0" w:line="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enhance our reputation and brand recognition, which are key contributors to successful implementation of our growth strategies.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are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materially and adversely affected.</w:t>
      </w:r>
    </w:p>
    <w:p>
      <w:pPr>
        <w:spacing w:after="0" w:line="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addition, any factor that diminishes our reputation or that of our management, including failing to meet the expectations of our customers, could make it substantially more difficult for us to attract new customers. The marked increase in the use of social media platforms that provide individuals with access to a broad audience of consumers and other interested persons results in the opportunity for dissemination of information, including inaccurate information.</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Information posted may be adverse to our interests or inaccurate, each of which may harm our reputation and brand recognition, prospects or business. The harm may be immediate without affording us an opportunity for redress or correction.</w:t>
      </w:r>
    </w:p>
    <w:p>
      <w:pPr>
        <w:spacing w:after="0" w:line="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do not successfully maintain and enhance our reputation and brand recognition with our customers, our business may not grow and we could lose our relationships with customers, which would materially and adversely affect our business, results of operations and financial condition.</w:t>
      </w:r>
    </w:p>
    <w:p>
      <w:pPr>
        <w:spacing w:after="0" w:line="5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against other companies and operators in our industry, we may lose customers and market share and our revenues may decline.</w:t>
      </w:r>
    </w:p>
    <w:p>
      <w:pPr>
        <w:spacing w:after="0" w:line="5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car wash industry is fragmented, and we compete with a variety of operators. We believe customers consider a number of competitive factors, including name and brand recognition, location, price, product availability and customer service.</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our reputation is critical to our continued success. If we fail to maintain high standards for, or receive negative publicity relating to, customer service or quality, as well as our integrity and reputation, we could lose customers to our competition.</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Competition may also require us to reduce our prices, alter current service offerings, or change some of our current operating strategies. If we do not have the resources, expertise and consistent execution, or otherwise fail to develop successful strategies, to address these potential competitive disadvantages, we may lose customers and market share, and our business and results of operations could be adversely affected.</w:t>
      </w:r>
    </w:p>
    <w:p>
      <w:pPr>
        <w:spacing w:after="0" w:line="6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conditions, including inflation and supply chain disruptions, and other increased operating costs could adversely affect our operations.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 global economic downturns and macroeconomic trends, including heightened inflation, capital market volatility, interest rate fluctuations, tariffs and economic slowdown or recession, may result in unfavorable conditions that could negatively affect demand for our services and exacerbate some of the other risks that affect our business, financial condition and results of operations. Domestic markets experienced significant inflationary pressures in fiscal year 2024. The U.S. Federal Reserve's approach to interest rates or other government actions taken to reduce inflation could also result in recessionary pressures. Additionally, these risks which are beyond our control, could adversely affect operating costs and administrative expenses such as wages, benefits, supplies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inventory costs, legal claims, insurance costs and borrowing costs. Any such increase could reduce our sales and profit margins if we do not choose, or are unable, to pass the increased costs to our customers.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Furthermore, consumer purchases of car washes decline during periods when economic or market conditions are unstable or weak. Reduced consumer confidence and spending cutbacks may result in reduced demand for our services, which could result in lost sales. Reduced demand also may require increased selling and promotional expenses, thereby impacting our profitability. Prolonged or pervasive economic downturns could slow the pace of new greenfield openings, reduce comparable sales or cause us to close certain locations, which could have a material negative impact on our financial performance.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and regulations related to credit card and debit card payments we accept.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customers pay for our services using a variety of different payment methods, including credit and debit cards, gift cards, and prepaid cards. We rely on internal systems and those of third parties to process payment. Acceptance and processing of these payment methods are subject to certain rules, regulations, and industry standards, including data storage requirements, additional authentication requirements for certain payment methods, and require payment of interchange and other fees. For credit card and debit card payments, we pay interchange and other fees, which may increase over time. An increase in those fees would increase our operating expenses, and potentially require an offsetting increase in membership prices, which could cause us to lose UWC Members, either of which could harm our operating results.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or any of our processing vendors have problems with our billing software or the billing software malfunctions, it could have an adverse effect on our member satisfaction and could cause one or more of the major credit card companies to disallow our continued use of their payment products. In addition, if our billing software fails to work properly and, as a result, we do not automatically charge our UWC Members’ credit cards or debit cards on a timely basis or at all, we could lose membership revenue, which could materially and adversely affect our operating results.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fail to adequately control fraudulent credit card and debit card transactions, we may face civil liability, diminished public perception of our security measures and significantly higher credit card and debit card related costs, each of which could adversely affect our business, financial condition and results of operations. We are subject to a number of federal regulations relating to the use of debit and credit cards, such as the Electronic Funds Act and the Truth in Lending Act of 1968, which provide guidelines and parameters for payment processing on debit cards and credit cards, respectively, and certain state regulations relating to automatic renewal, including, among others, the California Business and Professional Code Section 17601-17606, as amended, which provides requirements we must follow for the automatic renewal of subscription fees such as those charged to our UWC Members. We may also face legal liability or reputational harm for any failure, or any allegation that we have failed, to comply with such consumer protection laws relating to consumer debit or credit transactions. We also are subject to the Payment Card Industry Data Security Standard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PCI DSS”), issued by the PCI Council and to the American National Standards Institute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ANSI”) data encryption standards and payment network security operating guidelines, as well as the Fair and Accurate Credit Transactions Act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FACTA”). Failure to comply with these guidelines or standards may result in the imposition of financial penalties or the allocation by debit and credit card companies of the costs of fraudulent charges to us.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material interruptions or failures in our payment-related systems could have a material adverse effect on our business, results of operations and financial condition. If we are unable to comply with the security standards established by banks and the payment card industry, we may be subject to fines, restrictions and expulsion from card acceptance programs, which could materially and adversely affect our retail operations and the UWC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most of our car wash equipment and certain supplies.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most of the car wash equipment and certain other supplies we use in our operations. Our ability to secure such equipment and supplies from alternative sources as needed may be time-consuming or expensive or may cause a temporary disruption in our supply chain. We do not have a supplier contract with our main supplier of car wash tunnel equipment, and our orders are based on purchase orders. As such, we are subject to the risk that a supplier will not continue to provide us with the required car wash tunnel equipment. We also do not carry a significant inventory of such equipment. Shortages or interruptions in the supply of car wash equipment and other supplies could occur for reasons within or beyond the control of us and the supplier. Decreased fuel supplies are anticipated to increase fuel prices, which may adversely impact our transportation costs. Any shortage or interruption to our supply chain could reduce our sales and profit margins, which in turn may materially and adversely affect our business and results of operations.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locations may experience difficulty hiring and retaining qualified personnel, resulting in higher labor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operation of our locations requires both entry-level and skilled team members, and trained personnel continue to be in high demand and short supply at competitive compensation levels in some areas, which is likely to result in increased labor costs. Accordingly, we may experience increased difficulty hiring and maintaining such qualified personnel. In addition, the formation of unions may increase the operating expenses of our locations. Our ability to meet our labor needs is subject to many factors such as prevailing wage rates, minimum wage legislation, unemployment levels, and actions by our competitors with respect to compensation levels and incentive plans. Any such future difficulties could result in a decline in customer service negatively impacting sales at our locations, which could in turn materially and adversely affect our business, results of operations and financial condition.</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of our key personnel have worked for us for a significant amount of time or were recruited by us specifically due to their experience. Our success depends in part upon the reputation and influence within the industry of our senior managers. Each of our executive officers and other key employees may terminate his or her relationship with us at any time and the loss of the services of one or a combination of our senior executives or members of our senior management team may significantly delay or prevent the achievement of our business or development objectives and could materially harm our business. Further, contractual obligations related to confidentiality and noncompetition may be ineffective or unenforceable, and departing employees may share our proprietary information with competitors in ways that could adversely impact us.</w:t>
      </w:r>
    </w:p>
    <w:p>
      <w:pPr>
        <w:spacing w:after="0" w:line="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cash from our operating activities to make lease payments for the land and buildings where many of our locations are situated, which may strain our cash flow and expose us to potential liabilities and losses.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lease the land and buildings for a significant number of our store locations. The terms of the leases and subleases vary in length, with primary terms (i.e., before consideration of option periods) expiring on various dates. In addition, we may not be able to terminate a particular lease if or when we would like to do so, which could prevent us from closing or relocating certain underperforming locations. Our obligations to pay rent are generally non-cancelable, even if the location operated at the leased or subleased location is closed. Thus, if we decide to close locations, we generally are required to continue paying rent and operating expenses for the balance of the lease term. The performance of any of these obligations may be expensive. We may not assign or sublet the leased locations without consent of the landlord. When we assign or sublease vacated locations, we may remain liable on the lease obligations if the assignee or sub-lessee does not perform. Accordingly, we are subject to the risks associated with leasing locations which can have a material adverse effect on us.</w:t>
      </w:r>
    </w:p>
    <w:p>
      <w:pPr>
        <w:spacing w:after="0" w:line="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leases expire, we may be unable to negotiate renewals on commercially acceptable terms or at all, which could cause us to close locations in desirable locations or otherwise negatively affect profits, which in turn could materially and adversely affect our business and results of operations.</w:t>
      </w:r>
    </w:p>
    <w:p>
      <w:pPr>
        <w:spacing w:after="0" w:line="2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depend on net cash provided by operating activities to pay our rent and other lease expenses and to fulfill our other cash needs. If our business does not generate sufficient cash provided by operating activities, and sufficient funds are not otherwise available to us from borrowings under our First Lien Term Loan and Revolving Commitment or from other sources, we may not be able to service our lease expenses, grow our business, respond to competitive challenges or fund our other liquidity and capital needs, which would harm our business.</w:t>
      </w:r>
    </w:p>
    <w:p>
      <w:pPr>
        <w:spacing w:after="0" w:line="6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income taxation at the federal and state level due to the scope of our operations. We have also recorded non-income tax-based liabilities such as those related to sales, property, payroll and withholding tax. We have structured our operations in a manner designed to comply with current prevailing laws but the Internal Revenue Service, state and/or local taxing authorities could seek to impose incremental or new taxes on our business operations. In addition, changes in federal and state tax rates, laws and regulations may result in additional income and non-income tax liabilities being imposed on us and have an adverse effect on our effective tax rate, results of operations and financial condition. Lastly, changes in the scope of our operations, including expanding into new geographies, could increase our income tax liabilities and have an adverse impact on our effective tax rate.</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competitive position.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2024, we had $920.4 million of indebtedness outstanding pursuant to an amended and restated first lien credit agreement entered into on May 14, 2019, as amended, (“First Lien Term Loan”).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capital needs. To the extent we are required to use our cash flow from operations or the proceeds of any future financing to service our debt instead of funding working capital, capital expenditures, or acquisitions, we will be less able to plan for, or react to, changes in our business, industry and in the economy generally. This places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 make it more difficult for us to obtain additional capital and to pursue business opportunities, including potential acquisitions.</w:t>
      </w:r>
    </w:p>
    <w:p>
      <w:pPr>
        <w:spacing w:after="0" w:line="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Facilities impose certain operating and financial restrictions on us that may impair our ability to adapt to changing competitive or economic conditions.</w:t>
      </w:r>
    </w:p>
    <w:p>
      <w:pPr>
        <w:spacing w:after="0" w:line="2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agreements governing our Credit Facilities contain, and any agreements evidencing or governing other future debt may contain, certain restrictive covenants that limit our ability, among other things, to engage in certain activities that are in our long-term best interests, including our ability to:</w:t>
      </w:r>
    </w:p>
    <w:p>
      <w:pPr>
        <w:spacing w:after="0" w:line="54"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additional debt or amend our debt and other material agreements;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disqualified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dividends or distributions and redeem, repurchase or retire equity interests;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to pay dividends or grant liens securing the obligations under the credit agreements;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governing documents;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business activities or alter the business conducted by us and our restricted subsidiaries;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consolidations and asset sales.</w:t>
      </w:r>
    </w:p>
    <w:p>
      <w:pPr>
        <w:spacing w:after="0" w:line="11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the First Lien Term Loan contains a springing maximum first lien net leverage ratio financial covenant. Our ability to meet this requirement can be affected by events beyond our control, and we may not be able to satisfy such financial covenants. Our ability to comply with these covenants and restrictions may be affected by events and factors beyond our control. Our failure to comply with any of these covenants or restrictions could result in an event of default under our Credit Facilities. An event of default would permit the lending banks under the facility to take certain actions, including terminating all outstanding commitments and declaring all amounts outstanding under our credit facility to be immediately due and payable, including all outstanding borrowings, accrued and unpaid interest thereon, and all other amounts owing or payable with respect to such borrowings and any terminated commitments.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lenders would have the right to proceed against the collateral we granted to them, which includes substantially all of our assets.</w:t>
      </w:r>
    </w:p>
    <w:p>
      <w:pPr>
        <w:spacing w:after="0" w:line="11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we may need to incur additional indebtedness or seek capital through new equity or debt financings, which sources of additional capital may not be available to us on acceptable terms or at all.</w:t>
      </w:r>
    </w:p>
    <w:p>
      <w:pPr>
        <w:spacing w:after="0" w:line="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intend to continue to make significant investments to support our business growth, respond to business challenges or opportunities, develop new services, enhance our existing services and operating infrastructure and potentially acquire complementary businesses and assets. For the year ended December 31, 2024, our net cash provided by operating activities was $248.6 million. As of December 31, 2024, we had $67.5 million of cash and cash equivalents, which were held for working capital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the need to:</w:t>
      </w:r>
    </w:p>
    <w:p>
      <w:pPr>
        <w:spacing w:after="0" w:line="11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new greenfield locations;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infrastructure and our existing services;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assets or services;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availability of sale-leaseback arrangements when we engage in an acquisition;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or other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and adverse effect on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our subsidiaries for cash to fund operations and expenses.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deterioration of the earnings from, or other available assets of, our subsidiaries for any reason could impair their ability to make distributions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and changes in such laws and regulations, or failure to comply with existing or future laws and regulations, could adversely affect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and frequently changing federal, state and local laws and regulations. We routinely incur significant costs in complying with these regulations. New or existing laws, regulations and policies, liabilities arising thereunder and the related interpretations and enforcement practices, particularly those dealing with minimum wages, paid sick time, workplace safety, employee and public health emergencies, advertising and marketing, consumer protection, recurring debit and credit card charges, information security, data privacy, environmental protection including recycling, waste, water usage, zoning and land use, taxation and public company compliance, may result in significant added expenses or may require extensive system and operating changes that may be difficult to implement and/or could materially increase our cost of doing business. In addition, we are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subject to environmental laws pursuant to which we could be strictly liable for any contamination at our current or former locations, or at third-party waste disposal sites, regardless of our knowledge of or responsibility for such contamination.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locations are subject to certain environmental laws and regulations.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current and former car wash operations and quick lube businesses, as well as our former motor fuel dispensing, are governed by stringent federal, state and local laws and regulations, including environmental regulations of the handling, storage, transportation, import/export, recycling, or disposing of various new and used products the generation, storage and disposal of solid and hazardous wastes, and the release of materials into the environment. Additionally, in the course of our operations, we may generate some amounts of material that may be regulated as hazardous substances.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these laws and regulations, or future changes thereto, we may be required to obtain and maintain approvals or permits for the discharge of wastewater or storm water and are required to develop and implement spill prevention, control and countermeasure plans in connection with on-site storage of significant quantities of motor fuel. We believe that we maintain all required discharge permits necessary to conduct our operations, and further believe we are in substantial compliance with the terms thereof.</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federal Clean Air Act, as amended, (“CAA”) and similar state laws impose requirements on emissions to the air from motor fueling activities in certain areas of the country, including those that do not meet state or national ambient air quality standards. These laws may require the installation of vapor recovery systems to control emissions of volatile organic compounds to the air during the motor fueling process. Under the CAA and comparable state and local laws, permits are typically required to emit regulated air pollutants into the atmosphere.</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federal Clean Water Act (“CWA”) and analogous state laws may require us to obtain and maintain individual permits or coverage under general permits for discharges of wastewater or storm water runoff. While we expect to obtain necessary approvals for our operations, as with all governmental permitting processes, there is a degree of uncertainty as to whether a particular permit will be granted, the time it will take for such permit to be issued, and the conditions that may be imposed in connection with the granting of such permit. We are unaware of pending changes to environmental laws and regulations that will have a material adverse effect on our financial condition, results of operations or cash available for distribution to our stockholders; nonetheless, there exists the possibility that new laws or regulations may be imposed in the future that could result in more stringent and costly compliance requirements that potentially could materially and adversely affect our business. We are not presently aware of any material liability related to the costs of investigations and cleaning up sites of spills, disposals or other releases of hazardous materials at our current or former locations or business operations.</w:t>
      </w:r>
    </w:p>
    <w:p>
      <w:pPr>
        <w:spacing w:after="0" w:line="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transportation, distribution and storage of motor fuels (diesel fuel and gasoline) and other chemicals are subject to environmental protection and operational safety laws and regulations.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2024, we do not dispense gasoline or diesel fuels at any locations. However, our historical operations, at limited locations obtained through acquisitions, involved using underground storage tanks (USTs) for fuel and chemicals. Some of these tanks remain on leased properties, with future obligations for removal and potential environmental remediation. Instances of contamination have been identified in the past, leading to remediation costs. This historical legacy presents ongoing environmental risks and potential liabilities under our lease agreements and environmental laws. We continue to evaluate and address these risks, recognizing their potential impact on our financial condition and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global climate change regulations and effects of greenhouse gas emissions may adversely affect our operations and financial performance.</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is continuing concern from members of the scientific community and the general public that emissions of greenhouse gases (“GHG”) and other human activities have or will cause significant changes in weather patterns and increase the frequency or severity of extreme weather events, including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w:t>
      </w:r>
    </w:p>
    <w:p>
      <w:pPr>
        <w:spacing w:after="0" w:line="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Any adverse environmental impact on our locations due to climate change could materially and adversely affect our business and the results of our operations. New federal or state legislation or regulations on greenhouse gas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(“GHG”) emissions that may be imposed in areas of the United States in which we conduct business and that apply to our operations could adversely affect our business.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such legislation or regulations are enacted, we could incur increased energy, environmental and other costs and capital expenditures to comply with the limitations.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along with other companies in many business sectors, are considering and implementing sustainability strategies, specifically ways to reduce GHG emissions. As a result, our customers may request that changes be made to our products or facilities, as well as other aspects of our business, that increase costs and may require the investment of capital. Failure to provide climate-friendly products or demonstrate GHG reductions could potentially result in loss of market share.</w:t>
      </w:r>
    </w:p>
    <w:p>
      <w:pPr>
        <w:spacing w:after="0" w:line="6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weather conditions including drought and natural hazards may affect the availability of water supplies for use at our car wash locations.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meet the existing and future water demands at our car wash locations depends on adequate supplies of water. Generally, the water used in our car wash locations is sourced from rivers, lakes, streams and groundwater aquifers and, in some limited instances, through onsite groundwater wells. As such, we typically do not own the water that we use in our operations but instead are dependent on local public and/or private water agencies for most of the water used. Accordingly, governmental restrictions on water use may result in decreased access to water supplies or to temporary suspension of water usage from time to time.</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Climate change, drought, overuse of sources of water, the protection of threatened species or habitats or other factors may limit the availability of ground and surface water and our access to water supplies. Ongoing drought conditions currently exist in several areas of the United States, particularly in the western states, where we operate. Governmental restrictions on water use may also result in decreased access to water supplies, which may adversely affect our financial condition and results of operations. Water service interruptions are also possible due to severe weather events, including winter storms and freezing conditions in colder climate locations, high wind conditions in areas known to experience tornados, earthquakes in areas known to experience seismic activity, high water conditions in areas located in or near designated flood plains, hurricanes, and severe electrical storms.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interruption in our ability to access water could materially and adversely affect the results of our operations and financial condition. Furthermore, losses from business interruptions or damage to our facilities might not be covered by our insurance policies and such losses may make it difficult for us to secure insurance coverage in the future at acceptable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Information Technology and Data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impact our results of operations or reputation.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UWC Members), employees and suppliers. The secure processing, maintenance and transmission of this information is critical to our operations.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Increased global IT security threats and more sophisticated and targeted computer crime and increased ransomware attacks pose a risk to the security of our computer systems and networks and the confidentiality, availability and integrity of our data. Despite our security measures, we have been subject to cyber-attacks and attempts in the past and our IT systems and infrastructure may continue to be vulnerable to computer viruses, cyber-attacks, security breaches caused by employee error or malfeasance or other disruptions in the future. Though no such incident to date has had a material impact on our business, we cannot ensure that our security efforts will prevent unauthorized access or loss of functionality to our or our third-party providers' systems. Any such incident could compromise our networks and the information stored there could be accessed, publicly disclosed, lost or stolen. A security breach of our computer systems or those of our third-party service providers and business partners could interrupt or damage our operations or harm our reputation, or both. In addition, any such breach, attack, virus or other event could result in costly investigations and litigation, government enforcement actions, civil or criminal penalties, fines, operational changes or other response measures, loss of consumer confidence in our security measures, and negative publicity that could materially and adversely affect our brand, business, results of operations and financial condition. These costs and losses may not be adequately covered by applicable insurance coverage or other contractual rights available to us.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must comply with increasingly and complex privacy and security laws and regulations in the United States, including the California Consumer Privacy Act (the “CCPA”), as amended, and state data privacy laws that have been enacted to date. Although there are limited exemptions for health-related information, including Protected Health Information and clinical trial data, the CCPA and other state privacy laws may increase our compliance costs and potential liability. Similar laws have been proposed or enacted in other states and at the federal level, and when passed, such laws may have potentially conflicting requirements that would make compliance challenging. Our operations are subject to the Telephone Consumer Protection Act and similar state laws.</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general matter, compliance with laws,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materially and adversely affect our ability to acquire customers and otherwise materially and adversely affect our business, results of operations and financial condition.</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and we may incur significant costs in enforcing or defending, our intellectual property and other proprietary rights.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brand image and our ability to enforce and defend our intellectual property and other proprietary rights and differentiate ourselves from our competitors. We rely upon a combination of trademark, patent, trade secret, copyright, and unfair competition laws, and other contractual provisions, to protect our intellectual property and other proprietary rights. We cannot assure you that the steps we take to protect our intellectual property and other proprietary rights will be adequate to prevent the infringement or other violation of such rights by others, including the imitation and misappropriation of our brand, which could damage our brand identity and the goodwill we have created. To the extent that our intellectual property and other proprietary rights are not adequately protected,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which could result in costly redesign efforts, discontinuance of certain service offerings or other competitive harm. We may have to litigate to enforce or determine the scope and enforceability of our intellectual property rights, which is expensive and could exceed applicable insurance coverage, could cause a diversion of resources and may not prove successful. The loss of intellectual property protection or the inability to obtain sufficient rights to use third-party intellectual property could harm our business and ability to compete.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Although we believe that our services and operations do not infringe upon or otherwise violate the proprietary rights of third parties, we cannot guarantee that we do not, and will not in the future, infringe or otherwise violate the proprietary rights of third parties. Third parties have in the past, and may in the future, assert infringement or other intellectual property violation claims against us with respect to future products, services or operations. Any claim from a third party may result in a limitation on our ability to use our intellectual property. Even if we believe that intellectual property related claims are without merit, defending against such claims is time-consuming, expensive and could result in the diversion of the time and attention of our management and employees. Claims of intellectual property infringement are inherently uncertain, and might require us to redesign affected services, enter into costly settlement or license agreements, pay costly damage awards for which we may not have insurance coverage, or face a temporary or permanent injunction prohibiting us from marketing or selling certain of our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business, results of operations, and financial condition could be materially and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will qualify for, and may rely on, exemptions from certain corporate governance requirements.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Leonard Green &amp; Partners, L.P. (“LGP”) has more than 50% of the voting power for the election of directors, and, as a result, we are considered a “controlled company” for the purposes of the Nasdaq Stock Market (“NASDAQ”). Although we currently comply with the NASDAQ rules applicable to companies that do not qualify as a “controlled company,” as a “controlled company,” in the future we may elect not to comply with certain corporate governance standards, including the requirements: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8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board of directors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function of our board of directors be exercised by independent directors or by an independent committee.</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as long as LGP owns more than 50% of our common stock it will be able to exert a controlling influence over all matters requiring stockholder approval, including the nomination and election of directors and approval of significant corporate transactions, such as a merger or other sale of our Company or its assets. Even if LGP were to own or control less than a majority of our total outstanding shares of common stock, it will be able to influence the outcome of corporate actions so long as it owns a significant portion of our total outstanding shares of common stock.</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LGP may have interests that are different from our other stockholders and may vote in a way with which our other stockholders disagree and that may be averse to their respective interests. In addition, LGP’s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LGP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8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As a result of these provisions in our amended and restated certificate of incorporation, we may not receive the benefit from certain corporate opportunities, such as an acquisition target or other extraordinary transaction, that might have otherwise been available to us and potentially beneficial to our business.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Moreover, holders of approximately 70% of our outstanding common stock as of the date of this Annual Report on Form 10-K have rights, pursuant to the Stockholders Agreement, to require us to file registration statements for the public sale of their shares or to include their shares in registration statements that we may file for ourselves or other stockholders. A registration statement covering such shares has been filed and has been declared effective. Any sales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securities by these stockholders could have a material and adverse effect on the trading price of our common stock.</w:t>
      </w:r>
    </w:p>
    <w:p>
      <w:pPr>
        <w:spacing w:after="0" w:line="113"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as well as provisions of the Delaware General Corporation Law (“DGCL”),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spacing w:after="0" w:line="6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total number of directors to be determined exclusively (subject to the rights of holders of any series of preferred stock to elect additional directors) by resolution of our Board and granting to our Board the sole power (subject to the rights of holders of any series of preferred stock or rights granted pursuant to the Stockholders’ Agreement) to fill any vacancy on the Board;</w:t>
      </w:r>
    </w:p>
    <w:p>
      <w:pPr>
        <w:spacing w:after="0" w:line="67"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stockholders may remove members of our Board only for cause and only by the affirmative vote of the holders of at least two-thirds of the voting power of our then-outstanding stock, following such time as LGP ceases to beneficially own, in the aggregate, at least 50% of the voting power of our common stock;</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by our Board, without further stockholder approval, to thwart a takeover attempt;</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thus, requiring that all stockholder actions be taken at a meeting of our stockholders), if LGP ceases to beneficially own, in the aggregate, at least 50% of the voting power of our common stock;</w:t>
      </w:r>
    </w:p>
    <w:p>
      <w:pPr>
        <w:spacing w:after="0" w:line="5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 except for LGP for so long as LGP beneficially owns, in the aggregate, at least 50% of the voting power of our common stock;</w:t>
      </w:r>
    </w:p>
    <w:p>
      <w:pPr>
        <w:spacing w:after="0" w:line="53"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or for proposing matters that can be acted upon at annual stockholder meetings; and</w:t>
      </w:r>
    </w:p>
    <w:p>
      <w:pPr>
        <w:spacing w:after="0" w:line="53"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two-thirds of the voting power of all outstanding stock entitled to vote thereon, voting together as a single class, to amend or repeal our certificate of incorporation or bylaws if LGP ceases to beneficially own, in the aggregate, at least 50% of the voting power of our common stock.</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These provisions could discourage, delay or prevent a transaction involving a change in control. They could also discourage proxy contests and make it more difficult for stockholders to elect directors of their choosing and cause us to take corporate actions other than those that stockholders desire.</w:t>
      </w:r>
    </w:p>
    <w:p>
      <w:pPr>
        <w:spacing w:after="0" w:line="5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federal district courts of the United States will be the sole and exclusive forum for certain types of lawsuits, which could limit our stockholders' abilities to obtain a favorable judicial forum for disputes with us or our directors, officers or employees.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the amended and restated certificate of incorporation or the proposed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First Lien Term Loan and Revolving Commitment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14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19" w:name="page20"/>
    <w:bookmarkEnd w:id="19"/>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component of our overall risk management system and processes, we have a risk-based cybersecurity program, dedicated to protecting our data as well as data belonging to consumers (including UWC Members), employees and suppliers. We devote significant resources and utilize a defensive in-depth strategy, with multiple layers of security controls to protect the security of our computer systems, software, networks, and other technology assets. Our security efforts are designed to preserve the confidentiality, integrity, and continued availability of all information we own, or is in our care, and protect against, among other things, cybersecurity attacks by unauthorized parties attempting to obtain access to confidential information, destroy data, disrupt or degrade service, sabotage systems, or cause other damage. These processes include technical, administrative and physical controls and processes, as well as contractual mechanisms to mitigate risk. We also have policies and procedures to oversee and identify the cybersecurity risks associated with our use of third-party service providers, including the regular review of System &amp; Organization Controls (“SOC”) reports, relevant cyber attestations, and other independent cyber ratings.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 combination of governance, risk, and compliance (GRC) resources, we</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monitor IT controls to ensure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third-party risk management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processes designed to ensure essential business functions remain available during business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update incident response plans to address potential weaknesses,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cyber incident management and reporting procedures.</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processes are overseen by our Chief Technology Officer, who has over 30 years of experience consulting and leading technology teams at several global multi-unit brands, including Blockbuster, FedEx, and Yum! Brands.</w:t>
      </w:r>
    </w:p>
    <w:p>
      <w:pPr>
        <w:spacing w:after="0" w:line="54"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Our systems are periodically the target of directed attacks intended to lead to interruptions and delays in our service and operations as well as loss, misuse or theft of personal information (of third parties, employees, and our customers) and other data, confidential information or intellectual property. However, to date, we are not aware of any incident or cybersecurity risks having a material impact on our business, results of operations or financial condition.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and Governance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Board recognizes the important role of information security and mitigating cybersecurity and other data security threats. While the full Board has overall responsibility for risk oversight, it is supported in this function primarily by its committees. The Audit Committee is responsible for reviewing and discussing our policies with respect to risk assessment and risk management, including risks related to cybersecurity and other technology issues. The Board periodically evaluates our cybersecurity strategy to help ensure its effectiveness. Management provides periodic reports to the Audit Committee regarding cybersecurity and other information technology risks, as well as our plans to mitigate cybersecurity risks and to respond to any breaches, and to the Nominating and Corporate Governance Committee regarding governance matters related to cybersecurity and other information technology risks.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lease 25,350 and own 27,973 square feet of office space at our corporate headquarters in Tucson, Arizona. As of December 31, 2024, we leased 459 locations and owned 55 locations. The chart below provides a breakdown of our operating car wash locations as of December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40" w:type="dxa"/>
            <w:vAlign w:val="bottom"/>
          </w:tcPr>
          <w:p>
            <w:pPr>
              <w:spacing w:after="0"/>
              <w:rPr>
                <w:sz w:val="20"/>
                <w:szCs w:val="20"/>
                <w:color w:val="auto"/>
              </w:rPr>
            </w:pPr>
          </w:p>
        </w:tc>
        <w:tc>
          <w:tcPr>
            <w:tcW w:w="1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20" w:type="dxa"/>
            <w:vAlign w:val="bottom"/>
          </w:tcPr>
          <w:p>
            <w:pPr>
              <w:spacing w:after="0"/>
              <w:rPr>
                <w:sz w:val="20"/>
                <w:szCs w:val="20"/>
                <w:color w:val="auto"/>
              </w:rPr>
            </w:pPr>
          </w:p>
        </w:tc>
      </w:tr>
      <w:tr>
        <w:trPr>
          <w:trHeight w:val="210"/>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r>
      <w:tr>
        <w:trPr>
          <w:trHeight w:val="21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r>
      <w:tr>
        <w:trPr>
          <w:trHeight w:val="216"/>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4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514</w:t>
            </w:r>
          </w:p>
        </w:tc>
        <w:tc>
          <w:tcPr>
            <w:tcW w:w="12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2"/>
        </w:trPr>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Our executive officers as of February 21, 2025, are as follows: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8"/>
        </w:trPr>
        <w:tc>
          <w:tcPr>
            <w:tcW w:w="24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200" w:type="dxa"/>
            <w:vAlign w:val="bottom"/>
          </w:tcPr>
          <w:p>
            <w:pPr>
              <w:spacing w:after="0"/>
              <w:rPr>
                <w:sz w:val="20"/>
                <w:szCs w:val="20"/>
                <w:color w:val="auto"/>
              </w:rPr>
            </w:pPr>
          </w:p>
        </w:tc>
        <w:tc>
          <w:tcPr>
            <w:tcW w:w="51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Lai</w:t>
            </w:r>
          </w:p>
        </w:tc>
        <w:tc>
          <w:tcPr>
            <w:tcW w:w="17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2013</w:t>
            </w:r>
          </w:p>
        </w:tc>
        <w:tc>
          <w:tcPr>
            <w:tcW w:w="200" w:type="dxa"/>
            <w:vAlign w:val="bottom"/>
            <w:shd w:val="clear" w:color="auto" w:fill="CFF0FC"/>
          </w:tcPr>
          <w:p>
            <w:pPr>
              <w:spacing w:after="0"/>
              <w:rPr>
                <w:sz w:val="18"/>
                <w:szCs w:val="18"/>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Jedidiah Gold</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Mary Porter</w:t>
            </w:r>
          </w:p>
        </w:tc>
        <w:tc>
          <w:tcPr>
            <w:tcW w:w="17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CFF0FC"/>
          </w:tcPr>
          <w:p>
            <w:pPr>
              <w:spacing w:after="0"/>
              <w:rPr>
                <w:sz w:val="18"/>
                <w:szCs w:val="18"/>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Matheny</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Innovation Officer</w:t>
            </w:r>
          </w:p>
        </w:tc>
      </w:tr>
      <w:tr>
        <w:trPr>
          <w:trHeight w:val="21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Carlos Chavez</w:t>
            </w:r>
          </w:p>
        </w:tc>
        <w:tc>
          <w:tcPr>
            <w:tcW w:w="17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shd w:val="clear" w:color="auto" w:fill="CFF0FC"/>
          </w:tcPr>
          <w:p>
            <w:pPr>
              <w:spacing w:after="0"/>
              <w:rPr>
                <w:sz w:val="18"/>
                <w:szCs w:val="18"/>
                <w:color w:val="auto"/>
              </w:rPr>
            </w:pPr>
          </w:p>
        </w:tc>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Lai: </w:t>
      </w:r>
      <w:r>
        <w:rPr>
          <w:rFonts w:ascii="Times New Roman" w:cs="Times New Roman" w:eastAsia="Times New Roman" w:hAnsi="Times New Roman"/>
          <w:sz w:val="18"/>
          <w:szCs w:val="18"/>
          <w:color w:val="auto"/>
        </w:rPr>
        <w:t>Mr. Lai has served as our President and Chief Executive Officer and as a member of our board of directors since June 2013, and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Vice President of Market Development. Mr. Lai joined Mister Car Wash in 2002. Mr. Lai has served as a Director at the Southern Arizona Leadership Council since December 2019. Mr. Lai received a B.S. from the University of Arizona.</w:t>
      </w:r>
    </w:p>
    <w:p>
      <w:pPr>
        <w:spacing w:after="0" w:line="171" w:lineRule="exact"/>
        <w:rPr>
          <w:sz w:val="20"/>
          <w:szCs w:val="20"/>
          <w:color w:val="auto"/>
        </w:rPr>
      </w:pPr>
    </w:p>
    <w:p>
      <w:pPr>
        <w:jc w:val="both"/>
        <w:ind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Jedidiah Gold: </w:t>
      </w:r>
      <w:r>
        <w:rPr>
          <w:rFonts w:ascii="Times New Roman" w:cs="Times New Roman" w:eastAsia="Times New Roman" w:hAnsi="Times New Roman"/>
          <w:sz w:val="17"/>
          <w:szCs w:val="17"/>
          <w:color w:val="auto"/>
        </w:rPr>
        <w:t>Mr. Gold has served as our Treasurer and Chief Financial Officer since July 2019. Mr. Gold previously served as Senior Director Finance,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Assistant Treasurer at Yum! Brands, Inc. from May 2016 to July 2019, and as Chief Financial Officer MENAPak at KFC Corporation from October 2014 to May 2016. Mr. Gold received an M.B.A. in Finance and Accounting from Indiana University and a B.S. in Accounting from the University of Utah.</w:t>
      </w:r>
    </w:p>
    <w:p>
      <w:pPr>
        <w:spacing w:after="0" w:line="15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Porter: </w:t>
      </w:r>
      <w:r>
        <w:rPr>
          <w:rFonts w:ascii="Times New Roman" w:cs="Times New Roman" w:eastAsia="Times New Roman" w:hAnsi="Times New Roman"/>
          <w:sz w:val="18"/>
          <w:szCs w:val="18"/>
          <w:color w:val="auto"/>
        </w:rPr>
        <w:t>Effective April 17, 2023, Mary Porter was named our first Chief People Officer. Ms. Porter previously served as the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Resources for Nordstrom from January 2018 to April 2023, supporting Nordstrom and Nordstrom Rack locations across both US and Canada, a position she achieved as the culmination of a 27-year long journey with the company. From HR compliance to Talent Acquisition to strategic business support, Ms. Porter has experience across many Human Resources functions. Ms. Porter earned a Bachelor of Arts from the University of Washington.</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Matheny: </w:t>
      </w:r>
      <w:r>
        <w:rPr>
          <w:rFonts w:ascii="Times New Roman" w:cs="Times New Roman" w:eastAsia="Times New Roman" w:hAnsi="Times New Roman"/>
          <w:sz w:val="18"/>
          <w:szCs w:val="18"/>
          <w:color w:val="auto"/>
        </w:rPr>
        <w:t>Effective October 13, 2023, Joseph Matheny was appointed Chief Innovation Officer of the Company. Mr. Matheny had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Operations since March 2020. Mr. Matheny previously served as our Vice President, Operations from December 2016 to March 2020, and served in General Manager, Regional Manager, and Division Manager roles since 1998.</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Carlos Chavez: </w:t>
      </w:r>
      <w:r>
        <w:rPr>
          <w:rFonts w:ascii="Times New Roman" w:cs="Times New Roman" w:eastAsia="Times New Roman" w:hAnsi="Times New Roman"/>
          <w:sz w:val="18"/>
          <w:szCs w:val="18"/>
          <w:color w:val="auto"/>
        </w:rPr>
        <w:t>Effective January 20, 2025, Carlos Chavez was named our first Chief Technology Officer. Mr. Chavez previously served as the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Chief Digital Officer for Les Schwab Tire Centers from August 2017 to January 2025, leading the digital transformation and creating business intelligence capabilities. Mr. Chavez has over 30 years of experience consulting and leading technology teams at several global multi-unit brands, including Blockbuster, FedEx, and Yum! Brands. Mr. Chavez holds a B.B.A in Management Information Systems and a M.B.A from the University of Texas at Austin.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B333D"/>
        </w:rPr>
        <w:t>Effective January 1, 2025, our common stock was listed and began trading on Nasdaq's Global Select Market under the ticker symbol “MCW”. From June 25, 2021 through December 31, 2024, our common stock was listed on the New York Stock Exchange under the symbol “MCW”. Prior to June 2021, there was no public trading market for our common stock</w:t>
      </w:r>
      <w:r>
        <w:rPr>
          <w:rFonts w:ascii="Times New Roman" w:cs="Times New Roman" w:eastAsia="Times New Roman" w:hAnsi="Times New Roman"/>
          <w:sz w:val="18"/>
          <w:szCs w:val="18"/>
          <w:color w:val="000000"/>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February 13, 2025, there were 1,282 holders of record of our common stock. This number excludes stockholders whose stock is held in street name by banks, brokers and other nominees.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currently intend to retain any future earnings to fund the development and expansion of our business, and, therefore, we do not anticipate paying cash dividends on our share capital in the foreseeable future. Any future determination to pay dividends will be at the discretion of our board of directors and will depend on our results of operations, financial condition, capital requirements, contractual restrictions, restrictions under our Credit Facilities and any other agreements governing our indebtedness and other factors deemed relevant by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31, 2024, we did not repurchase any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stockholder return since June 25, 2021, the date our common stock began trading on a national stock exchange with S&amp;P 1500 Consumer Services Index, S&amp;P 500 Total Return Index, and Russell 2000 Index. The graph assumes that the value of the investment in our stock and in each index was $100 at June 25, 2021,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340350" cy="2160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035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6/25/21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00" w:type="dxa"/>
            <w:vAlign w:val="bottom"/>
          </w:tcPr>
          <w:p>
            <w:pPr>
              <w:spacing w:after="0"/>
              <w:rPr>
                <w:sz w:val="20"/>
                <w:szCs w:val="20"/>
                <w:color w:val="auto"/>
              </w:rPr>
            </w:pPr>
          </w:p>
        </w:tc>
      </w:tr>
      <w:tr>
        <w:trPr>
          <w:trHeight w:val="2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Mister Car Wash, Inc.</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1500 Consumer Services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8"/>
                <w:szCs w:val="18"/>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500 Total Return</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FF0FC"/>
          </w:tcPr>
          <w:p>
            <w:pPr>
              <w:spacing w:after="0"/>
              <w:rPr>
                <w:sz w:val="18"/>
                <w:szCs w:val="18"/>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spacing w:after="0" w:line="39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includes a discussion and analysis of our financial condition and results of operations for 2024 and 2023 and year-to-year comparisons between 2024 and 2023. For discussion and analysis of our financial condition and results of operations for 2022 and year-to-year comparisons between 2023 and 2022, see Part II, Item 7, “Management’s Discussion and Analysis of Financial Condition and Results of Operations” in our Annual Report on Form 10-K for the year ended December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business and growth depend on a number of factors that present significant opportunities for us and may pose risks and challenges, including those discussed below and in Part I, Item 1A.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included elsewhere in this Annual Report on Form 10-K.</w:t>
      </w:r>
    </w:p>
    <w:p>
      <w:pPr>
        <w:spacing w:after="0" w:line="52" w:lineRule="exact"/>
        <w:rPr>
          <w:sz w:val="20"/>
          <w:szCs w:val="20"/>
          <w:color w:val="auto"/>
        </w:rPr>
      </w:pPr>
    </w:p>
    <w:p>
      <w:pPr>
        <w:ind w:left="520" w:hanging="512"/>
        <w:spacing w:after="0" w:line="26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71" w:lineRule="exact"/>
        <w:rPr>
          <w:rFonts w:ascii="Times New Roman" w:cs="Times New Roman" w:eastAsia="Times New Roman" w:hAnsi="Times New Roman"/>
          <w:sz w:val="18"/>
          <w:szCs w:val="18"/>
          <w:color w:val="auto"/>
        </w:rPr>
      </w:pPr>
    </w:p>
    <w:p>
      <w:pPr>
        <w:ind w:left="520" w:right="180" w:hanging="512"/>
        <w:spacing w:after="0" w:line="284"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50" w:lineRule="exact"/>
        <w:rPr>
          <w:rFonts w:ascii="Times New Roman" w:cs="Times New Roman" w:eastAsia="Times New Roman" w:hAnsi="Times New Roman"/>
          <w:sz w:val="18"/>
          <w:szCs w:val="18"/>
          <w:color w:val="auto"/>
        </w:rPr>
      </w:pPr>
    </w:p>
    <w:p>
      <w:pPr>
        <w:ind w:left="520" w:right="40" w:hanging="512"/>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More recently, we have grown through greenfield development of Mister Car Wash locations, with particular focus on Express Exterior Locations, and anticipate continued pursuit of this strategy in the future. During 2024, we successfully opened a total of 39 greenfield locations, with the expectation of driving the majority of our future location growth through greenfield development. We believe such a strategy will drive a more controllable pipeline of unit growth for future locations in existing and adjacent markets.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years ended December 31, 2024 and 2023.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3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320,946</w:t>
            </w:r>
          </w:p>
        </w:tc>
        <w:tc>
          <w:tcPr>
            <w:tcW w:w="3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32.3 %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Count (end of period)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operating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fiscal year 2024, we increased our location count by 38 net new locations, including 39 greenfield locations and one location that was relocated, offset by two locations that were closed. In fiscal year 2023, we increased our location count by 40 net locations, including 35 greenfield locations and six business acquisition locations, offset by one location that was closed.</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Express Exterior Locations, which offer express exterior cleaning services, comprise 450 of our current locations and our Interior Cleaning Locations, which offer both express exterior cleaning services and interior cleaning services, comprise 64 of our current locations.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During 2024, comparable store sales increased 3.0% compared to an increase of 0.3%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UWC Members as of December 31, 2024 an increase of approximately 2%, from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UWC sales as a percentage of total wash sales represent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We have consistently grown this measure over time as we educate customers as to the value of our subscription offering. UWC sales were 74% and 71% of our total wash sales for the years ended December 31, 2024, and 2023,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U.S. GAAP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Adjusted EBITDA is defined as net income before interest expense, net, income tax provision, depreciation and amortization expense, (gain) loss on sale of assets, stock-based compensation expense, acquisition expenses, non-cash rent expense, debt refinancing costs, and other nonrecurring charges. Adjusted EBITDA margin is defined as Adjusted EBITDA divided by net revenues for a given period.</w:t>
      </w:r>
    </w:p>
    <w:p>
      <w:pPr>
        <w:spacing w:after="0" w:line="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Times New Roman" w:cs="Times New Roman" w:eastAsia="Times New Roman" w:hAnsi="Times New Roman"/>
          <w:sz w:val="18"/>
          <w:szCs w:val="18"/>
          <w:color w:val="231F20"/>
        </w:rPr>
        <w:t>Amended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Lien Credit Agreement </w:t>
      </w:r>
      <w:r>
        <w:rPr>
          <w:rFonts w:ascii="Times New Roman" w:cs="Times New Roman" w:eastAsia="Times New Roman" w:hAnsi="Times New Roman"/>
          <w:sz w:val="18"/>
          <w:szCs w:val="18"/>
          <w:color w:val="000000"/>
        </w:rPr>
        <w:t>uses measures similar to Adjusted EBITDA to measure our compliance with certain covenants.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5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1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Adjusted EBITDA was approximately $320.9 million and $285.9 million for the years ended December 31, 2024 and 2023, respectively. Our Adjusted EBITDA margin was 32% and 31% for the years ended December 31, 2024 and 2023, respectively. The increase experienced in the year ended December 31, 2024 compared to the prior year is primarily attributable to an increase in car wash sales due to growth in UWC Members and the year-over-year addition of 38 net locations, offset by an increase in operating costs and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income to Adjusted EBITDA for the periods presented.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3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79,488</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81,366</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assets, net (a)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27,259</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expenses (c)</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rent expense (d)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refinancing costs (e)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(5,189 )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3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320,946</w:t>
            </w:r>
          </w:p>
        </w:tc>
        <w:tc>
          <w:tcPr>
            <w:tcW w:w="3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285,924</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994,727</w:t>
            </w:r>
          </w:p>
        </w:tc>
        <w:tc>
          <w:tcPr>
            <w:tcW w:w="360" w:type="dxa"/>
            <w:vAlign w:val="bottom"/>
          </w:tcPr>
          <w:p>
            <w:pPr>
              <w:spacing w:after="0"/>
              <w:rPr>
                <w:sz w:val="17"/>
                <w:szCs w:val="17"/>
                <w:color w:val="auto"/>
              </w:rPr>
            </w:pPr>
          </w:p>
        </w:tc>
        <w:tc>
          <w:tcPr>
            <w:tcW w:w="6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927,070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7.1 %</w:t>
            </w:r>
          </w:p>
        </w:tc>
        <w:tc>
          <w:tcPr>
            <w:tcW w:w="6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32.3 %</w:t>
            </w:r>
          </w:p>
        </w:tc>
        <w:tc>
          <w:tcPr>
            <w:tcW w:w="6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-448310</wp:posOffset>
            </wp:positionV>
            <wp:extent cx="120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-431165</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-448310</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-431165</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51" w:lineRule="exact"/>
        <w:rPr>
          <w:sz w:val="20"/>
          <w:szCs w:val="20"/>
          <w:color w:val="auto"/>
        </w:rPr>
      </w:pPr>
    </w:p>
    <w:p>
      <w:pPr>
        <w:ind w:left="520" w:right="14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 leaseback transactions, the sale of property and equipment, and store closures or the impairments associated with store closures and relocations.</w:t>
      </w: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share-based payments as well as related taxes.</w:t>
      </w:r>
    </w:p>
    <w:p>
      <w:pPr>
        <w:spacing w:after="0" w:line="9"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and greenfield development. Expenses include professional fees for accounting and auditing services, appraisals, legal fees and financial services, dead deal costs, one-time costs associated with supplies for rebranding the acquired stores, and distinct travel expenses for related, distinct integration efforts by team members who are not part of our dedicated integration team.</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9" w:lineRule="exact"/>
        <w:rPr>
          <w:rFonts w:ascii="Times New Roman" w:cs="Times New Roman" w:eastAsia="Times New Roman" w:hAnsi="Times New Roman"/>
          <w:sz w:val="18"/>
          <w:szCs w:val="18"/>
          <w:color w:val="auto"/>
        </w:rPr>
      </w:pPr>
    </w:p>
    <w:p>
      <w:pPr>
        <w:ind w:left="520" w:right="14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non-deferred legal fees and other expenses related to credit agreement amendments, and loss on extinguishment of debt associated with amendments to the debt facilities.</w:t>
      </w:r>
    </w:p>
    <w:p>
      <w:pPr>
        <w:ind w:left="520" w:right="46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severance pay, legal settlements and legal fees related to contract terminations, and nonrecurring strategic project costs.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7" w:name="page28"/>
    <w:bookmarkEnd w:id="2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results of operations data for the years ended December 31, 2024 and 2023 have been derived from the consolidated financial statements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left="6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994,727</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8"/>
              </w:rPr>
              <w:t>100 %</w:t>
            </w:r>
          </w:p>
        </w:tc>
        <w:tc>
          <w:tcPr>
            <w:tcW w:w="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404,675</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178,932</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178,145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0"/>
        </w:trPr>
        <w:tc>
          <w:tcPr>
            <w:tcW w:w="4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(5,199 )</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32,428</w:t>
            </w:r>
          </w:p>
        </w:tc>
        <w:tc>
          <w:tcPr>
            <w:tcW w:w="22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2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60" w:type="dxa"/>
            <w:vAlign w:val="bottom"/>
            <w:tcBorders>
              <w:bottom w:val="single" w:sz="8" w:color="auto"/>
            </w:tcBorders>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994,727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927,070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67,657</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-2407920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-2407920</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-2407920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-2407920</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-2117090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-2117090</wp:posOffset>
            </wp:positionV>
            <wp:extent cx="154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-2117090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-2117090</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-1276350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-1276350</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-1276350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-1276350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-993775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-993775</wp:posOffset>
            </wp:positionV>
            <wp:extent cx="154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-993775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-993775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4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growth in UWC Members, the year-over-year addition of 38 net locations, as well as price optimization and wash package mix with the introduction of our new premium Titanium wash package, which expanded our wash packages offered to UWC Members and Retail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290,705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279,375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the cost of labor and chemicals was primarily attributable to an increase in volume and the year-over-year addition of 38 net locations, as well as some inflationary pressures on store labor, partially offset by labor optimization and lower chemical costs due to new formulations and cost savings from strategic partnerships between periods. Locations opened during 2024 accounted for $8.0 million of the increase.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404,675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40,958</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450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0"/>
        </w:trPr>
        <w:tc>
          <w:tcPr>
            <w:tcW w:w="4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0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38 net locations, as well as additional rent expense related to our sale-leaseback activity in the current year. Locations opened during 2024 accounted for $15.3 million of the increase.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107,980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attributable to the debt refinancing costs in the current year, partially offset by decreases in travel and other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Sale of Assets,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9,848 %</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7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change in loss on sale of assets, net in 2024 was primarily attributable to more significant net losses associated with our sale-leaseback activity in the current year and impairments associated with store closures and relocations.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right="480"/>
        <w:spacing w:after="0" w:line="251" w:lineRule="auto"/>
        <w:rPr>
          <w:sz w:val="20"/>
          <w:szCs w:val="20"/>
          <w:color w:val="auto"/>
        </w:rPr>
      </w:pPr>
      <w:r>
        <w:rPr>
          <w:rFonts w:ascii="Times New Roman" w:cs="Times New Roman" w:eastAsia="Times New Roman" w:hAnsi="Times New Roman"/>
          <w:sz w:val="18"/>
          <w:szCs w:val="18"/>
          <w:color w:val="auto"/>
        </w:rPr>
        <w:t>The increase in total other expense, net was primarily attributable to increased interest expense and loss on extinguishment of debt related to our debt refinancing activity in the current year, partially offset by a gain related to the recognition of an employee retention credit</w:t>
      </w:r>
      <w:r>
        <w:rPr>
          <w:rFonts w:ascii="Calibri" w:cs="Calibri" w:eastAsia="Calibri" w:hAnsi="Calibri"/>
          <w:sz w:val="19"/>
          <w:szCs w:val="19"/>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26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tax provision was primarily attributable to the net, unfavorable income tax impact from equity awards activity in the current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location development,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we had cash and cash equivalents of $67.5 million and $19.0 million, respectively, and $299.8 million and $149.2 million, respectively, of available borrowing capacity under our Revolving Commitment.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 description of our Credit Facilities, please see Note 9 Debt in the consolidated financial statements included elsewhere in this Annual Report on Form 10-K. As of December 31, 2024, we were in compliance with the covenants under our Credit Facilities and we expect to comply with our covenants in the next 12 months from the issuance date of the financial statements included in this Annual Report on Form 10-K.</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resulting operations, as well as planned capital expenditures, for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summary cash flow information for the periods presented:</w:t>
      </w:r>
    </w:p>
    <w:p>
      <w:pPr>
        <w:sectPr>
          <w:pgSz w:w="11900" w:h="16838" w:orient="portrait"/>
          <w:cols w:equalWidth="0" w:num="1">
            <w:col w:w="11220"/>
          </w:cols>
          <w:pgMar w:left="320" w:top="1440" w:right="359" w:bottom="1440" w:gutter="0" w:footer="0" w:header="0"/>
        </w:sectPr>
      </w:pPr>
    </w:p>
    <w:p>
      <w:pPr>
        <w:spacing w:after="0" w:line="39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Net change in cash and cash equivalents, and restricted cash during period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248,620</w:t>
            </w:r>
          </w:p>
        </w:tc>
        <w:tc>
          <w:tcPr>
            <w:tcW w:w="280" w:type="dxa"/>
            <w:vAlign w:val="bottom"/>
          </w:tcPr>
          <w:p>
            <w:pPr>
              <w:spacing w:after="0"/>
              <w:rPr>
                <w:sz w:val="16"/>
                <w:szCs w:val="16"/>
                <w:color w:val="auto"/>
              </w:rPr>
            </w:pPr>
          </w:p>
        </w:tc>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204,653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(199,852 )</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(259,365 )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(275 )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48,493</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3500"/>
          </w:cols>
          <w:pgMar w:left="320" w:top="1440" w:right="359" w:bottom="1440" w:gutter="0" w:footer="0" w:header="0"/>
          <w:type w:val="continuous"/>
        </w:sectPr>
      </w:pPr>
    </w:p>
    <w:p>
      <w:pPr>
        <w:spacing w:after="0" w:line="104"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consists of net income adjusted for certain non-cash items, including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depreciation of property and equipment, amortization of leased assets and deferred income taxes, as well as (gain) losses on disposal of property and equipment and the effect of changes in other working capital amounts.</w:t>
      </w:r>
    </w:p>
    <w:p>
      <w:pPr>
        <w:spacing w:after="0" w:line="6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was $248.6 million and was comprised of net income of $70.2 million, increased by $202.5 million primarily as a result of non-cash adjustments including depreciation and amortization expense, non-cash lease expense, deferred income taxes, loss on sale of assets, net, and loss on extinguishment of debt. Changes in working capital decreased cash provided by operating activities by $24.2 million, primarily due to payments towards operating lease liabilities, partially offset by the timing of payments and receipts of receivables and payables.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was $204.7 million and was comprised of net income of $80.1 million, increased by $159.0 million related to non-cash adjustments, which includes $24.0 million for stock-based compensation expense. Other non-cash adjustments included depreciation and amortization, non-cash lease expense and deferred income tax. Changes in working capital decreased cash provided by operating activities by $34.5 million, primarily due to $40.4 million of payments towards operating lease liabilities, partially offset by an increase of $6.1 million in accrued expenses.</w:t>
      </w:r>
    </w:p>
    <w:p>
      <w:pPr>
        <w:spacing w:after="0" w:line="7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 and acquisition of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washes.</w:t>
      </w:r>
    </w:p>
    <w:p>
      <w:pPr>
        <w:spacing w:after="0" w:line="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$199.9 million and was primarily comprised of purchases in property and equipment to support our greenfield development, partially offset by sale-leaseback transactions and the sale of property and equipment.</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$259.4 million and was primarily comprised of purchases in property and equipment to support our greenfield and other initiatives, and the acquisition of car washes, partially offset by sale-leaseback transactions and the sale of property and equipment.</w:t>
      </w:r>
    </w:p>
    <w:p>
      <w:pPr>
        <w:spacing w:after="0" w:line="66"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(used in) financing activities primarily consists of activity related to our debt, proceeds from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under employee plans and payments on finance lease obligations.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0" w:name="page31"/>
    <w:bookmarkEnd w:id="30"/>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$0.3 million and was primarily comprised of activities related to our debt and debt refinancings, as well as payments for payroll tax withholdings to settle cashless stock option exercises and proceeds related to the issuance of common stock under employee plans.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$8.6 million and was primarily comprised of proceeds from issuance of common stock under employee plans, partially offset by payments of finance lease obligations and other financing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consolidated financial statements included elsewhere in this Annual Report on Form 10-K, for a description of our other significant accounting policies. We believe that the following critical accounting policies are affected by significant judgments and estimates used in the preparation of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Under ASC 606, revenue is recognized upon transfer of control of promised services or goods to customers in an amount that reflects the consideration we expect to receive for those services or goods. We have two primary sources of revenue. First, we offer the UWC program to our customers. UWC entitles a UWC Member to unlimited washes for a monthly fee, cancelable at any time. UWC Members are automatically charged on a credit or debit card on the same day of the month that they originally signed up. The UWC revenue is recognized ratably over the month in which it is earned and amounts unearned are recorded as deferred revenue on the consolidated balance sheets based on the date of the re-charge. Second, the revenue from car wash services is recognized at the point in time services are rendered and the customer pays. Discounts are applied as a reduction of revenue at the time of payment.</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recognition does not require significant judgment as it is based on the UWC monthly charge and deferral or the date of car wash sale, none of which require a significant amount of estimation. However, in determining the amount and timing of revenue from contracts with customers, we make judgments as to whether uncertainty as to collectability of the consideration that we are owed precludes recognition of the revenue on an accrual basis. These judgments are based on the facts specific to each circumstance. Primary factors considered include past payment history and our subjective assessment of the likelihood of receiving payment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are reviewed for impairment whenever events or changes in circumstances indicate that the carrying amount of an asset may not be recoverable. If circumstances require a long-lived asset or asset group to be tested for possible impairment, we first compare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Approximately $1.5 million of impairment losses associated with our long-lived assets were recognized during the year ended December 31, 2024. No impairment losses associated with our long-lived assets were recognized during the year ended December 31, 2023. See Note 4 Property and Equipment, net in the consolidated financial statements included elsewhere in this Annual Report on Form 10-K for additional information.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the net tangible and identifiable intangible assets acquired in a business combination. Goodwill is tested for impairment at the reporting unit level annually on October 31 or more frequently if events or changes in circumstances indicate that the asset may be impaired. We first assess qualitative factors to determine whether events or circumstances existed that would lead us to conclude it is more likely than not that the fair value of the reporting unit is below its carrying amount. If we determine that it is more likely than not that the fair value of the reporting unit is below the carrying amount, a quantitative goodwill assessment is required. In the quantitative evaluation, the fair value of the reporting unit is determined and compared to the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as impairment of goodwill in our consolidated statements of operations. No impairment losses associated with our goodwill were recognized during the years ended December 31, 2024, and December 31,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deferred tax assets and liabilities are determined based on the temporary differences between the financial statement and tax bases of assets and liabilities using enacted tax rates in effect for the year in which the differences are expected to reverse. We classify all deferred income tax assets and liabilities as noncurrent on our balance sheets. The effect of a change in tax rates on deferred tax assets and liabilities is recognized within the provision for (benefit from) income taxes on the consolidated statements of operations in the period that includes the enactment date.</w:t>
      </w:r>
    </w:p>
    <w:p>
      <w:pPr>
        <w:spacing w:after="0" w:line="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reduce deferred tax assets, if necessary, by a valuation allowance if it is more likely than not that we will not realize some or all of the deferred tax assets. In making such a determination,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believe it is more likely than not that our federal deferred tax assets will be realized in the future based primarily on the timing and reversal of existing taxable temporary differences in that jurisdiction. However, we determined that an amount of our state deferred tax assets is not more likely than not to be realized in the future based primarily on projected future taxable income available in various jurisdictions. Refer to Note 8 Income Taxes in the consolidated financial statements included elsewhere in this Annual Report on Form 10-K for additional information on the composition of these valuation allowances and for information on the impact of U.S. tax reform legislation.</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file income tax returns in the U.S. federal and state jurisdictions and believe our accrual for tax liabilities is adequate for all open audit years based on many factors including past experience and interpretations of tax law. We recognize the tax benefit from an uncertain tax position if we believe it is more likely than not that the tax position will be sustained, in a court of last resort, based on the technical merits of the position. This assessment relies on estimates and assumptions and any changes in the recognition or measurement of these benefits or liabilities are reflected in the period in which the change in judgment occurs.</w:t>
      </w:r>
    </w:p>
    <w:p>
      <w:pPr>
        <w:spacing w:after="0" w:line="75" w:lineRule="exact"/>
        <w:rPr>
          <w:sz w:val="20"/>
          <w:szCs w:val="20"/>
          <w:color w:val="auto"/>
        </w:rPr>
      </w:pPr>
    </w:p>
    <w:p>
      <w:pPr>
        <w:ind w:right="900"/>
        <w:spacing w:after="0" w:line="375" w:lineRule="auto"/>
        <w:rPr>
          <w:sz w:val="20"/>
          <w:szCs w:val="20"/>
          <w:color w:val="auto"/>
        </w:rPr>
      </w:pPr>
      <w:r>
        <w:rPr>
          <w:rFonts w:ascii="Times New Roman" w:cs="Times New Roman" w:eastAsia="Times New Roman" w:hAnsi="Times New Roman"/>
          <w:sz w:val="18"/>
          <w:szCs w:val="18"/>
          <w:color w:val="auto"/>
        </w:rPr>
        <w:t xml:space="preserve">We recognize interest and penalties related to uncertain tax positions within income tax provision on our consolidated statements of operations. </w:t>
      </w:r>
      <w:r>
        <w:rPr>
          <w:rFonts w:ascii="Times New Roman" w:cs="Times New Roman" w:eastAsia="Times New Roman" w:hAnsi="Times New Roman"/>
          <w:sz w:val="18"/>
          <w:szCs w:val="18"/>
          <w:b w:val="1"/>
          <w:bCs w:val="1"/>
          <w:i w:val="1"/>
          <w:iCs w:val="1"/>
          <w:color w:val="auto"/>
        </w:rPr>
        <w:t>Stock-Based Compensation</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Stock-based compensation represents the cost related to stock-based awards granted to employees. We measure stock-based compensation cost at grant date, based upon the estimated fair value of the award, and recognize cost as expense using the accelerate attribution method over the employee requisite service period. We estimate the fair value of stock options using Black-Scholes option model. We estimate the fair value of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 deferred tax assets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in the period in which the tax deduction arises.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40"/>
        <w:spacing w:after="0" w:line="239" w:lineRule="exact"/>
        <w:rPr>
          <w:sz w:val="20"/>
          <w:szCs w:val="20"/>
          <w:color w:val="auto"/>
        </w:rPr>
      </w:pPr>
      <w:r>
        <w:rPr>
          <w:rFonts w:ascii="Times New Roman" w:cs="Times New Roman" w:eastAsia="Times New Roman" w:hAnsi="Times New Roman"/>
          <w:sz w:val="18"/>
          <w:szCs w:val="18"/>
          <w:color w:val="auto"/>
        </w:rPr>
        <w:t>See the sections titled “Summary of Significant Accounting Policies—Recent Accounting Pronouncements” and “—Recently issued accounting pronouncements not yet adopted” in Note 2 to our consolidated financial statements included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3" w:name="page34"/>
    <w:bookmarkEnd w:id="33"/>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December 31, 2024, we had $920.4 million of variable-rate debt outstanding under our First Lien Term Loan. Based on the balance outstanding under our First Lien Term Loan as of December 31, 2024, an increase or decrease of 100 basis points in the effective interest rate on the First Lien Term Loan would cause an increase or decrease in interest expense of approximately $9 million over the next 12 months.</w:t>
      </w:r>
    </w:p>
    <w:p>
      <w:pPr>
        <w:spacing w:after="0" w:line="1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4" w:name="page35"/>
    <w:bookmarkEnd w:id="34"/>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9" w:lineRule="exact"/>
        <w:rPr>
          <w:sz w:val="20"/>
          <w:szCs w:val="20"/>
          <w:color w:val="auto"/>
        </w:rPr>
      </w:pPr>
    </w:p>
    <w:p>
      <w:pPr>
        <w:ind w:left="20" w:right="3400"/>
        <w:spacing w:after="0" w:line="375" w:lineRule="auto"/>
        <w:rPr>
          <w:sz w:val="20"/>
          <w:szCs w:val="20"/>
          <w:color w:val="auto"/>
        </w:rPr>
      </w:pPr>
      <w:r>
        <w:rPr>
          <w:rFonts w:ascii="Times New Roman" w:cs="Times New Roman" w:eastAsia="Times New Roman" w:hAnsi="Times New Roman"/>
          <w:sz w:val="18"/>
          <w:szCs w:val="18"/>
          <w:u w:val="single" w:color="auto"/>
          <w:color w:val="0000FF"/>
        </w:rPr>
        <w:t>Report of Deloitte &amp; Touche LLP, Independent Registered Public Accounting Firm Consolidated Statements of Operations for the years ended December 31, 2024, 2023 and 2022 Consolidated Statements of Cash Flows for the years ended December 31, 2024, 2023 and 2022 Consolidated Balance Sheets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713232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-492125</wp:posOffset>
            </wp:positionV>
            <wp:extent cx="43497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97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2950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ind w:left="20" w:right="2720"/>
        <w:spacing w:after="0" w:line="407"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years ended December 31, 2024, 2023 and 2022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-116205</wp:posOffset>
            </wp:positionV>
            <wp:extent cx="1998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2">
            <w:col w:w="10320" w:space="720"/>
            <w:col w:w="180"/>
          </w:cols>
          <w:pgMar w:left="320" w:top="1440" w:right="359" w:bottom="1440" w:gutter="0" w:footer="0" w:header="0"/>
        </w:sectPr>
      </w:pPr>
    </w:p>
    <w:bookmarkStart w:id="35" w:name="page36"/>
    <w:bookmarkEnd w:id="35"/>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Mister Car Wash,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0" w:lineRule="exact"/>
        <w:rPr>
          <w:sz w:val="20"/>
          <w:szCs w:val="20"/>
          <w:color w:val="auto"/>
        </w:rPr>
      </w:pPr>
    </w:p>
    <w:p>
      <w:pPr>
        <w:spacing w:after="0" w:line="2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Mister Car Wash, Inc. and subsidiaries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Company”) as of December 31, 2024 and 2023, the related consolidated statements of operations, stockholders' equity, and cash flows, for each of the three years in the period ended December 31, 2024, and the related notes (collectively referred to as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0" w:lineRule="exact"/>
        <w:rPr>
          <w:sz w:val="20"/>
          <w:szCs w:val="20"/>
          <w:color w:val="auto"/>
        </w:rPr>
      </w:pPr>
    </w:p>
    <w:p>
      <w:pPr>
        <w:spacing w:after="0" w:line="2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21, 2025, expressed an unqualified opinion on the Company's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0" w:lineRule="exact"/>
        <w:rPr>
          <w:sz w:val="20"/>
          <w:szCs w:val="20"/>
          <w:color w:val="auto"/>
        </w:rPr>
      </w:pPr>
    </w:p>
    <w:p>
      <w:pPr>
        <w:spacing w:after="0" w:line="2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0" w:lineRule="exact"/>
        <w:rPr>
          <w:sz w:val="20"/>
          <w:szCs w:val="20"/>
          <w:color w:val="auto"/>
        </w:rPr>
      </w:pPr>
    </w:p>
    <w:p>
      <w:pPr>
        <w:spacing w:after="0" w:line="2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 Refer to Note 2 to the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00" w:lineRule="exact"/>
        <w:rPr>
          <w:sz w:val="20"/>
          <w:szCs w:val="20"/>
          <w:color w:val="auto"/>
        </w:rPr>
      </w:pPr>
    </w:p>
    <w:p>
      <w:pPr>
        <w:spacing w:after="0" w:line="2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revenues in two main streams: (1) revenues recognized ratably daily over the month in which it is earned with their subscription membership Unlimited Wash Club program which entitles the customer to unlimited washes for a monthly fee, cancelable at any time, and (2) revenues recognized at a point in time from car washes. The Company’s revenue recognition process utilizes point-of-sale systems for the initiating, processing, and recording of transactions. We identified the recognition of revenues as a critical audit matter because performing audit procedures to test the recognition of revenues required significant audit effort, including the involvement of data analytics specialists, given the Company’s high volume of individually low monetary value transactions.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testing of the recognition of revenues included the following, among others:</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internal controls over the Company’s recognition of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data analytics specialists, we extracted journal entries to analyze the Company’s revenue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recorded revenues and credit card receivables to cash receipts per the bank.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transactions and agreed the amounts recognized to source documents, then tested the mathematical accuracy and the timing of the recorded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of deferred revenue and compared it to the recorded balance.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994,727</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(949 )</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815,795</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748,925</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178,932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178,145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(5,199 )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100" w:type="dxa"/>
            <w:vAlign w:val="bottom"/>
          </w:tcPr>
          <w:p>
            <w:pPr>
              <w:spacing w:after="0"/>
              <w:rPr>
                <w:sz w:val="18"/>
                <w:szCs w:val="18"/>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7"/>
                <w:szCs w:val="17"/>
                <w:color w:val="auto"/>
              </w:rPr>
            </w:pPr>
          </w:p>
        </w:tc>
        <w:tc>
          <w:tcPr>
            <w:tcW w:w="4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80" w:type="dxa"/>
            <w:vAlign w:val="bottom"/>
          </w:tcPr>
          <w:p>
            <w:pPr>
              <w:spacing w:after="0"/>
              <w:rPr>
                <w:sz w:val="17"/>
                <w:szCs w:val="17"/>
                <w:color w:val="auto"/>
              </w:rPr>
            </w:pPr>
          </w:p>
        </w:tc>
        <w:tc>
          <w:tcPr>
            <w:tcW w:w="2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320,031,984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311,035,122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329,513,232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328,239,604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327,560,407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-2605405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-2605405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-1482090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-1482090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-1199515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-1199515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-616585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-599440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-616585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70,239</w:t>
            </w:r>
          </w:p>
        </w:tc>
        <w:tc>
          <w:tcPr>
            <w:tcW w:w="200" w:type="dxa"/>
            <w:vAlign w:val="bottom"/>
          </w:tcPr>
          <w:p>
            <w:pPr>
              <w:spacing w:after="0"/>
              <w:rPr>
                <w:sz w:val="12"/>
                <w:szCs w:val="12"/>
                <w:color w:val="auto"/>
              </w:rPr>
            </w:pPr>
          </w:p>
        </w:tc>
        <w:tc>
          <w:tcPr>
            <w:tcW w:w="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80,130</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81,366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69,991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25,563</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24,001</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loss on sale of assets, net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12,435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(949 )</w:t>
            </w: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49,855</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45,084</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interest income</w:t>
            </w:r>
          </w:p>
        </w:tc>
        <w:tc>
          <w:tcPr>
            <w:tcW w:w="260" w:type="dxa"/>
            <w:vAlign w:val="bottom"/>
          </w:tcPr>
          <w:p>
            <w:pPr>
              <w:spacing w:after="0"/>
              <w:rPr>
                <w:sz w:val="12"/>
                <w:szCs w:val="12"/>
                <w:color w:val="auto"/>
              </w:rPr>
            </w:pP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(302 )</w:t>
            </w: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30,084</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5,513</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(2,363 )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(2,668 )</w:t>
            </w: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3,224</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(2,661 )</w:t>
            </w: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(4,324 )</w:t>
            </w: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(113 )</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3,195</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liability</w:t>
            </w:r>
          </w:p>
        </w:tc>
        <w:tc>
          <w:tcPr>
            <w:tcW w:w="26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(42,753 )</w:t>
            </w:r>
          </w:p>
        </w:tc>
        <w:tc>
          <w:tcPr>
            <w:tcW w:w="2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(40,434 )</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(42,637 )</w:t>
            </w: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assets and liabilities</w:t>
            </w: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(4,680 )</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(2,990 )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(3,011 )</w:t>
            </w:r>
          </w:p>
        </w:tc>
        <w:tc>
          <w:tcPr>
            <w:tcW w:w="0" w:type="dxa"/>
            <w:vAlign w:val="bottom"/>
          </w:tcPr>
          <w:p>
            <w:pPr>
              <w:spacing w:after="0"/>
              <w:rPr>
                <w:sz w:val="1"/>
                <w:szCs w:val="1"/>
                <w:color w:val="auto"/>
              </w:rPr>
            </w:pPr>
          </w:p>
        </w:tc>
      </w:tr>
      <w:tr>
        <w:trPr>
          <w:trHeight w:val="142"/>
        </w:trPr>
        <w:tc>
          <w:tcPr>
            <w:tcW w:w="712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248,620</w:t>
            </w:r>
          </w:p>
        </w:tc>
        <w:tc>
          <w:tcPr>
            <w:tcW w:w="20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204,653</w:t>
            </w: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229,201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(330,079 )</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(328,124 )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(191,615 )</w:t>
            </w: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car wash operations, net of cash</w:t>
            </w:r>
          </w:p>
        </w:tc>
        <w:tc>
          <w:tcPr>
            <w:tcW w:w="260" w:type="dxa"/>
            <w:vAlign w:val="bottom"/>
          </w:tcPr>
          <w:p>
            <w:pPr>
              <w:spacing w:after="0"/>
              <w:rPr>
                <w:sz w:val="12"/>
                <w:szCs w:val="12"/>
                <w:color w:val="auto"/>
              </w:rPr>
            </w:pPr>
          </w:p>
        </w:tc>
        <w:tc>
          <w:tcPr>
            <w:tcW w:w="11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(51,218 )</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(86,703 )</w:t>
            </w:r>
          </w:p>
        </w:tc>
        <w:tc>
          <w:tcPr>
            <w:tcW w:w="0" w:type="dxa"/>
            <w:vAlign w:val="bottom"/>
          </w:tcPr>
          <w:p>
            <w:pPr>
              <w:spacing w:after="0"/>
              <w:rPr>
                <w:sz w:val="1"/>
                <w:szCs w:val="1"/>
                <w:color w:val="auto"/>
              </w:rPr>
            </w:pPr>
          </w:p>
        </w:tc>
      </w:tr>
      <w:tr>
        <w:trPr>
          <w:trHeight w:val="148"/>
        </w:trPr>
        <w:tc>
          <w:tcPr>
            <w:tcW w:w="712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130,227</w:t>
            </w:r>
          </w:p>
        </w:tc>
        <w:tc>
          <w:tcPr>
            <w:tcW w:w="2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119,977</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88,187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(199,852 )</w:t>
            </w:r>
          </w:p>
        </w:tc>
        <w:tc>
          <w:tcPr>
            <w:tcW w:w="2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(259,365 )</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(190,131 )</w:t>
            </w:r>
          </w:p>
        </w:tc>
        <w:tc>
          <w:tcPr>
            <w:tcW w:w="0" w:type="dxa"/>
            <w:vAlign w:val="bottom"/>
          </w:tcPr>
          <w:p>
            <w:pPr>
              <w:spacing w:after="0"/>
              <w:rPr>
                <w:sz w:val="1"/>
                <w:szCs w:val="1"/>
                <w:color w:val="auto"/>
              </w:rPr>
            </w:pPr>
          </w:p>
        </w:tc>
      </w:tr>
      <w:tr>
        <w:trPr>
          <w:trHeight w:val="142"/>
        </w:trPr>
        <w:tc>
          <w:tcPr>
            <w:tcW w:w="71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plans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6,510</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9,777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tax withholding on option exercises</w:t>
            </w:r>
          </w:p>
        </w:tc>
        <w:tc>
          <w:tcPr>
            <w:tcW w:w="26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(19,290 )</w:t>
            </w:r>
          </w:p>
        </w:tc>
        <w:tc>
          <w:tcPr>
            <w:tcW w:w="2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debt borrowings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925,000</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revolving line of credit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debt borrowings</w:t>
            </w: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(905,820 )</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(2,100 )</w:t>
            </w: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revolving line of credit</w:t>
            </w:r>
          </w:p>
        </w:tc>
        <w:tc>
          <w:tcPr>
            <w:tcW w:w="26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(217,000 )</w:t>
            </w:r>
          </w:p>
        </w:tc>
        <w:tc>
          <w:tcPr>
            <w:tcW w:w="2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deferred debt issuance costs</w:t>
            </w: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(5,505 )</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26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(748 )</w:t>
            </w:r>
          </w:p>
        </w:tc>
        <w:tc>
          <w:tcPr>
            <w:tcW w:w="2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(668 )</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(577 )</w:t>
            </w: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(422 )</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(275 )</w:t>
            </w:r>
          </w:p>
        </w:tc>
        <w:tc>
          <w:tcPr>
            <w:tcW w:w="2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8,609</w:t>
            </w:r>
          </w:p>
        </w:tc>
        <w:tc>
          <w:tcPr>
            <w:tcW w:w="22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 and restricted cash during period</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48,493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(46,103 )</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19,119</w:t>
            </w:r>
          </w:p>
        </w:tc>
        <w:tc>
          <w:tcPr>
            <w:tcW w:w="2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65,222</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at end of period</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67,612</w:t>
            </w: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19,119</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65,222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the consolidated balance sheets: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67,463</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65,152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1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67,612</w:t>
            </w:r>
          </w:p>
        </w:tc>
        <w:tc>
          <w:tcPr>
            <w:tcW w:w="2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19,119</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65,222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78,122</w:t>
            </w:r>
          </w:p>
        </w:tc>
        <w:tc>
          <w:tcPr>
            <w:tcW w:w="200" w:type="dxa"/>
            <w:vAlign w:val="bottom"/>
          </w:tcPr>
          <w:p>
            <w:pPr>
              <w:spacing w:after="0"/>
              <w:rPr>
                <w:sz w:val="12"/>
                <w:szCs w:val="12"/>
                <w:color w:val="auto"/>
              </w:rPr>
            </w:pPr>
          </w:p>
        </w:tc>
        <w:tc>
          <w:tcPr>
            <w:tcW w:w="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75,737</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4,221</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in accounts payable</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10,914</w:t>
            </w:r>
          </w:p>
        </w:tc>
        <w:tc>
          <w:tcPr>
            <w:tcW w:w="200" w:type="dxa"/>
            <w:vAlign w:val="bottom"/>
          </w:tcPr>
          <w:p>
            <w:pPr>
              <w:spacing w:after="0"/>
              <w:rPr>
                <w:sz w:val="12"/>
                <w:szCs w:val="12"/>
                <w:color w:val="auto"/>
              </w:rPr>
            </w:pPr>
          </w:p>
        </w:tc>
        <w:tc>
          <w:tcPr>
            <w:tcW w:w="2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17,907</w:t>
            </w:r>
          </w:p>
        </w:tc>
        <w:tc>
          <w:tcPr>
            <w:tcW w:w="22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accrued in other accrued expenses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9,653</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13,303</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option exercise proceeds in other receivables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-3633470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-3633470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-3633470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-3050540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-3050540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-3050540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-1901825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-1901825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-1901825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-1507490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-1507490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-1507490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-899160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-882015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-899160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-882015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ind w:left="47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67,463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814,600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3,101,796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890,613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2,103,444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1,966,501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1,000,000,000 shares authorized,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323,693,863 and 315,192,401 shares outstanding as of</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164,846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998,352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3,101,796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2,881,536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-4516755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-4516755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-3677285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-3677285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-1988185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w:t>
            </w:r>
          </w:p>
        </w:tc>
        <w:tc>
          <w:tcPr>
            <w:tcW w:w="17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vMerge w:val="continue"/>
          </w:tcPr>
          <w:p>
            <w:pPr>
              <w:spacing w:after="0"/>
              <w:rPr>
                <w:sz w:val="10"/>
                <w:szCs w:val="10"/>
                <w:color w:val="auto"/>
              </w:rPr>
            </w:pPr>
          </w:p>
        </w:tc>
        <w:tc>
          <w:tcPr>
            <w:tcW w:w="15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0"/>
                <w:szCs w:val="10"/>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160" w:type="dxa"/>
            <w:vAlign w:val="bottom"/>
            <w:vMerge w:val="restart"/>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data)</w:t>
            </w:r>
          </w:p>
        </w:tc>
        <w:tc>
          <w:tcPr>
            <w:tcW w:w="15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160" w:type="dxa"/>
            <w:vAlign w:val="bottom"/>
            <w:vMerge w:val="continue"/>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300,120,451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(98,423 )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plans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463,038</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5,525,619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interest rate swap</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306,626,530</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783,579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694,100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7,436,819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315,192,401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817,271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437,539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1,390,754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withholding on option exercises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(2,998,694 )</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(19,306 )</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(19,335 )</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9,671,863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323,693,863</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830,264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164,846</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998,352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-2245360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-2245360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-2245360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-2245360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-2245360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-1276985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-1276985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-1276985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-1276985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-1276985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231F20"/>
        </w:rPr>
        <w:t xml:space="preserve">Mister Car Wash, Inc., a Delaware corporation, together with its subsidiaries (collectively,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231F20"/>
        </w:rPr>
        <w:t>us,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231F20"/>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or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is based in Tucson, Arizona and is a provider of conveyorized car wash services. As of December 31, 2024, we operated 514 car washes in 21 states. As of December 31, 2023, we operated 476 car washes in 21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All material intercompany balances and transactions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Within the consolidated financial statements certain immaterial amounts have been reclassified to conform with current presentation. We reclassified Restricted cash of $72 from an individual line item on the consolidated balance sheets at December 31, 2023, to Prepaid expenses and other current assets to conform with the current period presentation.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the disclosure of contingent assets and liabilities at the date of the consolidated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 We place our temporary cash investments with high credit quality financial institutions. At times, such investments may exceed federally insured limits; however, management does not believe we are exposed to any significant credit risk on counter party cash and cash equivalents.</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occasion, we are required to maintain restricted cash deposits with certain banks due to contractual or other legal obligations. At December 31, 2024 and 2023, we had $149 and $72, respectively, in restricted cash set aside for the funding of various maintenance expenses. Restricted cash is recorded in Prepaid expenses and other current assets in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Accounts receivable, net includes amounts due for consumer credit card sales and other trade accounts receivable. Management determines the allowance for doubtful accounts and writes off trade receivables when deemed uncollectible on a specific customer identification basis. Recoveries of trade receivables previously written off are recorded when received. Accounts receivable are presented net of an allowance for doubtful accounts of $123 and $68 at December 31, 2024 and 2023, respectively. The activity in the allowance for doubtful accounts was immaterial for the years ended December 31, 2024, 2023 and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receivables consist primarily of payroll tax withholding and exercise proceeds receivables, construction receivables and insurance receivable from non-healthcare related insurance claims.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2" w:name="page43"/>
    <w:bookmarkEnd w:id="42"/>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record payroll tax withholding and exercise proceeds receivable for amounts due to us from a third-party broker for amounts used to cover tax liability and exercise proceeds resulting from employee exercises of share-based payment awards.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certain build-to-suit lease arrangements, we are responsible for the construction of a lessor owned facility using our designs. As construction occurs, we will recognize a construction receivable on the consolidated balance sheets due from the lessor. To the extent costs exceed the amount to be reimbursed by the lessor, we will consider such costs prepaid rent, which are added to the associated operating lease right of use asset once the lease commences.</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carry a broad range of insurance coverage, including general and business auto liability, commercial property, workers’ compensation, cyber risk, and general umbrella policies. We record receivables from our non-healthcare insurance carriers related to these insurance claims, which are included in other receivables. The receivables are paid when the claim is finalized and the reserved amounts on these claims are expected to be paid within one year.</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withholding and exercise proceeds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receivable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2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Inventory, net consists primarily of chemical washing solutions and is stated at the lower of cost or net realizable value using the average cost method. The activity in the reserve for obsolescence accounts was immaterial for the years ended December 31, 2024, 2023 and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for the periods presented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4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r>
      <w:tr>
        <w:trPr>
          <w:trHeight w:val="210"/>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inventory, gross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purchased are stated at cost less accumulated depreciation. Assets acquired in business combinations are recorded at fair value. Depreciation and amortization are recorded using the straight-line method over the estimated useful lives of the property or related lease term. Amortization of assets under finance leases is included in depreciation expense. Estimated useful lives range from 10 to 40 years for buildings and leasehold improvements, and from 3 to 7 years for machinery and equipment.</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as incurred. Expenditures for major renewals and betterments that extend the useful lives of existing equipment are capitalized.</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items that are disposed of, the cost and related accumulated depreciation are removed from the accounts and any resulting gain or loss is recognized as (gain) loss on sale of assets, net in the accompanying consolidated statements of operations.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carrying value of long-lived assets held and used is periodically reviewed for possible impairment when events and circumstances warrant such a review.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 and Goodwill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classify intangible assets into three categories: (1) intangible assets with definite lives subject to amortization, (2) intangible assets with indefinite lives not subject to amortization and (3) goodwill. The useful lives of our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identifiable intangible assets are determined after considering the specific facts and circumstances related to each intangible asset. The following factors are considered when determining useful lives: the contractual term of any agreement related to the asset, the historical performance of the asset, our long-term strategy for using the asset, any laws or other local regulations which could impact the useful life of the asset, and other economic factors, including competition and specific market conditions.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Intangible assets that are deemed to have definite lives are amortized, primarily on a straight-line basis, over their useful lives, generally ranging from 2 to 10 years. When facts and circumstances indicate that the carrying value of definite-lived intangible assets may not be recoverable, management assesses the recoverability of the carrying value by preparing estimates of sales volume and the resulting profit and cash flows expected to result from the use of the asset or asset group and its eventual disposition. If the sum of the expected future cash flows (undiscounted and without interest charges) is less than the carrying amount, we will recognize an impairment loss. The impairment loss recognized is the amount by which the carrying amount of the asset or asset group exceeds the fair value. We use a variety of methodologies to determine the fair value of these assets, including discounted cash flow models, which are consistent with the assumptions hypothetical marketplace participants would use.</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Intangible assets determined to have indefinite useful lives, including trade names and trademarks, are tested for impairment annually, or more frequently if events or circumstances indicate that assets might be impaired. A variety of methodologies are used in conducting impairment assessments of indefinite-lived intangible assets, including, but not limited to, discounted cash flow models, which are based on the assumptions we believe hypothetical marketplace participants would use. For indefinite-lived intangible assets, other than goodwill, if the carrying amount exceeds the fair value, an impairment charge is recognized in an amount equal to that excess. We have the option to perform a qualitative assessment of indefinite-lived intangible assets, other than goodwill, rather than completing the impairment test. We must assess whether it is more likely than not that the fair value of the intangible asset is less than its carrying amount. If we conclude that this is the case, we must perform the testing described above. Otherwise, we do not need to perform any further assessment. We completed our indefinite-life intangible asset impairment analysis as of October 31, 2024 and 2023 and concluded that it was not more likely than not that the carrying value of the asset may not be recoverable.</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at the reporting unit-level on an annual basis (or more frequently if events or circumstances indicate that the related carrying amount may be impaired). We evaluate qualitative factors to determine if performing the quantitative impairment test is required. If it is determined that it is more likely than not, as defined in the guidance, that the carrying value is less than the fair value, the potential for goodwill impairment is evaluated and the amount of impairment loss, if any, is measured and recognized. If we determine that it is not more likely than not that the carrying value is less than the fair value, no further evaluation is performed. We completed our goodwill impairment test as of October 31, 2024 and 2023 and concluded that it is not more likely than not that the carrying value is less than the fair value, and therefore, no further evaluation was performed.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Debt issuance costs related to a recognized debt liability are presented in the consolidated balance sheets as a direct deduction from the carrying value of the related liability except for debt issuance costs related to our Revolving Commitment arrangement. In the case of the line-of-credit arrangement, regardless of whether there are any outstanding borrowings on the line-of-credit arrangement, related debt issuance costs are presented in other assets in the accompanying consolidated balance sheets.</w:t>
      </w:r>
    </w:p>
    <w:p>
      <w:pPr>
        <w:spacing w:after="0" w:line="72" w:lineRule="exact"/>
        <w:rPr>
          <w:sz w:val="20"/>
          <w:szCs w:val="20"/>
          <w:color w:val="auto"/>
        </w:rPr>
      </w:pPr>
    </w:p>
    <w:p>
      <w:pPr>
        <w:ind w:right="1700"/>
        <w:spacing w:after="0" w:line="375" w:lineRule="auto"/>
        <w:rPr>
          <w:sz w:val="20"/>
          <w:szCs w:val="20"/>
          <w:color w:val="auto"/>
        </w:rPr>
      </w:pPr>
      <w:r>
        <w:rPr>
          <w:rFonts w:ascii="Times New Roman" w:cs="Times New Roman" w:eastAsia="Times New Roman" w:hAnsi="Times New Roman"/>
          <w:sz w:val="18"/>
          <w:szCs w:val="18"/>
          <w:color w:val="auto"/>
        </w:rPr>
        <w:t xml:space="preserve">The direct costs associated with the funding of long-term debt are amortized to interest expense over the term of the applicable loan. </w:t>
      </w:r>
      <w:r>
        <w:rPr>
          <w:rFonts w:ascii="Times New Roman" w:cs="Times New Roman" w:eastAsia="Times New Roman" w:hAnsi="Times New Roman"/>
          <w:sz w:val="18"/>
          <w:szCs w:val="18"/>
          <w:b w:val="1"/>
          <w:bCs w:val="1"/>
          <w:i w:val="1"/>
          <w:iCs w:val="1"/>
          <w:color w:val="auto"/>
        </w:rPr>
        <w:t>Leases</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determine if a contract contains a lease at inception. Our material operating leases consist of car wash locations, warehouses and office space. U.S. GAAP requires that our leases be evaluated and classified as operating or finance leases for financial reporting purposes. The classification evaluation begins at the commencement date, and the lease term used in the evaluation includes the non-cancelable period for which we have the right to use the underlying asset, together with renewal option periods when the exercise of the renewal option is reasonably certain and failure to exercise such option would result in an economic penalty. Nearly all of our car wash and office space leases are classified as operating leases.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disburse cash for leasehold improvements, furniture and fixtures and equipment to build out and equip our leased premises. Tenant improvement allowance incentives may be available to partially offset the cost of developing and opening the related car washes, pursuant to agreed-upon terms in the respective lease agreements. Tenant improvement allowances can take the form of cash payments upon the opening of the related car washes, full or partial credits against rents otherwise payable by us, or a combination thereof. All tenant improvement allowances we receive are recorded as a contra operating lease right of use asset and amortized over the term of the lease.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lease term used for straight-line rent expense is calculated from the commencement date (the date we take possession of the premises) through the lease termination date (including any options where exercise is reasonably certain and failure to exercise such option would result in an economic penalty). The initial lease term of our operating leases ranges from 6 to 50 years. We record rent expense on a straight-line basis beginning on the lease commencement date.</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Maintenance, insurance and property tax expenses are generally accounted for on an accrual basis as variable lease costs. We recognize variable lease cost for operating leases in the period when changes in facts and circumstances on which the variable lease payments are based occur. All operating lease rent expense is included in other store operating expenses or general and administrative expense on the consolidated statements of operations.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record a lease liability for our operating leases equal to the present value of future payments discounted at the estimated fully collateralized incremental borrowing rate (discount rate) corresponding with the lease term as the rate implicit in our leases is not readily determinable. Our operating lease liability calculation is the total rent payable during the lease term, including rent escalations in which the amount of future rent is certain or fixed on the straight-line basis over the term of the lease (including any rent holiday period beginning upon our possession of the premises, and any fixed payments stated in the lease). A corresponding operating lease asset is also recorded equaling the initial amount of the operating lease liability, plus any lease payments made to the lessor before or at the lease commencement date and any initial direct costs incurred, less any lease incentives received. The difference between the minimum rents paid and the straight-line rent is reflected within the associated operating lease right of use asset.</w:t>
      </w:r>
    </w:p>
    <w:p>
      <w:pPr>
        <w:spacing w:after="0" w:line="8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lease agreements do not contain any material residual value guarantees or material restrictive covenants. Additionally, we do not enter into lease transactions with related parties.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make judgments regarding the reasonably certain lease term for each car wash property lease, which can impact the classification and accounting for a lease as finance or operating and/or escalations in payments that are taken into consideration when calculating straight-line rent, and the term over which leasehold improvements for each car wash are amortized. These judgments may produce materially different amounts of depreciation, amortization and rent expense than would be reported if different assumed lease terms were used.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 five-step model is used to recognize revenue from customer contracts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five-step model requires that we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w:t>
      </w:r>
    </w:p>
    <w:p>
      <w:pPr>
        <w:spacing w:after="0" w:line="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recognize revenue in two main streams. First, we offer an Unlimited Wash Club (“UWC”) program to our customers. The UWC program entitles the customer to unlimited washes for a monthly fee, cancelable at any time. We enter into a contract with the customer that falls under the definition of a customer contract under ASC 606. Customers are automatically charged on a credit or debit card on the same day of the month that they originally signed up. Our performance obligation is to provide unlimited car wash services for a monthly fee. The UWC revenue is recognized ratably daily over the month in which it is earned and amounts unearned are recorded as deferred revenue on the consolidated balance sheets. All amounts recorded as deferred revenue at year end are recognized as revenue in the following year. Second, revenue from car wash services are recognized at the point in time services are rendered and the customer pays with cash or credit. Revenues are net of sales tax, refunds and discounts applied as a reduction of revenue at the time of payment.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net revenues for the periods presented: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734,235</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659,612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593,067</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282,424</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promote and sell a limited number of prepaid products, which include discounted car wash packages and gift cards that are not material to the financial statements. We record the sale of these items as deferred revenue, which is reduced for estimated breakage, which is not material to the financial statements. Revenue is recognized based on the terms of the packages and when the prepaid packages or gift cards are redeemed by the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Cost of labor and chemicals include labor costs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on held-for-use assets at the car wash and warehouse 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costs for advertising, onsite collateral, promotional events and sponsorships, and customer retention. Advertising costs totaled approximately $4,253, $7,048 and $4,634 for the years ended December 31, 2024, 2023, and 2022, respectively, and are recorded in other store operating expenses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adopted a more likely than not threshold for financial statement recognition and measurement of an uncertain tax position taken or expected to be taken in a tax return. We recognize interest and penalties related to uncertain tax positions in income tax provision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Taxes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collect sales taxes from customers for taxable services provided and products sold and remit those collected sales and use taxes to the applicable state authorities on a monthly basis. We have adopted a policy of presenting such taxes on revenues on a net basis (excluded from revenues)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represents the cost related to stock-based awards granted to employees. We measure stock-based compensation cost at grant date, based upon the estimated fair value of the award, and recognize cost as expense using the tranche over the employee requisite service period. We estimate the fair value of stock options and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6" w:name="page47"/>
    <w:bookmarkEnd w:id="46"/>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Deferred tax assets are recorded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in the period in which the tax deduction arises.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evaluate each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including applying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all business acquisitions, we recognize, separately from goodwill, the identifiable assets acquired, and liabilities assumed at their estimated acquisition-date fair values. We measure and recognize goodwill as of the acquisition date as the excess of the aggregate of the fair value of consideration transferred over the fair value of assets acquired and liabilities assumed.</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the extent contingencies such as pre-acquisition environmental matters, contingent purchase price consideration, litigation, and related legal fees are resolved or settled during a reporting period after a business combination occurs, the effect of changes in such contingencies is included in results of operations in the periods in which the adjustments are determined. We recognize third-party transaction-related costs as general and administrative in the period in which those costs are incurred.</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information about facts and circumstances existing as of the acquisition date is incomplete by the end of the reporting period in which a business combination occurs, we report provisional amounts for the items for which the accounting is incomplete. This period will not exceed one year from the acquisition date. Any material adjustments recognized during the measurement period are reflected prospectively in the consolidated financial statements of the subsequent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disclose the fair value of our financial instruments based on the fair value hierarchy. The levels of the fair value hierarchy are described as follows: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Level 1—Financial assets and liabilities whose values are based on unadjusted quoted market prices for identical assets and liabilities in an active market that we have the ability to access.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Level 2—Financial assets and liabilities whose values are based on quoted prices in markets that are not active, or model inputs that are observable for substantially the full term of the asset or liability.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Level 3—Financial assets and liabilities whose values are based on prices or valuation techniques that require inputs that are both unobservable and significant to the overall fair value measurement.</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use observable market data, when available, in making fair value measurements. When inputs used to measure fair value fall within different levels of the hierarchy, the level within which the fair value measurement is categorized is based on the lowest level input that is significant to the fair value measurement. A contingent consideration liability related to one of our 2021 acquisitions was measured at fair value (Level 3) on a recurring basis as of December 31, 2024 and 2023. See Note 10 Fair Value Measurements in the consolidated financial statements for additional information regarding the contingent consideration liability.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numerators and denominators of the basic and diluted earnings per share calculations for the periods presented are as follows: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70,239</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320,031,984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311,035,122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303,372,095</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7,694,810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16,778,290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23,617,488</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1,764,137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555,495</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329,513,232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328,239,604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327,560,407</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 - diluted</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-633730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-633730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earnings per share for the periods presented because including them would have been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3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3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4,480,312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3,457,404</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2,204,216</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184,619</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100" w:type="dxa"/>
            <w:vAlign w:val="bottom"/>
          </w:tcPr>
          <w:p>
            <w:pPr>
              <w:spacing w:after="0"/>
              <w:rPr>
                <w:sz w:val="18"/>
                <w:szCs w:val="18"/>
                <w:color w:val="auto"/>
              </w:rPr>
            </w:pPr>
          </w:p>
        </w:tc>
      </w:tr>
      <w:tr>
        <w:trPr>
          <w:trHeight w:val="25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49,859</w:t>
            </w:r>
          </w:p>
        </w:tc>
        <w:tc>
          <w:tcPr>
            <w:tcW w:w="2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20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Credit</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March 2024, we determined that we qualify for $4,663 (net of tax advisory costs) in relief for the period from March 13, 2020 to December 31, 2020. Upon receipt of the credit, we will owe tax advisory costs associated with the assessment of the tax credit. This amount was expensed within General and administrative expenses on our consolidated statements of operations during the year ended December 31, 2024. As there is no authoritative guidance under U.S. GAAP for government assistance to for-profit business entities, the Company accounts for the ERC by analogy to International Accounting Standards 20, or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In accordance with IAS 20, management determined it has reasonable assurance of receipt of the identified ERC amount and recorded the credit in Other income on our consolidated statements of operations during the year ended December 31, 2024. A corresponding accrual of the tax credit receivable was recorded in Other assets on our consolidated balance sheets as of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Accountings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enhanced disclosures regarding significant segment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items for public entities on both an annual and interim basis. Specifically, the update required that entities provide, during interim periods, all disclosures related to a reportable segment's profit or loss and assets that were previously required only on an annual basis. Additionally, this guidance necessitates the disclosure of the title and position of the Chief Operating Decision Maker (“CODM”). The new guidance does not modify how a public entity identifies its operating segments, aggregates them, or applies the quantitative thresholds to determine its reportable segments. This update is effective for fiscal years beginning after December 15, 2023, and interim periods within those fiscal years starting after December 15, 2024. This ASU must be applied retrospectively to all prior periods presented. The Company adopted this ASU during the year ended December 31, 2024. See Note 19 Segment Information in the consolidated financial statements for additional information.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8" w:name="page49"/>
    <w:bookmarkEnd w:id="4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Recently Issued Accounting Pronouncements Not Yet Adopted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material impacts to our consolidated financial statements.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 Reporting Comprehensive Income - 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a PBE to disclose additional information about specific expense categories in the notes to financial statements at interim and annual periods. This information is generally not presented in the financial statements. The ASU requires that at each interim and annual period a PBE: (1) disclose the amounts of (a) purchases of inventory, (b) employee compensation, (c) depreciation, (d) intangible asset amortization, and (e) depreciation, depletion, and amortization; (2) include certain amounts that are already required to be disclosed under current U.S.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periods beginning after December 15, 2026, and interim periods beginning after December 15, 2027, with early adoption permitted. The guidance should be applied either prospectively to financial statements issued for periods after the effective date of this ASU or retrospectively to any or all prior periods presented in the financial statements. We are still assessing the impact of this ASU.</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3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9"/>
        </w:trPr>
        <w:tc>
          <w:tcPr>
            <w:tcW w:w="45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42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r>
      <w:tr>
        <w:trPr>
          <w:trHeight w:val="210"/>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263,468</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Vehicles and equipment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353,660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100,457</w:t>
            </w:r>
          </w:p>
        </w:tc>
        <w:tc>
          <w:tcPr>
            <w:tcW w:w="12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999,116</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(322,676 )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(270,706 )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 finance leases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(4,211 )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(3,289 )</w:t>
            </w: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814,600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-590550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expense was $75,200, $62,214 and $52,715 for the years ended December 31, 2024, 2023 and 2022, respectively. Amortization expense on finance leases was $1,006, $1,005 and $991 for the years ended December 31, 2024, 2023 and 2022, respectively.</w:t>
      </w:r>
    </w:p>
    <w:p>
      <w:pPr>
        <w:spacing w:after="0" w:line="5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committed to a plan to dispose of two car wash locations and entered into agreements to sell them during the first half of 2025. As of December 31, 2024, these locations are classified as held for sale and have a collective net book value of $4,489 primarily related to land and building. The assets of these locations are recorded in property and equipment, net on the consolidated balance sheets. We recorded $1,549 of impairment losses related to the land and building of one of these locations based on the agreed upon sales price. There were no impairments recognized in 2023. In December 2022, we recorded $6,252 of impairment losses primarily related to the land and building of two locations, using independent third-party appraisals to determine the change in market values. These losses are recorded in (gain) loss on sale of assets, net on the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intangibles assets, net consisted of the following as of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17"/>
        </w:trPr>
        <w:tc>
          <w:tcPr>
            <w:tcW w:w="5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8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r>
      <w:tr>
        <w:trPr>
          <w:trHeight w:val="173"/>
        </w:trPr>
        <w:tc>
          <w:tcPr>
            <w:tcW w:w="5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18"/>
                <w:szCs w:val="18"/>
                <w:color w:val="auto"/>
              </w:rPr>
            </w:pPr>
          </w:p>
        </w:tc>
      </w:tr>
      <w:tr>
        <w:trPr>
          <w:trHeight w:val="250"/>
        </w:trPr>
        <w:tc>
          <w:tcPr>
            <w:tcW w:w="5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60,323</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for CPC Unity System, customer relationships, and covenants not to compete are 10.0 years, 7.0 years and 6.3 years, respectively.</w:t>
      </w:r>
    </w:p>
    <w:p>
      <w:pPr>
        <w:spacing w:after="0" w:line="54"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$5,160, $6,772 and $7,874 for the years ended December 31, 2024, 2023 and 2022,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estimated future amortization expense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8"/>
                <w:szCs w:val="18"/>
                <w:color w:val="auto"/>
              </w:rPr>
            </w:pPr>
          </w:p>
        </w:tc>
      </w:tr>
      <w:tr>
        <w:trPr>
          <w:trHeight w:val="250"/>
        </w:trPr>
        <w:tc>
          <w:tcPr>
            <w:tcW w:w="7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consisted of the following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20" w:type="dxa"/>
            <w:vAlign w:val="bottom"/>
            <w:tcBorders>
              <w:bottom w:val="single" w:sz="8" w:color="CFF0FC"/>
            </w:tcBorders>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05"/>
        </w:trPr>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Accrued Expenses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for the periods presented: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0"/>
        </w:trPr>
        <w:tc>
          <w:tcPr>
            <w:tcW w:w="7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7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7"/>
                <w:szCs w:val="17"/>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expense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2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-1842135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-1824990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-1988185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-1842135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Greenfield development accruals represent an obligation to pay for invoices not yet received, primarily related to land and buildings and improvements, on properties which we have taken control of as of December 31, 2024 and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6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provision</w:t>
            </w:r>
          </w:p>
        </w:tc>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27,791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(1,368 )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FF0FC"/>
          </w:tcPr>
          <w:p>
            <w:pPr>
              <w:spacing w:after="0"/>
              <w:rPr>
                <w:sz w:val="18"/>
                <w:szCs w:val="18"/>
                <w:color w:val="auto"/>
              </w:rPr>
            </w:pPr>
          </w:p>
        </w:tc>
      </w:tr>
      <w:tr>
        <w:trPr>
          <w:trHeight w:val="209"/>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84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30,084</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tcBorders>
              <w:top w:val="single" w:sz="8" w:color="CFF0FC"/>
            </w:tcBorders>
          </w:tcPr>
          <w:p>
            <w:pPr>
              <w:spacing w:after="0"/>
              <w:rPr>
                <w:sz w:val="18"/>
                <w:szCs w:val="18"/>
                <w:color w:val="auto"/>
              </w:rPr>
            </w:pPr>
          </w:p>
        </w:tc>
      </w:tr>
      <w:tr>
        <w:trPr>
          <w:trHeight w:val="25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provision</w:t>
            </w:r>
          </w:p>
        </w:tc>
        <w:tc>
          <w:tcPr>
            <w:tcW w:w="36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32,428</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shd w:val="clear" w:color="auto" w:fill="CFF0FC"/>
          </w:tcPr>
          <w:p>
            <w:pPr>
              <w:spacing w:after="0"/>
              <w:rPr>
                <w:sz w:val="22"/>
                <w:szCs w:val="22"/>
                <w:color w:val="auto"/>
              </w:rPr>
            </w:pPr>
          </w:p>
        </w:tc>
      </w:tr>
      <w:tr>
        <w:trPr>
          <w:trHeight w:val="588"/>
        </w:trPr>
        <w:tc>
          <w:tcPr>
            <w:tcW w:w="382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jc w:val="right"/>
              <w:ind w:right="85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9"/>
        </w:trPr>
        <w:tc>
          <w:tcPr>
            <w:tcW w:w="38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-1910715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-1910715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-1353820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-1353820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-1070610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-1053465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-1070610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-1053465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A reconciliation of the statutory income tax rate provision to our provision consisted of the following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at the statutory rate</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21,560</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 credits</w:t>
            </w:r>
          </w:p>
        </w:tc>
        <w:tc>
          <w:tcPr>
            <w:tcW w:w="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(320 )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(532 )</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 adjustment</w:t>
            </w:r>
          </w:p>
        </w:tc>
        <w:tc>
          <w:tcPr>
            <w:tcW w:w="8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(2,115 )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(4,571 )</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50"/>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32,428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income tax expense recorded in 2024 is different from the expected statutory federal and state tax expense primarily due to a $5,862 income tax expense related to equity award exercises and/or vesting in 2024, which is net of the impact of the internal revenue code rules and regulations related to the deductibility of executive compensation by publicly held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42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234,108</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(NOL) carryforwards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tax credit carryforwards,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(286 )</w:t>
            </w:r>
          </w:p>
        </w:tc>
      </w:tr>
      <w:tr>
        <w:trPr>
          <w:trHeight w:val="228"/>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312,072</w:t>
            </w: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303,603</w:t>
            </w:r>
          </w:p>
        </w:tc>
        <w:tc>
          <w:tcPr>
            <w:tcW w:w="120" w:type="dxa"/>
            <w:vAlign w:val="bottom"/>
            <w:tcBorders>
              <w:top w:val="single" w:sz="8" w:color="CFF0FC"/>
            </w:tcBorders>
          </w:tcPr>
          <w:p>
            <w:pPr>
              <w:spacing w:after="0"/>
              <w:rPr>
                <w:sz w:val="19"/>
                <w:szCs w:val="19"/>
                <w:color w:val="auto"/>
              </w:rPr>
            </w:pPr>
          </w:p>
        </w:tc>
      </w:tr>
      <w:tr>
        <w:trPr>
          <w:trHeight w:val="198"/>
        </w:trPr>
        <w:tc>
          <w:tcPr>
            <w:tcW w:w="7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(230,018 )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(208,997 )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(77,040 )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(65,609 )</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(106,083 )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(100,103 )</w:t>
            </w:r>
          </w:p>
        </w:tc>
      </w:tr>
      <w:tr>
        <w:trPr>
          <w:trHeight w:val="216"/>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(672 )</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(413,813 )</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(375,260 )</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(101,741 )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(71,657 )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-1567815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had federal and state net operating loss (“NOL”) carryforwards available of $68,705 and $53,876 at December 31, 2024, respectively. The federal NOL carryforwards can be carried forward indefinitely while $24,099 of the state NOL carryforwards have indefinite lives and the remaining amounts will expire between 2030 and 2043. We had federal interest expense carryforwards of $149,265 at December 31, 2024, which can be carried forward indefinitely. We also had state interest expense carryforwards in 12 states where the amounts vary by jurisdiction, which also have indefinite lives. We had federal and state R&amp;D and other business tax credit carryforwards of $2,816 and $1,076 at December 31, 2024, respectively. The federal business tax credit carryforwards can be carried forward for 20 years and will expire between 2039 and 2044. The state R&amp;D and other business tax credit carryforwards can be carried forward for 10 to 20 years and will expire between 2026 and 2036.</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noted above, we had deferred tax assets related to both federal and state NOL and interest expense carryforwards. When determining the need for a valuation allowance, we consider all available positive and negative evidence, including taxable income in prior carryback years (if carryback is permitted under the relevant tax law), the timing of the reversal of existing taxable temporary differences, tax planning strategies and projected future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taxable income. We adjust the valuation allowance in the period management determines it is more likely than not that we will not realize some or all of the deferred tax assets.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we established valuation allowances of $262 and $286 at December 31, 2024 and 2023, respectively, to offset deferred tax assets. The current and prior year valuation allowance relates to state attributes and carryovers.</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Past ownership changes and other equity transactions may have triggered Sections 382 and 383 of the Internal Revenue Code, resulting in certain annual limitations on the utilization of existing federal and state net operating losses and credits. Such provisions may limit the potential future tax benefit to be realized by us from its accumulated net operating losses and tax credit carryforwards.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file income tax returns in the U.S. federal and various state tax jurisdictions and are subject to varying statutes of limitation in each jurisdiction. As of December 31, 2024, we are not under audit for federal or state income tax purposes. In general, our federal tax return may be subject to examination for the 2021 through 2023 tax years, while for state purposes, the 2020 through 2023 years are generally open to examination, with some states having either a three- or four-year statute of limitations. Our usage of NOL carryovers also permits taxing authorities to adjust aspects of tax returns that may be outside of these statutes of limitation.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contingencies at beginning of period</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2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contingencies at end of period</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had gross unrecognized tax benefits of $542 and $0 as of December 31, 2024 and 2023, respectively, related to federal and state R&amp;D tax credits. All of the unrecognized tax benefits, if recognized, would affect the effective tax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accrued interest and penalties of $42 and $175 as of December 31, 2024 and 2023, respectively, in income tax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Debt consisted of the following as of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60" w:type="dxa"/>
            <w:vAlign w:val="bottom"/>
          </w:tcPr>
          <w:p>
            <w:pPr>
              <w:spacing w:after="0"/>
              <w:rPr>
                <w:sz w:val="12"/>
                <w:szCs w:val="12"/>
                <w:color w:val="auto"/>
              </w:rPr>
            </w:pPr>
          </w:p>
        </w:tc>
        <w:tc>
          <w:tcPr>
            <w:tcW w:w="160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2"/>
                <w:szCs w:val="12"/>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0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First lien term loan</w:t>
            </w:r>
          </w:p>
        </w:tc>
        <w:tc>
          <w:tcPr>
            <w:tcW w:w="8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March</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tcPr>
          <w:p>
            <w:pPr>
              <w:spacing w:after="0"/>
              <w:rPr>
                <w:sz w:val="20"/>
                <w:szCs w:val="20"/>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2031</w:t>
            </w:r>
          </w:p>
        </w:tc>
        <w:tc>
          <w:tcPr>
            <w:tcW w:w="15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7.09%</w:t>
            </w:r>
          </w:p>
        </w:tc>
        <w:tc>
          <w:tcPr>
            <w:tcW w:w="16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8.15%</w:t>
            </w: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920,381</w:t>
            </w:r>
          </w:p>
        </w:tc>
        <w:tc>
          <w:tcPr>
            <w:tcW w:w="260" w:type="dxa"/>
            <w:vAlign w:val="bottom"/>
          </w:tcPr>
          <w:p>
            <w:pPr>
              <w:spacing w:after="0"/>
              <w:rPr>
                <w:sz w:val="20"/>
                <w:szCs w:val="20"/>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Pr>
          <w:p>
            <w:pPr>
              <w:spacing w:after="0"/>
              <w:rPr>
                <w:sz w:val="20"/>
                <w:szCs w:val="20"/>
                <w:color w:val="auto"/>
              </w:rPr>
            </w:pPr>
          </w:p>
        </w:tc>
      </w:tr>
      <w:tr>
        <w:trPr>
          <w:trHeight w:val="216"/>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(4,367 )</w:t>
            </w:r>
          </w:p>
        </w:tc>
        <w:tc>
          <w:tcPr>
            <w:tcW w:w="4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(3,777 )</w:t>
            </w: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(6,920 )</w:t>
            </w: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8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909,094</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88"/>
        </w:trPr>
        <w:tc>
          <w:tcPr>
            <w:tcW w:w="4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9"/>
        </w:trPr>
        <w:tc>
          <w:tcPr>
            <w:tcW w:w="4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-1071245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-1053465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2024, annual maturities of debt were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0"/>
        </w:trPr>
        <w:tc>
          <w:tcPr>
            <w:tcW w:w="7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876,553</w:t>
            </w:r>
          </w:p>
        </w:tc>
        <w:tc>
          <w:tcPr>
            <w:tcW w:w="80" w:type="dxa"/>
            <w:vAlign w:val="bottom"/>
          </w:tcPr>
          <w:p>
            <w:pPr>
              <w:spacing w:after="0"/>
              <w:rPr>
                <w:sz w:val="18"/>
                <w:szCs w:val="18"/>
                <w:color w:val="auto"/>
              </w:rPr>
            </w:pPr>
          </w:p>
        </w:tc>
      </w:tr>
      <w:tr>
        <w:trPr>
          <w:trHeight w:val="250"/>
        </w:trPr>
        <w:tc>
          <w:tcPr>
            <w:tcW w:w="7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maturities of debt</w:t>
            </w:r>
          </w:p>
        </w:tc>
        <w:tc>
          <w:tcPr>
            <w:tcW w:w="4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920,381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231F20"/>
        </w:rPr>
        <w:t>As of December 31, 2024 and 2023, unamortized debt issuance costs was $6,304 and $4,030, respectively, and accumulated amortization of debt issuance costs was $4,018 and $6,145, respectively.</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For the years ended December 31, 2024, 2023 and 2022, the amortization of debt issuance costs in interest expense, net in the consolidated statements of operations was approximately $1,256, $1,698 and $1,698,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First Lien Credit Agreement</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color w:val="231F20"/>
        </w:rPr>
        <w:t>March 2024, we entered into Amendment No. 5 to the Amended and Restated First Lien Credit Agreement with the lenders party thereto, and</w:t>
      </w:r>
      <w:r>
        <w:rPr>
          <w:rFonts w:ascii="Times New Roman" w:cs="Times New Roman" w:eastAsia="Times New Roman" w:hAnsi="Times New Roman"/>
          <w:sz w:val="18"/>
          <w:szCs w:val="18"/>
          <w:color w:val="auto"/>
        </w:rPr>
        <w:t xml:space="preserve"> Bank of America, N.A. (“BofA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Starting September 30, 2024, the loans will be amortized in equal quarterly installments at an annual rate of 1.00% of the original principal amount. In connection with Amendment No. 5, we expensed $1,882 of previously unamortized debt issuance costs as a loss on extinguishment of debt in the consolidated statements of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we </w:t>
      </w:r>
      <w:r>
        <w:rPr>
          <w:rFonts w:ascii="Times New Roman" w:cs="Times New Roman" w:eastAsia="Times New Roman" w:hAnsi="Times New Roman"/>
          <w:sz w:val="18"/>
          <w:szCs w:val="18"/>
          <w:color w:val="231F20"/>
        </w:rPr>
        <w:t>entered into Amendment No. 6 to the Amended and Restated First Lien Credit Agreement with the lenders party thereto, and Bo</w:t>
      </w:r>
      <w:r>
        <w:rPr>
          <w:rFonts w:ascii="Times New Roman" w:cs="Times New Roman" w:eastAsia="Times New Roman" w:hAnsi="Times New Roman"/>
          <w:sz w:val="18"/>
          <w:szCs w:val="18"/>
          <w:color w:val="auto"/>
        </w:rPr>
        <w:t>fA as the successor administrative agent and collateral agent. This amendment further modified the credit agreement by resetting the soft call protection of 1% for voluntary prepayments of the Term Loans to last for six months after the effective date of this Amendment, as well as repricing the Term and Revolving Loans margins, where each was reduced by 0.25%. In connection with Amendment No. 6, we expensed $94 of previously unamortized debt issuance costs as a loss on extinguishment of debt in the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Commitment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2024, we entered into Amendment No. 5 to our Amended and Restated First Lien Credit Agreement to increase our borrowing capacity from $150,000 to $300,000. Any unused commitment fee is also payable based on the First Lien Net Leverage Ratio. The Credit Agreement requires the Borrower to maintain a Rent Adjusted Total Net Leverage Ratio no greater than 6.50 to 1.00, tested quarterly beginning with the quarter ending September 30, 2024, for the benefit of lenders holding the Revolving Commitments.</w:t>
      </w:r>
    </w:p>
    <w:p>
      <w:pPr>
        <w:spacing w:after="0" w:line="7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maximum available borrowing capacity under the Revolving Commitment is reduced by outstanding letters of credit under the Revolving Commitment. As of December 31, 2024 and 2023, the available borrowing capacity under the Revolving Commitment was $299,791 and $149,193, respectively.</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an unused commitment fee based on our First Lien Net Leverage Ratio is payable on the average of the unused borrowing capacity under the Revolving Commitment. As of December 31, 2024 and 2023, the unused commitment fee was 0.25%.</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2024, we have a letter of credit sublimit of $90,000 under the Revolving Commitment, provided that the total utilization of revolving commitments under the Revolving Commitment does not exceed $300,000. Any letter of credit issued under the Amended and Restated Credit Agreement has an expiration date which is the earlier of (i) no later than 12 months from the date of issuance or (ii) five business days prior to the maturity date of the Revolving Commitment, as amended under Amendment No. 2 to Amended and Restated First Lien Credit Agreement. Letters of credit under the Revolving Commitment reduce the maximum available borrowing capacity under the Revolving Commitment. As of December 31, 2024 and 2023, the amounts associated with outstanding letters of credit were $209 and $807,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covenants related to our long-term debt as of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which are measured at fair value on a recurring basis as of December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assets and liabilities which are measured at fair value on a recurring basis as of December 31,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maintain a deferred compensation plan for a select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2024 and 2023, the fair value of our First Lien Term Loan approximated its carrying value due to the debt's variable interest rate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we did not hold any cash investments.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recognized a Level 3 contingent consideration liability in connection with the Downtowner Car Wash acquisition. We measured its contingent consideration liability arising from our 2021 acquisition using Level 3 unobservable inputs. The contingent consideration liability is associated with the achievement of certain targets and is estimated at each balance sheet date by considering among other factors,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results of completed periods and our most recent financial projection for future periods subject to earn-out payments. There are two components to the contingent consideration: a payment when we obtained the certificate of occupancy for the car wash and it opened to the public in 2023 and an ongoing annual payment based on the achievement of certain financial metrics of the business. A change in the forecasted revenue could result in a significantly lower or higher fair value measurement. We determined that there were no significant changes to the unobservable inputs that would have resulted in a change in fair value of this contingent consideration liability at December 31, 2024. During the year ended December 31, 2024, $422 payment was made. During the year ended December 31, 2023, a payment of $500 was made upon the receipt of the certificate of occupancy.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During the years ended </w:t>
      </w:r>
      <w:r>
        <w:rPr>
          <w:rFonts w:ascii="Times New Roman" w:cs="Times New Roman" w:eastAsia="Times New Roman" w:hAnsi="Times New Roman"/>
          <w:sz w:val="18"/>
          <w:szCs w:val="18"/>
          <w:color w:val="000000"/>
        </w:rPr>
        <w:t>December 31, 2024 and 2023, there were no transfers between fair value measurement levels.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Rate Swap</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2020, we entered into a pay-fixed, receive-floating interest rate swap (the “Swap”) to mitigate variability in forecasted interest payments on an amortizing notional of $550,000 of our variable-rate First Lien Term Loan. We designated the Swap as a cash flow hedge. In October 2022, the interest rate swap expired.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2023 and 2022, no amounts were reported.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incremental borrowing rate for a lease is the rate of interest we expect to pay on a collateralized basis to borrow an amount equal to the lease payments under similar terms. To determine the incremental borrowing rates used to discount the lease payments, we estimated our synthetic credit rating and utilized market data for similarly situated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information related to leases consisted of the following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55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55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924,896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833,547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55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937,240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846,862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5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890,613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809,409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55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953,665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868,167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5"/>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expense(a)</w:t>
            </w:r>
          </w:p>
        </w:tc>
        <w:tc>
          <w:tcPr>
            <w:tcW w:w="55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112,647</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102,422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5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5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expense(b)</w:t>
            </w:r>
          </w:p>
        </w:tc>
        <w:tc>
          <w:tcPr>
            <w:tcW w:w="5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55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137,077</w:t>
            </w:r>
          </w:p>
        </w:tc>
        <w:tc>
          <w:tcPr>
            <w:tcW w:w="2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122,707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2180" w:type="dxa"/>
            <w:vAlign w:val="bottom"/>
            <w:tcBorders>
              <w:top w:val="single" w:sz="8" w:color="CFF0FC"/>
            </w:tcBorders>
          </w:tcPr>
          <w:p>
            <w:pPr>
              <w:spacing w:after="0"/>
              <w:rPr>
                <w:sz w:val="24"/>
                <w:szCs w:val="24"/>
                <w:color w:val="auto"/>
              </w:rPr>
            </w:pPr>
          </w:p>
        </w:tc>
        <w:tc>
          <w:tcPr>
            <w:tcW w:w="5540" w:type="dxa"/>
            <w:vAlign w:val="bottom"/>
            <w:tcBorders>
              <w:top w:val="single" w:sz="8" w:color="CFF0FC"/>
            </w:tcBorders>
          </w:tcPr>
          <w:p>
            <w:pPr>
              <w:ind w:left="336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9"/>
        </w:trPr>
        <w:tc>
          <w:tcPr>
            <w:tcW w:w="21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-3959860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-3959860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-2691130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-2691130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-1070610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-1053465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left="520" w:right="54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expense includes an immaterial amount of sublease income and is included in other store operating expenses and general and administrative expenses in the accompanying consolidated statements of operations.</w:t>
      </w:r>
    </w:p>
    <w:p>
      <w:pPr>
        <w:ind w:left="520" w:right="140" w:hanging="512"/>
        <w:spacing w:after="0" w:line="26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primarily of property taxes, property insurance, and common area or other maintenance costs for our leases of land and buildings and is included in other store operating expenses in the accompanying consolidated statements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108,492</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100,586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18"/>
                <w:szCs w:val="18"/>
                <w:color w:val="auto"/>
              </w:rPr>
            </w:pPr>
          </w:p>
        </w:tc>
        <w:tc>
          <w:tcPr>
            <w:tcW w:w="104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141,139</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101,861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assets obtained in exchange for lease liabilities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0"/>
                <w:szCs w:val="20"/>
                <w:color w:val="auto"/>
              </w:rPr>
            </w:pPr>
          </w:p>
        </w:tc>
        <w:tc>
          <w:tcPr>
            <w:tcW w:w="104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finance lease term</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8.10 %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8.06 %</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finance lease discount rate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7.33 %</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7.33 %</w:t>
            </w:r>
          </w:p>
        </w:tc>
      </w:tr>
      <w:tr>
        <w:trPr>
          <w:trHeight w:val="30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lease obligation maturities were as follows: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119,215</w:t>
            </w: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115,219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108,701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1,047,969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1,619,011</w:t>
            </w: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25,708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Present value discount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(679,412 )</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(11,642 )</w:t>
            </w:r>
          </w:p>
        </w:tc>
      </w:tr>
      <w:tr>
        <w:trPr>
          <w:trHeight w:val="20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939,599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14,066</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(48,986 )</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(804 )</w:t>
            </w:r>
          </w:p>
        </w:tc>
      </w:tr>
      <w:tr>
        <w:trPr>
          <w:trHeight w:val="249"/>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obligations</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890,613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Starting Leases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As of December 31, 2024, we entered into 10 leases that had not yet commenced related to build-to-suit arrangements for car wash locations. These leases will commence in years 2025 through 2027 with initial lease terms of 15 to 20 years.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As of December 31, 2023, we entered into 14 leases that had not yet commenced related to build-to-suit arrangements for car wash locations. These leases will commence in years 2024 through 2026 with initial lease terms of 15 to 20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Sale-leaseback Transactions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During the year ended December 31, 2024, we completed 29 sale-leaseback transactions related to car wash locations with aggregate consideration of $134,912 resulting in net losses of $8,862, which is included in (gain) loss on sale of assets, net in the consolidated statements of operations. Contemporaneously with the closing of the sales, we entered into lease agreements for the properties for initial 20-year terms. For the sale-leaseback transactions consummated for the year ended December 31, 2024, the cumulative initial annual rents for the properties were approximately $8,887, subject to annual escalations. These leases are accounted for as operating leases.</w:t>
      </w:r>
    </w:p>
    <w:p>
      <w:pPr>
        <w:spacing w:after="0" w:line="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2023, we </w:t>
      </w:r>
      <w:r>
        <w:rPr>
          <w:rFonts w:ascii="Times New Roman" w:cs="Times New Roman" w:eastAsia="Times New Roman" w:hAnsi="Times New Roman"/>
          <w:sz w:val="18"/>
          <w:szCs w:val="18"/>
          <w:color w:val="231F20"/>
        </w:rPr>
        <w:t>completed 19 sale-leaseback transactions related to car wash locations with aggregate consideration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$123,528, resulting in net gains of $1,074, which is included in (gain) loss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 xml:space="preserve">on sale of assets, net in the consolidated statements of operations. Contemporaneously with the closing of the sales, we entered into lease agreements for the properties for initial 15- to 20-year terms. For the sale-leaseback transactions consummated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the cumulative initial annual rents for the properties were approximately $7,737, subject to annual escalations. These leases are accounted for as operating leases.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1,000,000,000 shares of common stock authorized, 329,866,784 shares of common stock issued, and 323,693,863 shares of common stock outstanding.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there were 5,000,000 shares of preferred stock authorized and none were issued or outstanding.</w:t>
      </w:r>
    </w:p>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use the cost method to account for treasury stock. As of December 31, 2024 and 2023, we had 6,172,921 and 3,174,227 shares of treasury stock, respectively. As of December 31, 2024 and 2023, the cost of treasury stock included in additional paid-in capital in the consolidated balance sheets was $28,895 and $6,091,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2014 Plan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Plan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In June 2021, the Board adopted the 2021 Incentive Award Plan (the “2021 Plan”), which was subsequently approved by the Company's stockholders and became effective on June 25, 2021. Under the 2021 Plan, the Company may grant incentive stock options, nonqualified stock options, restricted stock units (“RSUs”), restricted stock, and other stock- or cash-based awards to its employees, directors, officers, and non-employee consultants. Initially, the maximum number of shares of the Company’s common stock that may be issued under the 2021 Plan is 29,800,000 new shares of common stock, which includes 256,431 shares of common stock that remained available for issuance under the 2014 Plan at June 25, 2021. Any shares of common stock subject to outstanding stock awards granted under the 2014 Plan and, following June 25, 2021, terminate, expire or are otherwise forfeited, reacquired or withheld will become available for issuance under the 2021 Plan.</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All stock options granted under the 2021 Plan are equity-classified and have a contractual life of ten years. Under the 2021 Plan, the stock options contain service-based vesting conditions and generally vest ratably over a three- to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RSUs granted under the 2021 Plan are equity-classified and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ESPP</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periods would commence at approximately the six-month period beginning with an enrollment date and ending with the next exercise date.</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231F20"/>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and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are determined using the Black-Scholes option-pricing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 Valuation</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Plan during </w:t>
      </w:r>
      <w:r>
        <w:rPr>
          <w:rFonts w:ascii="Times New Roman" w:cs="Times New Roman" w:eastAsia="Times New Roman" w:hAnsi="Times New Roman"/>
          <w:sz w:val="18"/>
          <w:szCs w:val="18"/>
          <w:color w:val="000000"/>
        </w:rPr>
        <w:t>the period presented as follows</w:t>
      </w:r>
      <w:r>
        <w:rPr>
          <w:rFonts w:ascii="Times New Roman" w:cs="Times New Roman" w:eastAsia="Times New Roman" w:hAnsi="Times New Roman"/>
          <w:sz w:val="18"/>
          <w:szCs w:val="18"/>
          <w:color w:val="231F20"/>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1840" w:type="dxa"/>
            <w:vAlign w:val="bottom"/>
            <w:tcBorders>
              <w:bottom w:val="single" w:sz="8" w:color="auto"/>
            </w:tcBorders>
            <w:gridSpan w:val="2"/>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40" w:type="dxa"/>
            <w:vAlign w:val="bottom"/>
            <w:tcBorders>
              <w:bottom w:val="single" w:sz="8" w:color="auto"/>
            </w:tcBorders>
            <w:gridSpan w:val="2"/>
          </w:tcPr>
          <w:p>
            <w:pPr>
              <w:jc w:val="right"/>
              <w:ind w:right="6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- 55.99%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- 55.99%</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- 5.38%</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00" w:type="dxa"/>
            <w:vAlign w:val="bottom"/>
          </w:tcPr>
          <w:p>
            <w:pPr>
              <w:spacing w:after="0"/>
              <w:rPr>
                <w:sz w:val="20"/>
                <w:szCs w:val="20"/>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Time Vesting Options granted under the 2014 Plan and 2021 Plan during the periods presented as follows</w:t>
      </w:r>
      <w:r>
        <w:rPr>
          <w:rFonts w:ascii="Times New Roman" w:cs="Times New Roman" w:eastAsia="Times New Roman" w:hAnsi="Times New Roman"/>
          <w:sz w:val="18"/>
          <w:szCs w:val="18"/>
          <w:color w:val="231F20"/>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1920" w:type="dxa"/>
            <w:vAlign w:val="bottom"/>
            <w:tcBorders>
              <w:bottom w:val="single" w:sz="8" w:color="auto"/>
            </w:tcBorders>
            <w:gridSpan w:val="2"/>
          </w:tcPr>
          <w:p>
            <w:pPr>
              <w:jc w:val="right"/>
              <w:ind w:right="7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900" w:type="dxa"/>
            <w:vAlign w:val="bottom"/>
            <w:tcBorders>
              <w:bottom w:val="single" w:sz="8" w:color="auto"/>
            </w:tcBorders>
            <w:gridSpan w:val="2"/>
          </w:tcPr>
          <w:p>
            <w:pPr>
              <w:jc w:val="right"/>
              <w:ind w:right="7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900" w:type="dxa"/>
            <w:vAlign w:val="bottom"/>
            <w:tcBorders>
              <w:bottom w:val="single" w:sz="8" w:color="auto"/>
            </w:tcBorders>
            <w:gridSpan w:val="2"/>
          </w:tcPr>
          <w:p>
            <w:pPr>
              <w:jc w:val="right"/>
              <w:ind w:right="7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- 46.18%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- 46.58%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- 36.95%</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- 3.65%</w:t>
            </w: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6.0</w:t>
            </w:r>
          </w:p>
        </w:tc>
        <w:tc>
          <w:tcPr>
            <w:tcW w:w="2000" w:type="dxa"/>
            <w:vAlign w:val="bottom"/>
            <w:gridSpan w:val="3"/>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6.0 - 6.26</w:t>
            </w:r>
          </w:p>
        </w:tc>
        <w:tc>
          <w:tcPr>
            <w:tcW w:w="2020" w:type="dxa"/>
            <w:vAlign w:val="bottom"/>
            <w:gridSpan w:val="3"/>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6.0 - 6.26</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20"/>
                <w:szCs w:val="20"/>
                <w:color w:val="auto"/>
              </w:rPr>
            </w:pPr>
          </w:p>
        </w:tc>
        <w:tc>
          <w:tcPr>
            <w:tcW w:w="19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Company’s stock option activity during the most recent period presented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Time Vesting</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11,744,894</w:t>
            </w:r>
          </w:p>
        </w:tc>
        <w:tc>
          <w:tcPr>
            <w:tcW w:w="2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19,450,008</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1,652,611</w:t>
            </w: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1,652,611</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(3,864,216 )</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(5,807,647 )</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(9,671,863 )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(395,295 )</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(395,295 )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9,137,994</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1,897,467</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11,035,461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3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Options vested or expected to vest as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8,772,035</w:t>
            </w: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1,897,467</w:t>
            </w: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10,669,502</w:t>
            </w:r>
          </w:p>
        </w:tc>
        <w:tc>
          <w:tcPr>
            <w:tcW w:w="24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5,593,039</w:t>
            </w:r>
          </w:p>
        </w:tc>
        <w:tc>
          <w:tcPr>
            <w:tcW w:w="2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1,897,467</w:t>
            </w:r>
          </w:p>
        </w:tc>
        <w:tc>
          <w:tcPr>
            <w:tcW w:w="2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7,490,506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-462280</wp:posOffset>
            </wp:positionV>
            <wp:extent cx="768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-445135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-462280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-445135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-462280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-445135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most recent period presented is as follows:</w:t>
      </w: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8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8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Time Vesting</w:t>
            </w:r>
          </w:p>
        </w:tc>
        <w:tc>
          <w:tcPr>
            <w:tcW w:w="128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Time Vesting</w:t>
            </w: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3,629,454</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1,652,611</w:t>
            </w:r>
          </w:p>
        </w:tc>
        <w:tc>
          <w:tcPr>
            <w:tcW w:w="260" w:type="dxa"/>
            <w:vAlign w:val="bottom"/>
          </w:tcPr>
          <w:p>
            <w:pPr>
              <w:spacing w:after="0"/>
              <w:rPr>
                <w:sz w:val="18"/>
                <w:szCs w:val="18"/>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(1,419,644 )</w:t>
            </w: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(317,465 )</w:t>
            </w: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3,544,956</w:t>
            </w:r>
          </w:p>
        </w:tc>
        <w:tc>
          <w:tcPr>
            <w:tcW w:w="2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Time Vesting Options granted during the year ended December 31, 2024 was approximately $5,069. The total intrinsic value of options exercised during the years ended December 31, 2024, 2023 and 2022 was $65,821, $54,975 and $63,104,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stock options vested during the years ended December 31, 2024, 2023 and 2022 was $10,227, </w:t>
      </w:r>
      <w:r>
        <w:rPr>
          <w:rFonts w:ascii="Times New Roman" w:cs="Times New Roman" w:eastAsia="Times New Roman" w:hAnsi="Times New Roman"/>
          <w:sz w:val="18"/>
          <w:szCs w:val="18"/>
          <w:color w:val="000000"/>
        </w:rPr>
        <w:t>$10,611 and $19,717, respectively.</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time vesting options granted in 2024, 2023 and 2022, estimated on the dates of grant using the Black-Scholes option pricing model, was $3.13, $4.35 and $4.85, respectively.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2023, the weighted-average remaining contractual life of outstanding stock options was approximately 5.41 years and 3.67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2023, the weighted-average remaining contractual life of currently exercisable stock options was approximately 4.05 years and 2.86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31F20"/>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our RSU activity during the periods presented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3,718,505</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3,118,429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(1,390,754 )</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(633,699 )</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4,812,481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that vested during the year ended December 31, 2024 was $9,909.</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2023, the weighted-average remaining contractual life of outstanding RSUs was approximately 8.89 years and 8.97 years,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The Company estimated a forfeiture rate of 10.03%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Total stock-based compensation expense, by caption, recorded in the consolidated statements of operations for the periods presented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2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benefit for stock-based compensation expense</w:t>
            </w:r>
          </w:p>
        </w:tc>
        <w:tc>
          <w:tcPr>
            <w:tcW w:w="2260" w:type="dxa"/>
            <w:vAlign w:val="bottom"/>
            <w:gridSpan w:val="2"/>
          </w:tcPr>
          <w:p>
            <w:pPr>
              <w:jc w:val="right"/>
              <w:ind w:right="7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(4,524 )</w:t>
            </w:r>
          </w:p>
        </w:tc>
        <w:tc>
          <w:tcPr>
            <w:tcW w:w="46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(4,380 )</w:t>
            </w:r>
          </w:p>
        </w:tc>
        <w:tc>
          <w:tcPr>
            <w:tcW w:w="36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(3,932 )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8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9"/>
        </w:trPr>
        <w:tc>
          <w:tcPr>
            <w:tcW w:w="48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-1233805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-1216660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-1233805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0" w:name="page61"/>
    <w:bookmarkEnd w:id="6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Total stock-based compensation expense, by award type, recorded in the consolidated statements of operations for the periods presented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2024</w:t>
      </w:r>
      <w:r>
        <w:rPr>
          <w:rFonts w:ascii="Times New Roman" w:cs="Times New Roman" w:eastAsia="Times New Roman" w:hAnsi="Times New Roman"/>
          <w:sz w:val="18"/>
          <w:szCs w:val="18"/>
          <w:color w:val="231F20"/>
        </w:rPr>
        <w:t>, total</w:t>
      </w:r>
      <w:r>
        <w:rPr>
          <w:rFonts w:ascii="Times New Roman" w:cs="Times New Roman" w:eastAsia="Times New Roman" w:hAnsi="Times New Roman"/>
          <w:sz w:val="18"/>
          <w:szCs w:val="18"/>
          <w:color w:val="auto"/>
        </w:rPr>
        <w:t xml:space="preserve"> unrecognized </w:t>
      </w:r>
      <w:r>
        <w:rPr>
          <w:rFonts w:ascii="Times New Roman" w:cs="Times New Roman" w:eastAsia="Times New Roman" w:hAnsi="Times New Roman"/>
          <w:sz w:val="18"/>
          <w:szCs w:val="18"/>
          <w:color w:val="231F20"/>
        </w:rPr>
        <w:t>compensation expense related to unvested Time Vesting Options was</w:t>
      </w:r>
      <w:r>
        <w:rPr>
          <w:rFonts w:ascii="Times New Roman" w:cs="Times New Roman" w:eastAsia="Times New Roman" w:hAnsi="Times New Roman"/>
          <w:sz w:val="18"/>
          <w:szCs w:val="18"/>
          <w:color w:val="auto"/>
        </w:rPr>
        <w:t xml:space="preserve"> $5,679</w:t>
      </w:r>
      <w:r>
        <w:rPr>
          <w:rFonts w:ascii="Times New Roman" w:cs="Times New Roman" w:eastAsia="Times New Roman" w:hAnsi="Times New Roman"/>
          <w:sz w:val="18"/>
          <w:szCs w:val="18"/>
          <w:color w:val="231F20"/>
        </w:rPr>
        <w:t>, which is expected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recognized over a weighted-average period of 1.99 years.</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2024</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there was no unrecognized compensation expense related to unvested </w:t>
      </w:r>
      <w:r>
        <w:rPr>
          <w:rFonts w:ascii="Times New Roman" w:cs="Times New Roman" w:eastAsia="Times New Roman" w:hAnsi="Times New Roman"/>
          <w:sz w:val="18"/>
          <w:szCs w:val="18"/>
          <w:color w:val="231F20"/>
        </w:rPr>
        <w:t>Performance Vesting Options</w:t>
      </w:r>
      <w:r>
        <w:rPr>
          <w:rFonts w:ascii="Times New Roman" w:cs="Times New Roman" w:eastAsia="Times New Roman" w:hAnsi="Times New Roman"/>
          <w:sz w:val="18"/>
          <w:szCs w:val="18"/>
          <w:color w:val="auto"/>
        </w:rPr>
        <w:t xml:space="preserve"> as the completion of the IPO 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December 31, 2024</w:t>
      </w:r>
      <w:r>
        <w:rPr>
          <w:rFonts w:ascii="Times New Roman" w:cs="Times New Roman" w:eastAsia="Times New Roman" w:hAnsi="Times New Roman"/>
          <w:sz w:val="18"/>
          <w:szCs w:val="18"/>
          <w:color w:val="231F20"/>
        </w:rPr>
        <w:t>, total unrecognized compensation expense related to unvested RSUs was</w:t>
      </w:r>
      <w:r>
        <w:rPr>
          <w:rFonts w:ascii="Times New Roman" w:cs="Times New Roman" w:eastAsia="Times New Roman" w:hAnsi="Times New Roman"/>
          <w:sz w:val="18"/>
          <w:szCs w:val="18"/>
          <w:color w:val="auto"/>
        </w:rPr>
        <w:t xml:space="preserve"> $17,625</w:t>
      </w:r>
      <w:r>
        <w:rPr>
          <w:rFonts w:ascii="Times New Roman" w:cs="Times New Roman" w:eastAsia="Times New Roman" w:hAnsi="Times New Roman"/>
          <w:sz w:val="18"/>
          <w:szCs w:val="18"/>
          <w:color w:val="231F20"/>
        </w:rPr>
        <w:t>, which is expected to be recognized over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weighted-average period of 2.05 years.</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2024</w:t>
      </w:r>
      <w:r>
        <w:rPr>
          <w:rFonts w:ascii="Times New Roman" w:cs="Times New Roman" w:eastAsia="Times New Roman" w:hAnsi="Times New Roman"/>
          <w:sz w:val="18"/>
          <w:szCs w:val="18"/>
          <w:color w:val="231F20"/>
        </w:rPr>
        <w:t>, total unrecognized compensation expense related to unvested stock purchase rights under the 2021 ESPP was</w:t>
      </w:r>
      <w:r>
        <w:rPr>
          <w:rFonts w:ascii="Times New Roman" w:cs="Times New Roman" w:eastAsia="Times New Roman" w:hAnsi="Times New Roman"/>
          <w:sz w:val="18"/>
          <w:szCs w:val="18"/>
          <w:color w:val="auto"/>
        </w:rPr>
        <w:t xml:space="preserve"> $307</w:t>
      </w:r>
      <w:r>
        <w:rPr>
          <w:rFonts w:ascii="Times New Roman" w:cs="Times New Roman" w:eastAsia="Times New Roman" w:hAnsi="Times New Roman"/>
          <w:sz w:val="18"/>
          <w:szCs w:val="18"/>
          <w:color w:val="231F20"/>
        </w:rPr>
        <w:t>, which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expected to be recognized over a weighted-average period of 0.37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Retirement Savings Plan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January 2011, we established a defined contribution 401(k)-plan to benefit certain employees. The 401(k)-plan sponsor is a wholly owned subsidiary of the Company. Employees are eligible to participate if they are at least 18 years of age and have worked for the Company for at least six months. We may make discretionary matching contributions. For the years ended December 31, 2024, 2023 and 2022, we made $1,341, $1,232, and $1,153, respectively, of matching contributions.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maintain a nonqualified deferred compensation plan for certain management employees. Under the deferred compensation plan, a participant may elect to defer up to 90% of their base salary, 90% of their annual bonus, and/or 100% of 401(k) contributions that fail the top-heavy testing for highly compensated employees. We may make discretionary matching contributions. As of December 31, 2024 and 2023, the deferred compensation liability under this plan within accrued payroll and related expenses was $4,425 and $3,961,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Combinations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From time to time, we may pursue acquisitions of conveyorized car washes that either strategically fit with the business or expand our presence in new and attractive markets.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an acquired business starting from the effective date of the acquisition. We expensed $0, $208 and $647 of acquisition-related costs for the years ended December 31, 2024, 2023 and 2022, respectively. These acquisition-related costs are expensed as incurred and are included in general and administrative expenses in the accompanying consolidated statements of operations.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both years ended December 31, 2024 and 2023, the amount of acquired goodwill that is not deductible for income tax purposes was $0. The goodwill recognized in 2023 was primarily attributable to the expected synergies to be achieved from the business combinations.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the year ended December 31, 2024, we did not consummate any acquisitions.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2023, we acquired the assets and liabilities of six conveyorized car washes in two acquisitions for total consideration of approximately $51,217, which was paid in cash. These acquisitions resulted in the preliminary recognition of $24,919 of goodwill, $22,555 of property and equipment, $3,580 of ROU assets, $640 of intangible assets, $101 of other net liabilities, and $376 of a bargain purchase gain. The bargain purchase gain is not material and is recorded within (gain) loss on sale of assets, net on the consolidated statements of operations. We do not believe these acquisitions are material to our overall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(Seller)</w:t>
            </w: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Washes</w:t>
            </w:r>
          </w:p>
        </w:tc>
        <w:tc>
          <w:tcPr>
            <w:tcW w:w="1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Acquired</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(Dynamite Car Wash)</w:t>
            </w:r>
          </w:p>
        </w:tc>
        <w:tc>
          <w:tcPr>
            <w:tcW w:w="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 (Cruizers Car Wash)</w:t>
            </w:r>
          </w:p>
        </w:tc>
        <w:tc>
          <w:tcPr>
            <w:tcW w:w="18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Unaudited Supplemental Pro Forma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unaudited supplemental pro forma information for the periods presented as if the business combinations had occurred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January 1, 2022:</w:t>
      </w:r>
    </w:p>
    <w:p>
      <w:pPr>
        <w:spacing w:after="0" w:line="92"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ind w:left="834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tbl>
      <w:tblPr>
        <w:tblLayout w:type="fixed"/>
        <w:tblInd w:w="0" w:type="dxa"/>
        <w:tblCellMar>
          <w:top w:w="0" w:type="dxa"/>
          <w:left w:w="0" w:type="dxa"/>
          <w:bottom w:w="0" w:type="dxa"/>
          <w:right w:w="0" w:type="dxa"/>
        </w:tblCellMar>
      </w:tblP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9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r>
    </w:tbl>
    <w:p>
      <w:pPr>
        <w:spacing w:after="0" w:line="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31F20"/>
        </w:rPr>
        <w:t>The pro forma results presented above primarily include amortization charges for acquired intangible assets, depreciation adjustments for property and equipment that has been revalued, adjustments for certain acquisition-related charges, and the related tax effects. The pro forma information is presented for information purposes only and is not indicative of the results of operations that would have been achieved if the acquisitions had taken place at such time.</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For the year ended December 31, 2023 the revenues and earnings of the acquisitions reflected in the accompanying consolidated statements of operations were $6,415 and $1,356,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or the years ended December 31, 2024, 2023, and 2022, total fees and expenses paid by the Company to Leonard Green Partners (“LGP”), the majority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owner of the Company were not material. Fees and expenses paid to LGP are included in general and administrative expenses in the accompanying consolidated statements of operations.</w:t>
      </w:r>
    </w:p>
    <w:p>
      <w:pPr>
        <w:spacing w:after="0" w:line="64" w:lineRule="exact"/>
        <w:rPr>
          <w:sz w:val="20"/>
          <w:szCs w:val="20"/>
          <w:color w:val="auto"/>
        </w:rPr>
      </w:pPr>
    </w:p>
    <w:p>
      <w:pPr>
        <w:ind w:right="8420" w:firstLine="8"/>
        <w:spacing w:after="0" w:line="378" w:lineRule="auto"/>
        <w:tabs>
          <w:tab w:leader="none" w:pos="27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color w:val="231F20"/>
        </w:rPr>
        <w:t>Litigation</w:t>
      </w: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On February 14, 2023, a plaintiff filed a purported class action lawsuit in the Stanislaus County Superior Court, California, on behalf of all non-exempt employees employed by Defendants Prime Shine LLC, a wholly-owned subsidiary of the Company, in California any time between February 14, 2019, and the present, against Prime Shine, LLC and Does 1 – 20 inclusive. Plaintiff alleges eight claims for violations of the California Labor Code and one claim for violation of the California Business and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agreed to settle the lawsuit. A financial amount was accrued that was not material to our consolidated financial statements. A formal written settlement agreement has been executed by the parties and the Court granted preliminary approval of settlement. No putative class members objected or opted out of the settlement during the class action settlement notice period. The Court entered final approval of the class action settlement on July 19, 2024. In August 2024, the Company made the settlement payment in accordance with the Court's final approval, fulfilling our financial obligation under the terms of the settlement agreement. By mid-2025, the court clerk is expected to administratively close the case.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Insurance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 xml:space="preserve">We carry a broad range of insurance coverage, including general and business auto liability, commercial property, workers’ compensation, cyber risk, directors and officers, and general umbrella policies. As of December 31, 2024 and 2023, we accrued </w:t>
      </w:r>
      <w:r>
        <w:rPr>
          <w:rFonts w:ascii="Times New Roman" w:cs="Times New Roman" w:eastAsia="Times New Roman" w:hAnsi="Times New Roman"/>
          <w:sz w:val="18"/>
          <w:szCs w:val="18"/>
          <w:color w:val="000000"/>
        </w:rPr>
        <w:t>$4,803 and</w:t>
      </w:r>
      <w:r>
        <w:rPr>
          <w:rFonts w:ascii="Times New Roman" w:cs="Times New Roman" w:eastAsia="Times New Roman" w:hAnsi="Times New Roman"/>
          <w:sz w:val="18"/>
          <w:szCs w:val="18"/>
          <w:color w:val="231F20"/>
        </w:rPr>
        <w:t xml:space="preserve"> $4,311, respectively, for assessments on insurance claims filed, which are included in other accrued expenses in the accompanying consolidated balance sheets. As of December 31, 2024 and 2023, we recorded $4,250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$3,686, respectively, in other receivables from our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Environmental Matters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us by regulatory agencies or private parties for environmental matters relating to the handling of hazardous substances by us, and we have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December 31, 2024.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its consolidated financial statements.</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December 31, 2024 and 2023, we recorded an environmental remediation accrual of $25 and $15, respectively, which is included in other accrued expenses in the accompanying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where it derives its revenues from activities related to providing car wash services at its car wash locations that are geographically diversified throughout the United States and have similar economic characteristics and nature of services.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assess consolidated performance the chief operating decision maker (“CODM”), who is the Chief Executive Officer, evaluates the operating results and performance through net income. Our CODM regularly reviews net income as reported on the consolidated statement of operations and total assets as reported on the consolidated balance sheet for purposes of evaluating performance, allocating resources, setting incentive compensation targets, and planning and forecasting future periods. As presented on the consolidated statements of operations, the CODM views consolidated expense information related to the cost of labor and chemicals, other store operating expenses, and general and administrative expenses to be significant and there are no other significant segment expenses or items that would require disclosure.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82" w:lineRule="exact"/>
        <w:rPr>
          <w:sz w:val="20"/>
          <w:szCs w:val="20"/>
          <w:color w:val="auto"/>
        </w:rPr>
      </w:pPr>
    </w:p>
    <w:p>
      <w:pPr>
        <w:ind w:right="3760"/>
        <w:spacing w:after="0" w:line="39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 is recorded, processed, summarized and reported on a timely basis, we have developed and implemented disclosure controls and procedures. Our management, with the participation of our President and Chief Executive Officer and Chief Financial Officer, has evaluated the effectiveness of our disclosure controls and procedures (as such term is defined in Rules 13a-15(e) and 15d-15(e) under the Exchange Act as of the end of the period covered by this Annual Report on Form 10-K. Based on that evaluation, our management, including the President and Chief Executive Officer and Chief Financial Officer, has concluded that our disclosure controls and procedures were effective as of December 31, 2024 in ensuring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fourth quarter of 2024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Using criteria set forth by the Committee of Sponsoring Organizations of the Treadway Commission (COSO) in Internal Control-Integrated Framework (2013 framework), our management assessed the effectiveness of our internal control over financial reporting as of December 31, 2024.</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concluded that, as of December 31, 2024, our internal control over financial reporting was effective to provide reasonable assurance regarding the reliability of financial reporting and the preparation of financial statements for external purposes in accordance with U.S. GAAP.</w:t>
      </w:r>
    </w:p>
    <w:p>
      <w:pPr>
        <w:spacing w:after="0" w:line="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Deloitte &amp; Touche LLP, has also audited the effectiveness of our internal control over financial reporting as of December 31, 2024. Their report is included herein.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Mister Car Wash,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Mister Car Wash,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21, 2025,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 Arrangements</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During the quarter ended December 31, 2024, none of our directors or officers (as defined in Rule 16a-1 of the Exchange Act) adopted, modified or terminated a Rule 10b5-1 trading arrangement or a non-Rule 10b5-1 trading arrangement (as such terms are defined under Item 408 of Regulation S-K).</w:t>
      </w:r>
    </w:p>
    <w:p>
      <w:pPr>
        <w:spacing w:after="0" w:line="28" w:lineRule="exact"/>
        <w:rPr>
          <w:sz w:val="20"/>
          <w:szCs w:val="20"/>
          <w:color w:val="auto"/>
        </w:rPr>
      </w:pPr>
    </w:p>
    <w:p>
      <w:pPr>
        <w:ind w:right="498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66" w:name="page67"/>
    <w:bookmarkEnd w:id="6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Mister Car Wash has an insider trading policy governing the purchase, sale and other dispositions of Mister Car Wash’s securities that applies to all personnel of Mister Car Wash and its subsidiaries, including directors, officers and employees and other covered persons, as well as the Company itself. Mister Car Wash believes that its insider trading policy is reasonably designed to promote compliance with insider trading laws, rules and regulations, as well as applicable listing standards. A copy of Mister Car Wash’s insider trading policy is filed as Exhibit 19.1 to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(the “Code of Conduct”) applicable to all of our officers, directors, and employees. Our Code of Conduct is available on our website at </w:t>
      </w:r>
      <w:r>
        <w:rPr>
          <w:rFonts w:ascii="Times New Roman" w:cs="Times New Roman" w:eastAsia="Times New Roman" w:hAnsi="Times New Roman"/>
          <w:sz w:val="18"/>
          <w:szCs w:val="18"/>
          <w:i w:val="1"/>
          <w:iCs w:val="1"/>
          <w:color w:val="auto"/>
        </w:rPr>
        <w:t>www.mistercarwash.com</w:t>
      </w:r>
      <w:r>
        <w:rPr>
          <w:rFonts w:ascii="Times New Roman" w:cs="Times New Roman" w:eastAsia="Times New Roman" w:hAnsi="Times New Roman"/>
          <w:sz w:val="18"/>
          <w:szCs w:val="18"/>
          <w:color w:val="auto"/>
        </w:rPr>
        <w:t xml:space="preserve"> under Investor Relations. Our Code of Conduct is a “code of ethics” as defined in Item 406(b) of Regulation S-K. We intend to make any legally required disclosures regarding amendments to, or waivers of, provisions of our Code of Conduct on our website.</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other information responsive to this item is incorporated herein by reference to our Proxy Statement with respect to our 2025 Annual Meeting of Stockholders to be filed with the SEC within 120 days after the end of our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2025 Annual Meeting of Stockholders to be filed with the SEC within 120 days after the end of our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2025 Annual Meeting of Stockholders to be filed with the SEC within 120 days after the end of our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2025 Annual Meeting of Stockholders to be filed with the SEC within 120 days after the end of our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(PCAOB ID No. 34).</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2025 Annual Meeting of Stockholders to be filed with the SEC within 120 days after the end of our fiscal year covered by this Annual Report on Form 10-K.</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67" w:name="page68"/>
    <w:bookmarkEnd w:id="67"/>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13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All consolidated financial statements as set forth under Part II, Item 8 of this Annual Report on Form 10-K.</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Supplementary Financial Statement Schedules: Supplementary schedules have not been included because they are not applicable or because the information is included elsewhere in this report.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tbl>
      <w:tblPr>
        <w:tblLayout w:type="fixed"/>
        <w:tblInd w:w="0" w:type="dxa"/>
        <w:tblCellMar>
          <w:top w:w="0" w:type="dxa"/>
          <w:left w:w="0" w:type="dxa"/>
          <w:bottom w:w="0" w:type="dxa"/>
          <w:right w:w="0" w:type="dxa"/>
        </w:tblCellMar>
      </w:tblPr>
      <w:tr>
        <w:trPr>
          <w:trHeight w:val="151"/>
        </w:trPr>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20" w:type="dxa"/>
            <w:vAlign w:val="bottom"/>
            <w:gridSpan w:val="1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3"/>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5120" w:type="dxa"/>
            <w:vAlign w:val="bottom"/>
            <w:gridSpan w:val="17"/>
          </w:tcPr>
          <w:p>
            <w:pPr>
              <w:spacing w:after="0" w:line="16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Equity Purchase Agreement, dated December 8, 2021, by and among</w:t>
              </w:r>
            </w:hyperlink>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05/13/2022</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Sunshine Acquisition Sub Corp., Clean Streak Ventures, LLC,</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MDKMH Partners, Inc., Clean Streak Ventures Intermediate Holdco,</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LLC (the “CSV Seller”), MKH Capital Partners Offshore Fund I, LP</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(the “CSV Blocker Seller” and together with the CSV Seller, each a</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“Seller” and together the “Sellers”), and Clean Streak Ventures Holdco,</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LLC, as the representative of the Sellers.</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Amended and Restated Certificate of Incorporation of the Company</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06/01/2022</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120" w:type="dxa"/>
            <w:vAlign w:val="bottom"/>
            <w:gridSpan w:val="17"/>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Certificate of Amendment to Amended and Restated Certificate of</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Incorporation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Amended and Restated Bylaws of the Company</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07/02/2021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Description of Capital Stock</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Amended and Restated Shareholders Agreement, dated June 29, 2021,</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07/02/2021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among the Company and certain of its shareholders</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Second Amendment to the First Lien Term Loan Agreement, dated</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10.1(b)</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6/17/2021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June 4, 2021, by and among Mister Car Wash Holdings, Inc. and the</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parties thereto named therein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Amended and Restated First Lien Term Loan Agreement, dated May</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w w:val="98"/>
              </w:rPr>
            </w:pPr>
            <w:hyperlink r:id="rId332">
              <w:r>
                <w:rPr>
                  <w:rFonts w:ascii="Times New Roman" w:cs="Times New Roman" w:eastAsia="Times New Roman" w:hAnsi="Times New Roman"/>
                  <w:sz w:val="18"/>
                  <w:szCs w:val="18"/>
                  <w:color w:val="0000FF"/>
                  <w:w w:val="98"/>
                </w:rPr>
                <w:t>14, 2019, by and among Mister Car Wash Holdings, Inc. and the parties</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thereto named therein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First Amendment to the Amended and Restated First Lien Term Loan</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10.1(a)</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Agreement, dated February 5, 2020, by and among Mister Car Wash</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Holdings, Inc. and the parties thereto named therein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Second Amendment to the First Lien Term Loan Agreement, dated</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June 4, 2021, by and among Mister Car Wash Holdings, Inc. and the</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parties thereto named therein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First Amendment to the Second Lien Term Loan Agreement, dated</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10.2(a)</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w w:val="98"/>
              </w:rPr>
            </w:pPr>
            <w:hyperlink r:id="rId335">
              <w:r>
                <w:rPr>
                  <w:rFonts w:ascii="Times New Roman" w:cs="Times New Roman" w:eastAsia="Times New Roman" w:hAnsi="Times New Roman"/>
                  <w:sz w:val="18"/>
                  <w:szCs w:val="18"/>
                  <w:color w:val="0000FF"/>
                  <w:w w:val="98"/>
                </w:rPr>
                <w:t>March 31, 2020, by and among Mister Car Wash Holdings, Inc. and the</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parties thereto named therein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Third Amendment to the First Lien Term Loan Agreement, dated</w:t>
              </w:r>
            </w:hyperlink>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03/25/2022</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December 8, 2021, by and among Mister Car Wash Holdings, Inc. and</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780" w:type="dxa"/>
            <w:vAlign w:val="bottom"/>
            <w:gridSpan w:val="1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7"/>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the parties thereto named therein</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Borders>
              <w:top w:val="single" w:sz="8" w:color="0000FF"/>
            </w:tcBorders>
            <w:gridSpan w:val="5"/>
          </w:tcPr>
          <w:p>
            <w:pPr>
              <w:spacing w:after="0"/>
              <w:rPr>
                <w:sz w:val="24"/>
                <w:szCs w:val="24"/>
                <w:color w:val="auto"/>
              </w:rPr>
            </w:pPr>
          </w:p>
        </w:tc>
        <w:tc>
          <w:tcPr>
            <w:tcW w:w="24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9"/>
        </w:trPr>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0" w:type="dxa"/>
            <w:vAlign w:val="bottom"/>
            <w:gridSpan w:val="26"/>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Amendment No. 5 to the First Lien Term Loan Agreement, dated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March 27, 2024, by and among Mister Car Wash Holdings, Inc.,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the parties thereto named therein.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Amendment No. 6 to the First Lien Term Loan Agreement, dated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November 26, 2024, by and among Mister Car Wash Holdings, Inc.,</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and the parties thereto named therein.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3680" w:type="dxa"/>
            <w:vAlign w:val="bottom"/>
            <w:gridSpan w:val="13"/>
          </w:tcPr>
          <w:p>
            <w:pPr>
              <w:spacing w:after="0" w:line="182"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2014 Stock Option Plan of Hotshine Holdings, Inc.</w:t>
              </w:r>
            </w:hyperlink>
          </w:p>
        </w:tc>
        <w:tc>
          <w:tcPr>
            <w:tcW w:w="16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3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19"/>
                <w:szCs w:val="19"/>
                <w:color w:val="auto"/>
              </w:rPr>
            </w:pPr>
          </w:p>
        </w:tc>
        <w:tc>
          <w:tcPr>
            <w:tcW w:w="5200" w:type="dxa"/>
            <w:vAlign w:val="bottom"/>
            <w:gridSpan w:val="26"/>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Option Agreement under the 2014 Stock Option Plan of</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Hotshine Holdings, Inc. Form of Option Agreement under the 2014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Stock Option Plan of Hotshine Holdings, Inc.</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3660" w:type="dxa"/>
            <w:vAlign w:val="bottom"/>
            <w:gridSpan w:val="12"/>
          </w:tcPr>
          <w:p>
            <w:pPr>
              <w:spacing w:after="0" w:line="182"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Mister Car Wash, Inc. 2021 Incentive Award Plan</w:t>
              </w:r>
            </w:hyperlink>
          </w:p>
        </w:tc>
        <w:tc>
          <w:tcPr>
            <w:tcW w:w="180" w:type="dxa"/>
            <w:vAlign w:val="bottom"/>
            <w:gridSpan w:val="2"/>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3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2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spacing w:after="0" w:line="223"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4300" w:type="dxa"/>
            <w:vAlign w:val="bottom"/>
            <w:gridSpan w:val="16"/>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Mister Car Wash, Inc. 2021 Employee Stock Purchase Plan</w:t>
              </w:r>
            </w:hyperlink>
          </w:p>
        </w:tc>
        <w:tc>
          <w:tcPr>
            <w:tcW w:w="2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20" w:type="dxa"/>
            <w:vAlign w:val="bottom"/>
            <w:gridSpan w:val="3"/>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spacing w:after="0" w:line="223"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1"/>
                <w:szCs w:val="21"/>
                <w:color w:val="auto"/>
              </w:rPr>
              <w:t>†</w:t>
            </w:r>
          </w:p>
        </w:tc>
        <w:tc>
          <w:tcPr>
            <w:tcW w:w="35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Mister Car Wash, Inc. Executive Severance Plan</w:t>
            </w:r>
          </w:p>
        </w:tc>
        <w:tc>
          <w:tcPr>
            <w:tcW w:w="280" w:type="dxa"/>
            <w:vAlign w:val="bottom"/>
            <w:gridSpan w:val="3"/>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340" w:type="dxa"/>
            <w:vAlign w:val="bottom"/>
            <w:gridSpan w:val="2"/>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20" w:type="dxa"/>
            <w:vAlign w:val="bottom"/>
            <w:gridSpan w:val="3"/>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spacing w:after="0" w:line="223"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3380" w:type="dxa"/>
            <w:vAlign w:val="bottom"/>
            <w:gridSpan w:val="9"/>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Non-Employee Director Compensation Policy</w:t>
              </w:r>
            </w:hyperlink>
          </w:p>
        </w:tc>
        <w:tc>
          <w:tcPr>
            <w:tcW w:w="40" w:type="dxa"/>
            <w:vAlign w:val="bottom"/>
            <w:vMerge w:val="restart"/>
          </w:tcPr>
          <w:p>
            <w:pPr>
              <w:spacing w:after="0"/>
              <w:rPr>
                <w:sz w:val="19"/>
                <w:szCs w:val="19"/>
                <w:color w:val="auto"/>
              </w:rPr>
            </w:pPr>
          </w:p>
        </w:tc>
        <w:tc>
          <w:tcPr>
            <w:tcW w:w="420" w:type="dxa"/>
            <w:vAlign w:val="bottom"/>
            <w:gridSpan w:val="4"/>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340" w:type="dxa"/>
            <w:vAlign w:val="bottom"/>
            <w:gridSpan w:val="2"/>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20" w:type="dxa"/>
            <w:vAlign w:val="bottom"/>
            <w:gridSpan w:val="3"/>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spacing w:after="0" w:line="223" w:lineRule="exact"/>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3980" w:type="dxa"/>
            <w:vAlign w:val="bottom"/>
            <w:gridSpan w:val="15"/>
          </w:tcPr>
          <w:p>
            <w:pPr>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Form of Indemnification and Advancement Agreement</w:t>
              </w:r>
            </w:hyperlink>
          </w:p>
        </w:tc>
        <w:tc>
          <w:tcPr>
            <w:tcW w:w="340" w:type="dxa"/>
            <w:vAlign w:val="bottom"/>
            <w:gridSpan w:val="2"/>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20" w:type="dxa"/>
            <w:vAlign w:val="bottom"/>
            <w:gridSpan w:val="3"/>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spacing w:after="0" w:line="223" w:lineRule="exact"/>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2840" w:type="dxa"/>
            <w:vAlign w:val="bottom"/>
            <w:gridSpan w:val="6"/>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Employment Agreement with John Lai</w:t>
              </w:r>
            </w:hyperlink>
          </w:p>
        </w:tc>
        <w:tc>
          <w:tcPr>
            <w:tcW w:w="20" w:type="dxa"/>
            <w:vAlign w:val="bottom"/>
            <w:vMerge w:val="restart"/>
          </w:tcPr>
          <w:p>
            <w:pPr>
              <w:spacing w:after="0"/>
              <w:rPr>
                <w:sz w:val="19"/>
                <w:szCs w:val="19"/>
                <w:color w:val="auto"/>
              </w:rPr>
            </w:pPr>
          </w:p>
        </w:tc>
        <w:tc>
          <w:tcPr>
            <w:tcW w:w="420" w:type="dxa"/>
            <w:vAlign w:val="bottom"/>
            <w:vMerge w:val="restart"/>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420" w:type="dxa"/>
            <w:vAlign w:val="bottom"/>
            <w:gridSpan w:val="4"/>
            <w:vMerge w:val="restart"/>
          </w:tcPr>
          <w:p>
            <w:pPr>
              <w:spacing w:after="0"/>
              <w:rPr>
                <w:sz w:val="19"/>
                <w:szCs w:val="19"/>
                <w:color w:val="auto"/>
              </w:rPr>
            </w:pPr>
          </w:p>
        </w:tc>
        <w:tc>
          <w:tcPr>
            <w:tcW w:w="480" w:type="dxa"/>
            <w:vAlign w:val="bottom"/>
            <w:gridSpan w:val="3"/>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20" w:type="dxa"/>
            <w:vAlign w:val="bottom"/>
            <w:gridSpan w:val="3"/>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c>
          <w:tcPr>
            <w:tcW w:w="4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Form of Option Agreement under the Mister Car Wash, Inc. 2021</w:t>
            </w:r>
          </w:p>
        </w:tc>
        <w:tc>
          <w:tcPr>
            <w:tcW w:w="6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Incentive Award Plan</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Form of RSU Agreement under the Mister Car Wash, Inc. 2021</w:t>
            </w:r>
          </w:p>
        </w:tc>
        <w:tc>
          <w:tcPr>
            <w:tcW w:w="140" w:type="dxa"/>
            <w:vAlign w:val="bottom"/>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Incentive Award Plan</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4320" w:type="dxa"/>
            <w:vAlign w:val="bottom"/>
            <w:gridSpan w:val="17"/>
          </w:tcPr>
          <w:p>
            <w:pPr>
              <w:spacing w:after="0" w:line="182"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Mister Car Wash, Inc. 2021 Employee Stock Purchase Plan</w:t>
              </w:r>
            </w:hyperlink>
          </w:p>
        </w:tc>
        <w:tc>
          <w:tcPr>
            <w:tcW w:w="160" w:type="dxa"/>
            <w:vAlign w:val="bottom"/>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22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0" w:type="dxa"/>
            <w:vAlign w:val="bottom"/>
            <w:gridSpan w:val="3"/>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200" w:type="dxa"/>
            <w:vAlign w:val="bottom"/>
            <w:gridSpan w:val="26"/>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Fourth Amendment to the First Lien Term Loan Agreement, dated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December 12, 2022, by and among Mister Car Wash Holdings, Inc.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the parties thereto named therein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Car Wash Partners, Inc. Nonqualified Deferred Compensation Plan, as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amended and restated effective January 1, 2022</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860" w:type="dxa"/>
            <w:vAlign w:val="bottom"/>
            <w:gridSpan w:val="7"/>
          </w:tcPr>
          <w:p>
            <w:pPr>
              <w:spacing w:after="0" w:line="182"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Promotion Letter with Joseph Matheny</w:t>
              </w:r>
            </w:hyperlink>
          </w:p>
        </w:tc>
        <w:tc>
          <w:tcPr>
            <w:tcW w:w="420" w:type="dxa"/>
            <w:vAlign w:val="bottom"/>
            <w:vMerge w:val="restart"/>
          </w:tcPr>
          <w:p>
            <w:pPr>
              <w:spacing w:after="0"/>
              <w:rPr>
                <w:sz w:val="17"/>
                <w:szCs w:val="17"/>
                <w:color w:val="auto"/>
              </w:rPr>
            </w:pPr>
          </w:p>
        </w:tc>
        <w:tc>
          <w:tcPr>
            <w:tcW w:w="560" w:type="dxa"/>
            <w:vAlign w:val="bottom"/>
            <w:gridSpan w:val="6"/>
            <w:vMerge w:val="restart"/>
          </w:tcPr>
          <w:p>
            <w:pPr>
              <w:spacing w:after="0"/>
              <w:rPr>
                <w:sz w:val="17"/>
                <w:szCs w:val="17"/>
                <w:color w:val="auto"/>
              </w:rPr>
            </w:pPr>
          </w:p>
        </w:tc>
        <w:tc>
          <w:tcPr>
            <w:tcW w:w="480" w:type="dxa"/>
            <w:vAlign w:val="bottom"/>
            <w:gridSpan w:val="3"/>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220" w:type="dxa"/>
            <w:vAlign w:val="bottom"/>
            <w:gridSpan w:val="3"/>
            <w:vMerge w:val="restart"/>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60" w:type="dxa"/>
            <w:vAlign w:val="bottom"/>
            <w:gridSpan w:val="6"/>
            <w:vMerge w:val="continue"/>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0" w:type="dxa"/>
            <w:vAlign w:val="bottom"/>
            <w:gridSpan w:val="3"/>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spacing w:after="0" w:line="223" w:lineRule="exact"/>
              <w:rPr>
                <w:sz w:val="20"/>
                <w:szCs w:val="20"/>
                <w:color w:val="auto"/>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21"/>
                <w:szCs w:val="21"/>
                <w:color w:val="auto"/>
              </w:rPr>
              <w:t>†</w:t>
            </w:r>
          </w:p>
        </w:tc>
        <w:tc>
          <w:tcPr>
            <w:tcW w:w="2180" w:type="dxa"/>
            <w:vAlign w:val="bottom"/>
            <w:gridSpan w:val="3"/>
          </w:tcPr>
          <w:p>
            <w:pPr>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Offer Letter with Mary Porter</w:t>
              </w:r>
            </w:hyperlink>
          </w:p>
        </w:tc>
        <w:tc>
          <w:tcPr>
            <w:tcW w:w="180" w:type="dxa"/>
            <w:vAlign w:val="bottom"/>
            <w:vMerge w:val="restart"/>
          </w:tcPr>
          <w:p>
            <w:pPr>
              <w:spacing w:after="0"/>
              <w:rPr>
                <w:sz w:val="19"/>
                <w:szCs w:val="19"/>
                <w:color w:val="auto"/>
              </w:rPr>
            </w:pPr>
          </w:p>
        </w:tc>
        <w:tc>
          <w:tcPr>
            <w:tcW w:w="920" w:type="dxa"/>
            <w:vAlign w:val="bottom"/>
            <w:gridSpan w:val="4"/>
            <w:vMerge w:val="restart"/>
          </w:tcPr>
          <w:p>
            <w:pPr>
              <w:spacing w:after="0"/>
              <w:rPr>
                <w:sz w:val="19"/>
                <w:szCs w:val="19"/>
                <w:color w:val="auto"/>
              </w:rPr>
            </w:pPr>
          </w:p>
        </w:tc>
        <w:tc>
          <w:tcPr>
            <w:tcW w:w="560" w:type="dxa"/>
            <w:vAlign w:val="bottom"/>
            <w:gridSpan w:val="6"/>
            <w:vMerge w:val="restart"/>
          </w:tcPr>
          <w:p>
            <w:pPr>
              <w:spacing w:after="0"/>
              <w:rPr>
                <w:sz w:val="19"/>
                <w:szCs w:val="19"/>
                <w:color w:val="auto"/>
              </w:rPr>
            </w:pPr>
          </w:p>
        </w:tc>
        <w:tc>
          <w:tcPr>
            <w:tcW w:w="480" w:type="dxa"/>
            <w:vAlign w:val="bottom"/>
            <w:gridSpan w:val="3"/>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360" w:type="dxa"/>
            <w:vAlign w:val="bottom"/>
            <w:gridSpan w:val="3"/>
            <w:vMerge w:val="restart"/>
          </w:tcPr>
          <w:p>
            <w:pPr>
              <w:spacing w:after="0"/>
              <w:rPr>
                <w:sz w:val="19"/>
                <w:szCs w:val="19"/>
                <w:color w:val="auto"/>
              </w:rPr>
            </w:pPr>
          </w:p>
        </w:tc>
        <w:tc>
          <w:tcPr>
            <w:tcW w:w="220" w:type="dxa"/>
            <w:vAlign w:val="bottom"/>
            <w:gridSpan w:val="3"/>
            <w:vMerge w:val="restart"/>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20" w:type="dxa"/>
            <w:vAlign w:val="bottom"/>
            <w:gridSpan w:val="4"/>
            <w:vMerge w:val="continue"/>
          </w:tcPr>
          <w:p>
            <w:pPr>
              <w:spacing w:after="0" w:line="20" w:lineRule="exact"/>
              <w:rPr>
                <w:sz w:val="1"/>
                <w:szCs w:val="1"/>
                <w:color w:val="auto"/>
              </w:rPr>
            </w:pPr>
          </w:p>
        </w:tc>
        <w:tc>
          <w:tcPr>
            <w:tcW w:w="560" w:type="dxa"/>
            <w:vAlign w:val="bottom"/>
            <w:gridSpan w:val="6"/>
            <w:vMerge w:val="continue"/>
          </w:tcPr>
          <w:p>
            <w:pPr>
              <w:spacing w:after="0" w:line="20" w:lineRule="exact"/>
              <w:rPr>
                <w:sz w:val="1"/>
                <w:szCs w:val="1"/>
                <w:color w:val="auto"/>
              </w:rPr>
            </w:pPr>
          </w:p>
        </w:tc>
        <w:tc>
          <w:tcPr>
            <w:tcW w:w="48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0" w:type="dxa"/>
            <w:vAlign w:val="bottom"/>
            <w:gridSpan w:val="3"/>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200" w:type="dxa"/>
            <w:vAlign w:val="bottom"/>
            <w:gridSpan w:val="26"/>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Amendment No. 5 to the First Lien Term Loan Agreement, dated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March 27, 2024, by and among Mister Car Wash Holdings, Inc.,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the parties thereto named therein.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left w:val="single" w:sz="8" w:color="0000EE"/>
            </w:tcBorders>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Transition and Severance Agreement, dated June 24, 2024, by and</w:t>
              </w:r>
            </w:hyperlink>
          </w:p>
        </w:tc>
        <w:tc>
          <w:tcPr>
            <w:tcW w:w="220" w:type="dxa"/>
            <w:vAlign w:val="bottom"/>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between Mister Car Wash, Inc. and Mayra Chimienti</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60" w:type="dxa"/>
            <w:vAlign w:val="bottom"/>
            <w:tcBorders>
              <w:right w:val="single" w:sz="8" w:color="0000EE"/>
            </w:tcBorders>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Amendment No. 6 to the First Lien Term Loan Agreement, dated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4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November 26, 2024, by and among Mister Car Wash Holdings, Inc.,</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4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10.27</w:t>
            </w:r>
            <w:r>
              <w:rPr>
                <w:rFonts w:ascii="Times New Roman" w:cs="Times New Roman" w:eastAsia="Times New Roman" w:hAnsi="Times New Roman"/>
                <w:sz w:val="21"/>
                <w:szCs w:val="21"/>
                <w:color w:val="auto"/>
              </w:rPr>
              <w:t>†</w:t>
            </w: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and the parties thereto named therein.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3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Offer Letter with Carlos Chavez</w:t>
            </w:r>
          </w:p>
        </w:tc>
        <w:tc>
          <w:tcPr>
            <w:tcW w:w="920" w:type="dxa"/>
            <w:vAlign w:val="bottom"/>
            <w:gridSpan w:val="4"/>
            <w:vMerge w:val="restart"/>
          </w:tcPr>
          <w:p>
            <w:pPr>
              <w:spacing w:after="0"/>
              <w:rPr>
                <w:sz w:val="17"/>
                <w:szCs w:val="17"/>
                <w:color w:val="auto"/>
              </w:rPr>
            </w:pPr>
          </w:p>
        </w:tc>
        <w:tc>
          <w:tcPr>
            <w:tcW w:w="1040" w:type="dxa"/>
            <w:vAlign w:val="bottom"/>
            <w:gridSpan w:val="9"/>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580" w:type="dxa"/>
            <w:vAlign w:val="bottom"/>
            <w:gridSpan w:val="6"/>
            <w:vMerge w:val="restart"/>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gridSpan w:val="4"/>
            <w:vMerge w:val="continue"/>
          </w:tcPr>
          <w:p>
            <w:pPr>
              <w:spacing w:after="0" w:line="20" w:lineRule="exact"/>
              <w:rPr>
                <w:sz w:val="1"/>
                <w:szCs w:val="1"/>
                <w:color w:val="auto"/>
              </w:rPr>
            </w:pPr>
          </w:p>
        </w:tc>
        <w:tc>
          <w:tcPr>
            <w:tcW w:w="1040" w:type="dxa"/>
            <w:vAlign w:val="bottom"/>
            <w:gridSpan w:val="9"/>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80" w:type="dxa"/>
            <w:vAlign w:val="bottom"/>
            <w:gridSpan w:val="6"/>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10.28</w:t>
            </w:r>
            <w:r>
              <w:rPr>
                <w:rFonts w:ascii="Times New Roman" w:cs="Times New Roman" w:eastAsia="Times New Roman" w:hAnsi="Times New Roman"/>
                <w:sz w:val="21"/>
                <w:szCs w:val="21"/>
                <w:color w:val="auto"/>
              </w:rPr>
              <w:t>†</w:t>
            </w:r>
          </w:p>
        </w:tc>
        <w:tc>
          <w:tcPr>
            <w:tcW w:w="20" w:type="dxa"/>
            <w:vAlign w:val="bottom"/>
          </w:tcPr>
          <w:p>
            <w:pPr>
              <w:spacing w:after="0"/>
              <w:rPr>
                <w:sz w:val="19"/>
                <w:szCs w:val="19"/>
                <w:color w:val="auto"/>
              </w:rPr>
            </w:pPr>
          </w:p>
        </w:tc>
        <w:tc>
          <w:tcPr>
            <w:tcW w:w="50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Transition and Severance Agreement, effective as of January 6, 2025,</w:t>
              </w:r>
            </w:hyperlink>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26"/>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by and between Mister Car Wash, Inc. and Markus Hartmann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60" w:type="dxa"/>
            <w:vAlign w:val="bottom"/>
            <w:tcBorders>
              <w:right w:val="single" w:sz="8" w:color="0000EE"/>
            </w:tcBorders>
            <w:gridSpan w:val="7"/>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Mister Car Wash, Inc. Insider Trading Policy</w:t>
            </w: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top w:val="single" w:sz="8" w:color="0000FF"/>
            </w:tcBorders>
            <w:gridSpan w:val="7"/>
          </w:tcPr>
          <w:p>
            <w:pPr>
              <w:spacing w:after="0"/>
              <w:rPr>
                <w:sz w:val="24"/>
                <w:szCs w:val="24"/>
                <w:color w:val="auto"/>
              </w:rPr>
            </w:pPr>
          </w:p>
        </w:tc>
        <w:tc>
          <w:tcPr>
            <w:tcW w:w="142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629920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04/01/2024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12/03/2024</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06/02/2021</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10.3(a)1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06/02/2021</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06/17/2021</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06/17/2021</w:t>
            </w:r>
          </w:p>
        </w:tc>
      </w:tr>
      <w:tr>
        <w:trPr>
          <w:trHeight w:val="243"/>
        </w:trPr>
        <w:tc>
          <w:tcPr>
            <w:tcW w:w="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06/17/2021</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06/17/2021</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03/25/2022</w:t>
            </w:r>
          </w:p>
        </w:tc>
      </w:tr>
      <w:tr>
        <w:trPr>
          <w:trHeight w:val="432"/>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06/17/2021</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02/24/2023</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05/03/2023</w:t>
            </w:r>
          </w:p>
        </w:tc>
      </w:tr>
      <w:tr>
        <w:trPr>
          <w:trHeight w:val="432"/>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02/23/2024</w:t>
            </w:r>
          </w:p>
        </w:tc>
      </w:tr>
      <w:tr>
        <w:trPr>
          <w:trHeight w:val="243"/>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02/23/2024</w:t>
            </w:r>
          </w:p>
        </w:tc>
      </w:tr>
      <w:tr>
        <w:trPr>
          <w:trHeight w:val="243"/>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04/01/2024</w:t>
            </w:r>
          </w:p>
        </w:tc>
      </w:tr>
      <w:tr>
        <w:trPr>
          <w:trHeight w:val="64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06/28/2024</w:t>
            </w:r>
          </w:p>
        </w:tc>
      </w:tr>
      <w:tr>
        <w:trPr>
          <w:trHeight w:val="432"/>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12/03/2024</w:t>
            </w:r>
          </w:p>
        </w:tc>
      </w:tr>
      <w:tr>
        <w:trPr>
          <w:trHeight w:val="648"/>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01/29/2025</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140" w:space="220"/>
            <w:col w:w="4440"/>
          </w:cols>
          <w:pgMar w:left="340" w:top="1404" w:right="75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List of subsidiaries of Mister Car Wash, Inc.</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484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4840" w:type="dxa"/>
            <w:vAlign w:val="bottom"/>
          </w:tcPr>
          <w:p>
            <w:pPr>
              <w:jc w:val="center"/>
              <w:ind w:left="4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14(a)/15d-14(a)</w:t>
            </w:r>
          </w:p>
        </w:tc>
        <w:tc>
          <w:tcPr>
            <w:tcW w:w="484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4840" w:type="dxa"/>
            <w:vAlign w:val="bottom"/>
          </w:tcPr>
          <w:p>
            <w:pPr>
              <w:jc w:val="center"/>
              <w:ind w:left="4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14(a)/15d-14(a).</w:t>
            </w:r>
          </w:p>
        </w:tc>
        <w:tc>
          <w:tcPr>
            <w:tcW w:w="484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Chief Executive Officer pursuant to 18 U.S.C. Section</w:t>
            </w:r>
          </w:p>
        </w:tc>
        <w:tc>
          <w:tcPr>
            <w:tcW w:w="4840" w:type="dxa"/>
            <w:vAlign w:val="bottom"/>
          </w:tcPr>
          <w:p>
            <w:pPr>
              <w:jc w:val="center"/>
              <w:ind w:left="457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40" w:type="dxa"/>
            <w:vAlign w:val="bottom"/>
            <w:tcBorders>
              <w:left w:val="single" w:sz="8" w:color="0000FF"/>
            </w:tcBorders>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1350.</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w:t>
            </w:r>
          </w:p>
        </w:tc>
        <w:tc>
          <w:tcPr>
            <w:tcW w:w="4840" w:type="dxa"/>
            <w:vAlign w:val="bottom"/>
          </w:tcPr>
          <w:p>
            <w:pPr>
              <w:jc w:val="center"/>
              <w:ind w:left="457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3"/>
              </w:rPr>
              <w:t>1350.</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Mister Car Wash, Inc. Clawback Policy</w:t>
            </w:r>
          </w:p>
        </w:tc>
        <w:tc>
          <w:tcPr>
            <w:tcW w:w="4840" w:type="dxa"/>
            <w:vAlign w:val="bottom"/>
          </w:tcPr>
          <w:p>
            <w:pPr>
              <w:jc w:val="center"/>
              <w:ind w:left="457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4"/>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4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18"/>
                <w:szCs w:val="18"/>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48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484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840" w:type="dxa"/>
            <w:vAlign w:val="bottom"/>
          </w:tcPr>
          <w:p>
            <w:pPr>
              <w:jc w:val="center"/>
              <w:ind w:left="45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60" w:type="dxa"/>
            <w:vAlign w:val="bottom"/>
          </w:tcPr>
          <w:p>
            <w:pPr>
              <w:spacing w:after="0"/>
              <w:rPr>
                <w:sz w:val="20"/>
                <w:szCs w:val="20"/>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230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ectPr>
          <w:pgSz w:w="11900" w:h="16838" w:orient="portrait"/>
          <w:cols w:equalWidth="0" w:num="1">
            <w:col w:w="11000"/>
          </w:cols>
          <w:pgMar w:left="320" w:top="1404" w:right="579" w:bottom="1440" w:gutter="0" w:footer="0" w:header="0"/>
        </w:sectPr>
      </w:pP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Schedules have been omitted pursuant to Item 601(a)(5) of Regulation S-K. The Company undertakes to the omitted schedules upon request by the SEC.</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supplemental copies of any of</w:t>
      </w:r>
    </w:p>
    <w:p>
      <w:pPr>
        <w:spacing w:after="0" w:line="479" w:lineRule="exact"/>
        <w:rPr>
          <w:sz w:val="20"/>
          <w:szCs w:val="20"/>
          <w:color w:val="auto"/>
        </w:rPr>
      </w:pPr>
    </w:p>
    <w:p>
      <w:pPr>
        <w:sectPr>
          <w:pgSz w:w="11900" w:h="16838" w:orient="portrait"/>
          <w:cols w:equalWidth="0" w:num="2">
            <w:col w:w="7900" w:space="380"/>
            <w:col w:w="2720"/>
          </w:cols>
          <w:pgMar w:left="320" w:top="1404" w:right="57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4" w:right="579" w:bottom="1440" w:gutter="0" w:footer="0" w:header="0"/>
          <w:type w:val="continuous"/>
        </w:sectPr>
      </w:pPr>
    </w:p>
    <w:bookmarkStart w:id="70" w:name="page71"/>
    <w:bookmarkEnd w:id="70"/>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Mister Car Wash,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2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191"/>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John Lai</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2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18"/>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Jedidiah Gold</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p>
      <w:pPr>
        <w:spacing w:after="0" w:line="19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1716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7620</wp:posOffset>
            </wp:positionV>
            <wp:extent cx="42691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6020" w:space="720"/>
            <w:col w:w="4500"/>
          </w:cols>
          <w:pgMar w:left="320" w:top="1440" w:right="339" w:bottom="1440" w:gutter="0" w:footer="0" w:header="0"/>
          <w:type w:val="continuous"/>
        </w:sectPr>
      </w:pPr>
    </w:p>
    <w:p>
      <w:pPr>
        <w:jc w:val="center"/>
        <w:ind w:left="440"/>
        <w:spacing w:after="0"/>
        <w:rPr>
          <w:sz w:val="20"/>
          <w:szCs w:val="20"/>
          <w:color w:val="auto"/>
        </w:rPr>
      </w:pPr>
      <w:r>
        <w:rPr>
          <w:rFonts w:ascii="Times New Roman" w:cs="Times New Roman" w:eastAsia="Times New Roman" w:hAnsi="Times New Roman"/>
          <w:sz w:val="14"/>
          <w:szCs w:val="14"/>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John Lai</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Jedidiah Gold</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John Danhakl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John Danhakl</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Jonathan Seiffer</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J. Kristofer Galashan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 Kristofer Galashan</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Jeffrey 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Jeffrey Suer</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Jodi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Jodi Taylor</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Dorvin Lively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Dorvin Lively</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Ronald Kirk</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Veronica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Veronica Rogers</w:t>
      </w:r>
    </w:p>
    <w:p>
      <w:pPr>
        <w:spacing w:after="0" w:line="1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/s/ Atif Rafiq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171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jc w:val="center"/>
        <w:ind w:left="440"/>
        <w:spacing w:after="0"/>
        <w:rPr>
          <w:sz w:val="20"/>
          <w:szCs w:val="20"/>
          <w:color w:val="auto"/>
        </w:rPr>
      </w:pPr>
      <w:r>
        <w:rPr>
          <w:rFonts w:ascii="Times New Roman" w:cs="Times New Roman" w:eastAsia="Times New Roman" w:hAnsi="Times New Roman"/>
          <w:sz w:val="14"/>
          <w:szCs w:val="14"/>
          <w:color w:val="auto"/>
        </w:rPr>
        <w:t>Atif Rafiq</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President and Chief Executive Officer (principal executive officer)</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2025</w:t>
      </w:r>
    </w:p>
    <w:p>
      <w:pPr>
        <w:spacing w:after="0" w:line="364" w:lineRule="exact"/>
        <w:rPr>
          <w:sz w:val="20"/>
          <w:szCs w:val="20"/>
          <w:color w:val="auto"/>
        </w:rPr>
      </w:pPr>
    </w:p>
    <w:p>
      <w:pPr>
        <w:sectPr>
          <w:pgSz w:w="11900" w:h="16838" w:orient="portrait"/>
          <w:cols w:equalWidth="0" w:num="3">
            <w:col w:w="3920" w:space="720"/>
            <w:col w:w="4480" w:space="700"/>
            <w:col w:w="1420"/>
          </w:cols>
          <w:pgMar w:left="320" w:top="1440" w:right="339"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As of December 31, 2024, Mister Car Wash, Inc. had one class of securities registered under Section 12 of the Securities Exchange Act of 1934, as amended (the “Exchange Act”). References herein to “we,” “us,” “our” and the “Company” refer to Mister Car Wash, Inc. and not to any of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auto"/>
        </w:rPr>
        <w:t>The following description of our capital stock and provisions of our amended and restated certificate of incorporation, as amended, and our amended and restated bylaws are summaries and are qualified by reference to (i) our amended and restated certificate of incorporation, the text of which is filed as Exhibit 3.2 to the Company’s Current Report on Form 8-K filed with the Commission on June 1, 2022, (ii) the Certificate of Amendment dated May 25, 2023 to our amended and restated certificate of incorporation, the text of which is filed as Exhibit 3.1 to the Company’s Current Report on Form 8-K filed with the Commission on June 1, 2023, and (iii) our amended and restated bylaws, the text of which is filed as Exhibit 3.2 to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Commission on July 2, 2021.</w:t>
      </w:r>
    </w:p>
    <w:p>
      <w:pPr>
        <w:spacing w:after="0" w:line="1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refer to our amended and restated certificate of incorporation, as amended by the Certificate of Amendment dated May 25, 2023, as our “amended and restated certificate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 1,005,000,000 shares, par value of $0.01 per share, of which:</w:t>
      </w:r>
    </w:p>
    <w:p>
      <w:pPr>
        <w:spacing w:after="0" w:line="22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authorized as shares of common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authorized as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are entitled to receive proportionately our net assets available for distribution to stockholders after the payment in full of all debts and other liabilities and subject to the prior rights of any outstanding preferred stock. Holders of common stock have no preemptive, subscription, redemption or conversion rights. There are no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Delaware General Corporation Law (“DGCL”) permits a corporation to declare and pay dividends out of “surplus” or, if there is no “surplus,” out of its net profits for the fiscal year in which the dividend is declared or the preceding fiscal year. “Surplus” is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right="20"/>
        <w:spacing w:after="0" w:line="261" w:lineRule="auto"/>
        <w:rPr>
          <w:sz w:val="20"/>
          <w:szCs w:val="20"/>
          <w:color w:val="auto"/>
        </w:rPr>
      </w:pPr>
      <w:r>
        <w:rPr>
          <w:rFonts w:ascii="Times New Roman" w:cs="Times New Roman" w:eastAsia="Times New Roman" w:hAnsi="Times New Roman"/>
          <w:sz w:val="18"/>
          <w:szCs w:val="18"/>
          <w:color w:val="auto"/>
        </w:rPr>
        <w:t>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depend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of directors may consider relevant.</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Our ability to pay dividends will be limited by covenants in our existing indebtedness and may be limited by the agreements governing other indebtedness that we or our subsidiaries incur in the future. In addition, because we are a holding company and have no direct operations, we will only be able to pay dividends from funds we receive from our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listing standards of The Nasdaq Stock Market LLC.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party to a Stockholders Agreement, pursuant to which investment funds affiliated with or advised by Leonard Green Partners, L.P. (collectively, “LGP”) have specified board representation rights, governance rights and other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Venue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DGCL or our amended and restated certificate of incorporation or our amended and restated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To the maximum extent permitted from time to time by Delaware law, our amended and restated certificate of incorporation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also provides that, to the fullest extent permitted by law, none of LGP or any of their affiliates or any director who is not employed by us (including any non-employee director who serves as one of our officers in both his director and officer capacities) or his or her affiliates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right="40"/>
        <w:spacing w:after="0" w:line="258" w:lineRule="auto"/>
        <w:rPr>
          <w:sz w:val="20"/>
          <w:szCs w:val="20"/>
          <w:color w:val="auto"/>
        </w:rPr>
      </w:pPr>
      <w:r>
        <w:rPr>
          <w:rFonts w:ascii="Times New Roman" w:cs="Times New Roman" w:eastAsia="Times New Roman" w:hAnsi="Times New Roman"/>
          <w:sz w:val="18"/>
          <w:szCs w:val="18"/>
          <w:color w:val="auto"/>
        </w:rPr>
        <w:t>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officers to corporations and their stockholders for monetary damages for breaches of fiduciary duties as directors or officers, subject to certain exceptions. Our amended and restated certificate of incorporation includes a provision that eliminates the personal liability of directors and officers for monetary damages for any breach of fiduciary duty as a director or officer to the fullest extent permitted by the DGCL. The effect of this provision is to eliminate the rights of us and our stockholders, through stockholders’ derivative suits on our behalf, to recover monetary damages from a director or officer for breach of fiduciary duty as a director or officer, including breaches resulting from grossly negligent behavior. However, our amended and restated certificate of incorporation does not limit the liability of:</w:t>
      </w:r>
    </w:p>
    <w:p>
      <w:pPr>
        <w:spacing w:after="0" w:line="363"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Company.</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7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divided into three classes, with each class serving three-year staggered terms. As a result, approximately one-third of our directors are expected to be elected each year. Pursuant to the terms of the Stockholders Agreement, directors designated by LGP may only be removed with or without cause by the request of LGP. In all other cases, our amended and restated certificate of incorporation provides that directors may only be removed from our board of directors for cause by the affirmative vote of at least two-thirds of the voting power of the then outstanding shares of voting stock, following such time as when LGP ceases to beneficially own, in the aggregate, 50% or more of the voting power of our common stock. Prior to that time, any individual director may be removed with or without cause by the affirmative vote of a majority of the confirmed voting power of our common stock. These provisions may have the effect of deferring, delaying or discouraging hostile takeovers, or changes in control of us or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Meetings, Nominations and Proposals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after the date on which LGP ceases to beneficially own, in the aggregate, more than 50% in voting power of our common stock, special meetings of the stockholders may be called only by the chairperson of the board, a resolution adopted by the affirmative vote of the majority of the directors then in office and not by our stockholders or any other person or persons. Our amended and restated bylaws prohibit the conduct of any business at a special meeting other than as specified in the notice for such meeting. In addition, any stockholder who wishes to bring business before an annual meeting or nominate directors must comply with the advance notice requirements set forth in our amended and restated bylaws. These provisions may have the effect of deferring, delaying or discouraging hostile takeovers or changes in control of us or our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prohibits stockholder action by written consent (and, thus, requires that all stockholder actions be taken at a meeting of our stockholders) after the date on which LGP ceases to beneficially own, in the aggregate, 50% or more of the voting power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the affirmative vote of holders of at least two-thirds of the voting power of all of the then outstanding shares of voting stock, voting as a single class, will be required to amend certain provisions of our amended and certificate of incorporation, including provisions relating to the size of the board, removal of directors, special meetings, actions by written consent and cumulative voting, if LGP ceases to beneficially own, in the aggregate, 50% or more of the voting power of our common stock. The affirmative vote of holders of at least two-thirds of the voting power of all of the then outstanding shares of voting stock, voting as a single class, will be required to amend or repeal our bylaws, if LGP ceases to beneficially own, in the aggregate, 50% or more of the voting power of our common stock, although our bylaws may be amended by a simple majority vote of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“MCW.”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color w:val="auto"/>
        </w:rPr>
        <w:t>Exhibit 10.13</w:t>
      </w:r>
    </w:p>
    <w:p>
      <w:pPr>
        <w:spacing w:after="0" w:line="210" w:lineRule="exact"/>
        <w:rPr>
          <w:sz w:val="20"/>
          <w:szCs w:val="20"/>
          <w:color w:val="auto"/>
        </w:rPr>
      </w:pPr>
    </w:p>
    <w:p>
      <w:pPr>
        <w:ind w:left="20"/>
        <w:spacing w:after="0"/>
        <w:rPr>
          <w:sz w:val="20"/>
          <w:szCs w:val="20"/>
          <w:color w:val="auto"/>
        </w:rPr>
      </w:pPr>
      <w:r>
        <w:rPr>
          <w:rFonts w:ascii="Calibri" w:cs="Calibri" w:eastAsia="Calibri" w:hAnsi="Calibri"/>
          <w:sz w:val="22"/>
          <w:szCs w:val="22"/>
          <w:color w:val="003864"/>
        </w:rPr>
        <w:t>PURPOSE</w:t>
      </w:r>
    </w:p>
    <w:p>
      <w:pPr>
        <w:spacing w:after="0" w:line="165" w:lineRule="exact"/>
        <w:rPr>
          <w:sz w:val="20"/>
          <w:szCs w:val="20"/>
          <w:color w:val="auto"/>
        </w:rPr>
      </w:pPr>
    </w:p>
    <w:p>
      <w:pPr>
        <w:ind w:left="20" w:right="240"/>
        <w:spacing w:after="0" w:line="237" w:lineRule="auto"/>
        <w:rPr>
          <w:sz w:val="20"/>
          <w:szCs w:val="20"/>
          <w:color w:val="auto"/>
        </w:rPr>
      </w:pPr>
      <w:r>
        <w:rPr>
          <w:rFonts w:ascii="Calibri" w:cs="Calibri" w:eastAsia="Calibri" w:hAnsi="Calibri"/>
          <w:sz w:val="20"/>
          <w:szCs w:val="20"/>
          <w:color w:val="auto"/>
        </w:rPr>
        <w:t>The Mister Car Wash, Inc. Executve Severance Plan (the “</w:t>
      </w:r>
      <w:r>
        <w:rPr>
          <w:rFonts w:ascii="Calibri" w:cs="Calibri" w:eastAsia="Calibri" w:hAnsi="Calibri"/>
          <w:sz w:val="20"/>
          <w:szCs w:val="20"/>
          <w:b w:val="1"/>
          <w:bCs w:val="1"/>
          <w:i w:val="1"/>
          <w:iCs w:val="1"/>
          <w:color w:val="auto"/>
        </w:rPr>
        <w:t>Plan</w:t>
      </w:r>
      <w:r>
        <w:rPr>
          <w:rFonts w:ascii="Calibri" w:cs="Calibri" w:eastAsia="Calibri" w:hAnsi="Calibri"/>
          <w:sz w:val="20"/>
          <w:szCs w:val="20"/>
          <w:color w:val="auto"/>
        </w:rPr>
        <w:t>”) was established by the Board of Directors of Mister Car Wash, Inc. (the “</w:t>
      </w:r>
      <w:r>
        <w:rPr>
          <w:rFonts w:ascii="Calibri" w:cs="Calibri" w:eastAsia="Calibri" w:hAnsi="Calibri"/>
          <w:sz w:val="20"/>
          <w:szCs w:val="20"/>
          <w:b w:val="1"/>
          <w:bCs w:val="1"/>
          <w:i w:val="1"/>
          <w:iCs w:val="1"/>
          <w:color w:val="auto"/>
        </w:rPr>
        <w:t>Board</w:t>
      </w:r>
      <w:r>
        <w:rPr>
          <w:rFonts w:ascii="Calibri" w:cs="Calibri" w:eastAsia="Calibri" w:hAnsi="Calibri"/>
          <w:sz w:val="20"/>
          <w:szCs w:val="20"/>
          <w:color w:val="auto"/>
        </w:rPr>
        <w:t>”), efectve as of the date of closing of the inital public ofering of Mister Car Wash, Inc.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The purpose of this Plan is to promote the interests of the Company and its stockholders by retaining certain executve-level employees through the provision of severance protectons to such employees in the event their employment is terminated under the circumstances described in this Plan. The Plan is intended to be, and shall be interpreted and construed as, an unfunded employee welfare beneft plan under Secton 3(1) of the Employee Retrement Income Security Act of 1974, as amended (“</w:t>
      </w:r>
      <w:r>
        <w:rPr>
          <w:rFonts w:ascii="Calibri" w:cs="Calibri" w:eastAsia="Calibri" w:hAnsi="Calibri"/>
          <w:sz w:val="20"/>
          <w:szCs w:val="20"/>
          <w:b w:val="1"/>
          <w:bCs w:val="1"/>
          <w:i w:val="1"/>
          <w:iCs w:val="1"/>
          <w:color w:val="auto"/>
        </w:rPr>
        <w:t>ERISA</w:t>
      </w:r>
      <w:r>
        <w:rPr>
          <w:rFonts w:ascii="Calibri" w:cs="Calibri" w:eastAsia="Calibri" w:hAnsi="Calibri"/>
          <w:sz w:val="20"/>
          <w:szCs w:val="20"/>
          <w:color w:val="auto"/>
        </w:rPr>
        <w:t>”) and Secton 2520.104-24 of the regulatons promulgated by the U.S. Department of Labor, maintained primarily for the beneft of a select group of management or highly compensated employees (a “top-hat” plan).</w:t>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22"/>
          <w:szCs w:val="22"/>
          <w:color w:val="003864"/>
        </w:rPr>
        <w:t>POLICY STATEMENT</w:t>
      </w:r>
    </w:p>
    <w:p>
      <w:pPr>
        <w:spacing w:after="0" w:line="16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2. Defnitons and Constructon</w:t>
      </w:r>
    </w:p>
    <w:p>
      <w:pPr>
        <w:spacing w:after="0" w:line="170"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2.1 </w:t>
      </w:r>
      <w:r>
        <w:rPr>
          <w:rFonts w:ascii="Calibri" w:cs="Calibri" w:eastAsia="Calibri" w:hAnsi="Calibri"/>
          <w:sz w:val="20"/>
          <w:szCs w:val="20"/>
          <w:u w:val="single" w:color="auto"/>
          <w:color w:val="auto"/>
        </w:rPr>
        <w:t>Defnitons</w:t>
      </w:r>
      <w:r>
        <w:rPr>
          <w:rFonts w:ascii="Calibri" w:cs="Calibri" w:eastAsia="Calibri" w:hAnsi="Calibri"/>
          <w:sz w:val="20"/>
          <w:szCs w:val="20"/>
          <w:color w:val="auto"/>
        </w:rPr>
        <w:t xml:space="preserve">. Whenever used in this Plan, capitalized terms shall have the same meaning as set forth herein or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w:t>
      </w:r>
    </w:p>
    <w:p>
      <w:pPr>
        <w:spacing w:after="0" w:line="157" w:lineRule="exact"/>
        <w:rPr>
          <w:sz w:val="20"/>
          <w:szCs w:val="20"/>
          <w:color w:val="auto"/>
        </w:rPr>
      </w:pPr>
    </w:p>
    <w:p>
      <w:pPr>
        <w:ind w:right="280"/>
        <w:spacing w:after="0" w:line="236" w:lineRule="auto"/>
        <w:rPr>
          <w:sz w:val="20"/>
          <w:szCs w:val="20"/>
          <w:color w:val="auto"/>
        </w:rPr>
      </w:pPr>
      <w:r>
        <w:rPr>
          <w:rFonts w:ascii="Calibri" w:cs="Calibri" w:eastAsia="Calibri" w:hAnsi="Calibri"/>
          <w:sz w:val="20"/>
          <w:szCs w:val="20"/>
          <w:color w:val="auto"/>
        </w:rPr>
        <w:t xml:space="preserve">2.2 </w:t>
      </w:r>
      <w:r>
        <w:rPr>
          <w:rFonts w:ascii="Calibri" w:cs="Calibri" w:eastAsia="Calibri" w:hAnsi="Calibri"/>
          <w:sz w:val="20"/>
          <w:szCs w:val="20"/>
          <w:u w:val="single" w:color="auto"/>
          <w:color w:val="auto"/>
        </w:rPr>
        <w:t>Constructon</w:t>
      </w:r>
      <w:r>
        <w:rPr>
          <w:rFonts w:ascii="Calibri" w:cs="Calibri" w:eastAsia="Calibri" w:hAnsi="Calibri"/>
          <w:sz w:val="20"/>
          <w:szCs w:val="20"/>
          <w:color w:val="auto"/>
        </w:rPr>
        <w:t>. Captons and ttles contained in this Plan are for convenience only and shall not afect the meaning or interpretaton of any provision of the Plan. Except when otherwise indicated by the context, the singular shall include the plural and the plural shall include the singular. Use of the term “or” is not intended to be exclusive unless the context requires otherwise.</w:t>
      </w:r>
    </w:p>
    <w:p>
      <w:pPr>
        <w:spacing w:after="0" w:line="1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3. Partcipaton</w:t>
      </w:r>
    </w:p>
    <w:p>
      <w:pPr>
        <w:spacing w:after="0" w:line="165" w:lineRule="exact"/>
        <w:rPr>
          <w:sz w:val="20"/>
          <w:szCs w:val="20"/>
          <w:color w:val="auto"/>
        </w:rPr>
      </w:pPr>
    </w:p>
    <w:p>
      <w:pPr>
        <w:ind w:left="20" w:right="220"/>
        <w:spacing w:after="0" w:line="237" w:lineRule="auto"/>
        <w:rPr>
          <w:sz w:val="20"/>
          <w:szCs w:val="20"/>
          <w:color w:val="auto"/>
        </w:rPr>
      </w:pPr>
      <w:r>
        <w:rPr>
          <w:rFonts w:ascii="Calibri" w:cs="Calibri" w:eastAsia="Calibri" w:hAnsi="Calibri"/>
          <w:sz w:val="20"/>
          <w:szCs w:val="20"/>
          <w:color w:val="auto"/>
        </w:rPr>
        <w:t xml:space="preserve">The Partcipants are the executve-level employees of the Company Group who are designated by the Company to partcipate in this Plan from tme to tme. The Company may designate such employees by name, ttle, positon, functon, salary band, any other category deemed appropriate by the Company, or any combinaton of the foregoing from tme to tme. A list of Partcipants is set forth in </w:t>
      </w:r>
      <w:r>
        <w:rPr>
          <w:rFonts w:ascii="Calibri" w:cs="Calibri" w:eastAsia="Calibri" w:hAnsi="Calibri"/>
          <w:sz w:val="20"/>
          <w:szCs w:val="20"/>
          <w:u w:val="single" w:color="auto"/>
          <w:color w:val="auto"/>
        </w:rPr>
        <w:t>Appendix B</w:t>
      </w:r>
      <w:r>
        <w:rPr>
          <w:rFonts w:ascii="Calibri" w:cs="Calibri" w:eastAsia="Calibri" w:hAnsi="Calibri"/>
          <w:sz w:val="20"/>
          <w:szCs w:val="20"/>
          <w:color w:val="auto"/>
        </w:rPr>
        <w:t xml:space="preserve"> hereto (as such </w:t>
      </w:r>
      <w:r>
        <w:rPr>
          <w:rFonts w:ascii="Calibri" w:cs="Calibri" w:eastAsia="Calibri" w:hAnsi="Calibri"/>
          <w:sz w:val="20"/>
          <w:szCs w:val="20"/>
          <w:u w:val="single" w:color="auto"/>
          <w:color w:val="auto"/>
        </w:rPr>
        <w:t>Appendix B</w:t>
      </w:r>
      <w:r>
        <w:rPr>
          <w:rFonts w:ascii="Calibri" w:cs="Calibri" w:eastAsia="Calibri" w:hAnsi="Calibri"/>
          <w:sz w:val="20"/>
          <w:szCs w:val="20"/>
          <w:color w:val="auto"/>
        </w:rPr>
        <w:t xml:space="preserve"> may from tme to tme be amended by the Commitee). In additon, as a conditon to partcipaton in this Plan, each individual agrees to be bound by, the terms and conditons of this Plan.</w:t>
      </w:r>
    </w:p>
    <w:p>
      <w:pPr>
        <w:spacing w:after="0" w:line="157"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2"/>
          <w:szCs w:val="22"/>
          <w:b w:val="1"/>
          <w:bCs w:val="1"/>
          <w:color w:val="494645"/>
        </w:rPr>
        <w:t>4.</w:t>
      </w:r>
      <w:r>
        <w:rPr>
          <w:sz w:val="20"/>
          <w:szCs w:val="20"/>
          <w:color w:val="auto"/>
        </w:rPr>
        <w:tab/>
      </w:r>
      <w:r>
        <w:rPr>
          <w:rFonts w:ascii="Calibri" w:cs="Calibri" w:eastAsia="Calibri" w:hAnsi="Calibri"/>
          <w:sz w:val="21"/>
          <w:szCs w:val="21"/>
          <w:b w:val="1"/>
          <w:bCs w:val="1"/>
          <w:color w:val="494645"/>
        </w:rPr>
        <w:t>Terminaton of Employment Without Cause or For Good Reason Other Than During the Protecton Period</w:t>
      </w:r>
    </w:p>
    <w:p>
      <w:pPr>
        <w:spacing w:after="0" w:line="151" w:lineRule="exact"/>
        <w:rPr>
          <w:sz w:val="20"/>
          <w:szCs w:val="20"/>
          <w:color w:val="auto"/>
        </w:rPr>
      </w:pPr>
    </w:p>
    <w:p>
      <w:pPr>
        <w:jc w:val="both"/>
        <w:ind w:left="20" w:right="220"/>
        <w:spacing w:after="0" w:line="236" w:lineRule="auto"/>
        <w:rPr>
          <w:sz w:val="20"/>
          <w:szCs w:val="20"/>
          <w:color w:val="auto"/>
        </w:rPr>
      </w:pPr>
      <w:r>
        <w:rPr>
          <w:rFonts w:ascii="Calibri" w:cs="Calibri" w:eastAsia="Calibri" w:hAnsi="Calibri"/>
          <w:sz w:val="20"/>
          <w:szCs w:val="20"/>
          <w:color w:val="auto"/>
        </w:rPr>
        <w:t>In the event of a Partcipant’s Terminaton of Employment by the Company without Cause (other than due to death or Disability) or by Partcipant for Good Reason, in each case, at any tme other than during the Protecton Period, the Partcipant shall be enttled to receive the compensaton and benefts described in this Secton 4.</w:t>
      </w:r>
    </w:p>
    <w:p>
      <w:pPr>
        <w:spacing w:after="0" w:line="144" w:lineRule="exact"/>
        <w:rPr>
          <w:sz w:val="20"/>
          <w:szCs w:val="20"/>
          <w:color w:val="auto"/>
        </w:rPr>
      </w:pPr>
    </w:p>
    <w:p>
      <w:pPr>
        <w:jc w:val="both"/>
        <w:ind w:right="640"/>
        <w:spacing w:after="0" w:line="236" w:lineRule="auto"/>
        <w:rPr>
          <w:sz w:val="20"/>
          <w:szCs w:val="20"/>
          <w:color w:val="auto"/>
        </w:rPr>
      </w:pPr>
      <w:r>
        <w:rPr>
          <w:rFonts w:ascii="Calibri" w:cs="Calibri" w:eastAsia="Calibri" w:hAnsi="Calibri"/>
          <w:sz w:val="20"/>
          <w:szCs w:val="20"/>
          <w:color w:val="auto"/>
        </w:rPr>
        <w:t xml:space="preserve">4.1 </w:t>
      </w:r>
      <w:r>
        <w:rPr>
          <w:rFonts w:ascii="Calibri" w:cs="Calibri" w:eastAsia="Calibri" w:hAnsi="Calibri"/>
          <w:sz w:val="20"/>
          <w:szCs w:val="20"/>
          <w:u w:val="single" w:color="auto"/>
          <w:color w:val="auto"/>
        </w:rPr>
        <w:t>Accrued Obligatons</w:t>
      </w:r>
      <w:r>
        <w:rPr>
          <w:rFonts w:ascii="Calibri" w:cs="Calibri" w:eastAsia="Calibri" w:hAnsi="Calibri"/>
          <w:sz w:val="20"/>
          <w:szCs w:val="20"/>
          <w:color w:val="auto"/>
        </w:rPr>
        <w:t>. The Partcipant shall be enttled to receive any accrued but unpaid annual base salary, unreimbursed business expenses incurred in accordance with the Company Group’s policies, or other amounts earned or accrued through the Partcipant’s Terminaton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779780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76" w:name="page77"/>
    <w:bookmarkEnd w:id="76"/>
    <w:p>
      <w:pPr>
        <w:spacing w:after="0" w:line="200" w:lineRule="exact"/>
        <w:rPr>
          <w:sz w:val="20"/>
          <w:szCs w:val="20"/>
          <w:color w:val="auto"/>
        </w:rPr>
      </w:pPr>
    </w:p>
    <w:p>
      <w:pPr>
        <w:spacing w:after="0" w:line="366" w:lineRule="exact"/>
        <w:rPr>
          <w:sz w:val="20"/>
          <w:szCs w:val="20"/>
          <w:color w:val="auto"/>
        </w:rPr>
      </w:pPr>
    </w:p>
    <w:p>
      <w:pPr>
        <w:ind w:right="100" w:firstLine="382"/>
        <w:spacing w:after="0" w:line="237" w:lineRule="auto"/>
        <w:rPr>
          <w:sz w:val="20"/>
          <w:szCs w:val="20"/>
          <w:color w:val="auto"/>
        </w:rPr>
      </w:pPr>
      <w:r>
        <w:rPr>
          <w:rFonts w:ascii="Calibri" w:cs="Calibri" w:eastAsia="Calibri" w:hAnsi="Calibri"/>
          <w:sz w:val="20"/>
          <w:szCs w:val="20"/>
          <w:color w:val="auto"/>
        </w:rPr>
        <w:t>under the Company Group’s applicable health, welfare, retrement, or other similar fringe beneft programs as required by their terms or by applicable law (the rights to such payments, the “</w:t>
      </w:r>
      <w:r>
        <w:rPr>
          <w:rFonts w:ascii="Calibri" w:cs="Calibri" w:eastAsia="Calibri" w:hAnsi="Calibri"/>
          <w:sz w:val="20"/>
          <w:szCs w:val="20"/>
          <w:b w:val="1"/>
          <w:bCs w:val="1"/>
          <w:i w:val="1"/>
          <w:iCs w:val="1"/>
          <w:color w:val="auto"/>
        </w:rPr>
        <w:t>Accrued Obligatons</w:t>
      </w:r>
      <w:r>
        <w:rPr>
          <w:rFonts w:ascii="Calibri" w:cs="Calibri" w:eastAsia="Calibri" w:hAnsi="Calibri"/>
          <w:sz w:val="20"/>
          <w:szCs w:val="20"/>
          <w:color w:val="auto"/>
        </w:rPr>
        <w:t>”). For purposes of this Secton 4.1, a Partcipant shall have the right to receive an annual cash bonus with respect to the year prior to the year in which the Partcipant’s Terminaton of Employment occurs if such bonus has been “earned”, as determined by the Commitee in its sole discreton, and is as yet unpaid. The Accrued Obligatons shall be payable on their respectve scheduled payment dates in accordance with their terms.</w:t>
      </w:r>
    </w:p>
    <w:p>
      <w:pPr>
        <w:spacing w:after="0" w:line="158"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 xml:space="preserve">4.2 </w:t>
      </w:r>
      <w:r>
        <w:rPr>
          <w:rFonts w:ascii="Calibri" w:cs="Calibri" w:eastAsia="Calibri" w:hAnsi="Calibri"/>
          <w:sz w:val="20"/>
          <w:szCs w:val="20"/>
          <w:u w:val="single" w:color="auto"/>
          <w:color w:val="auto"/>
        </w:rPr>
        <w:t>Severance Benefts</w:t>
      </w:r>
      <w:r>
        <w:rPr>
          <w:rFonts w:ascii="Calibri" w:cs="Calibri" w:eastAsia="Calibri" w:hAnsi="Calibri"/>
          <w:sz w:val="20"/>
          <w:szCs w:val="20"/>
          <w:color w:val="auto"/>
        </w:rPr>
        <w:t>. Provided that the Partcipant executes the Release prior to the applicable Release Deadline and such Release then becomes efectve and irrevocable in accordance with its terms, subject to Secton 17, and subject to the Partcipant’s compliance with the restrictve covenants set forth in Secton 10 herein, the Partcipant shall be enttled to receive the following severance payments and benefts (the “</w:t>
      </w:r>
      <w:r>
        <w:rPr>
          <w:rFonts w:ascii="Calibri" w:cs="Calibri" w:eastAsia="Calibri" w:hAnsi="Calibri"/>
          <w:sz w:val="20"/>
          <w:szCs w:val="20"/>
          <w:b w:val="1"/>
          <w:bCs w:val="1"/>
          <w:i w:val="1"/>
          <w:iCs w:val="1"/>
          <w:color w:val="auto"/>
        </w:rPr>
        <w:t>Severance Benefts</w:t>
      </w:r>
      <w:r>
        <w:rPr>
          <w:rFonts w:ascii="Calibri" w:cs="Calibri" w:eastAsia="Calibri" w:hAnsi="Calibri"/>
          <w:sz w:val="20"/>
          <w:szCs w:val="20"/>
          <w:color w:val="auto"/>
        </w:rPr>
        <w:t>”):</w:t>
      </w:r>
    </w:p>
    <w:p>
      <w:pPr>
        <w:spacing w:after="0" w:line="160" w:lineRule="exact"/>
        <w:rPr>
          <w:sz w:val="20"/>
          <w:szCs w:val="20"/>
          <w:color w:val="auto"/>
        </w:rPr>
      </w:pPr>
    </w:p>
    <w:p>
      <w:pPr>
        <w:ind w:right="160" w:firstLine="8"/>
        <w:spacing w:after="0" w:line="236" w:lineRule="auto"/>
        <w:tabs>
          <w:tab w:leader="none" w:pos="266" w:val="left"/>
        </w:tabs>
        <w:numPr>
          <w:ilvl w:val="0"/>
          <w:numId w:val="19"/>
        </w:numPr>
        <w:rPr>
          <w:rFonts w:ascii="Calibri" w:cs="Calibri" w:eastAsia="Calibri" w:hAnsi="Calibri"/>
          <w:sz w:val="20"/>
          <w:szCs w:val="20"/>
          <w:color w:val="auto"/>
        </w:rPr>
      </w:pPr>
      <w:r>
        <w:rPr>
          <w:rFonts w:ascii="Calibri" w:cs="Calibri" w:eastAsia="Calibri" w:hAnsi="Calibri"/>
          <w:sz w:val="20"/>
          <w:szCs w:val="20"/>
          <w:i w:val="1"/>
          <w:iCs w:val="1"/>
          <w:color w:val="auto"/>
        </w:rPr>
        <w:t>Severance Payments</w:t>
      </w:r>
      <w:r>
        <w:rPr>
          <w:rFonts w:ascii="Calibri" w:cs="Calibri" w:eastAsia="Calibri" w:hAnsi="Calibri"/>
          <w:sz w:val="20"/>
          <w:szCs w:val="20"/>
          <w:color w:val="auto"/>
        </w:rPr>
        <w:t>. The Company shall pay the Partcipant an aggregate amount equal to the Partcipant’s Severance Payment,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payable in equal installments in accordance with the Company’s regular pay practces during the period beginning on such Terminaton of Employment and ending at the end of the applicable Severance Period (subject to Secton 17.6).</w:t>
      </w:r>
    </w:p>
    <w:p>
      <w:pPr>
        <w:spacing w:after="0" w:line="143" w:lineRule="exact"/>
        <w:rPr>
          <w:rFonts w:ascii="Calibri" w:cs="Calibri" w:eastAsia="Calibri" w:hAnsi="Calibri"/>
          <w:sz w:val="20"/>
          <w:szCs w:val="20"/>
          <w:color w:val="auto"/>
        </w:rPr>
      </w:pPr>
    </w:p>
    <w:p>
      <w:pPr>
        <w:ind w:right="20" w:firstLine="8"/>
        <w:spacing w:after="0"/>
        <w:tabs>
          <w:tab w:leader="none" w:pos="275" w:val="left"/>
        </w:tabs>
        <w:numPr>
          <w:ilvl w:val="0"/>
          <w:numId w:val="19"/>
        </w:numPr>
        <w:rPr>
          <w:rFonts w:ascii="Calibri" w:cs="Calibri" w:eastAsia="Calibri" w:hAnsi="Calibri"/>
          <w:sz w:val="20"/>
          <w:szCs w:val="20"/>
          <w:color w:val="auto"/>
        </w:rPr>
      </w:pPr>
      <w:r>
        <w:rPr>
          <w:rFonts w:ascii="Calibri" w:cs="Calibri" w:eastAsia="Calibri" w:hAnsi="Calibri"/>
          <w:sz w:val="20"/>
          <w:szCs w:val="20"/>
          <w:i w:val="1"/>
          <w:iCs w:val="1"/>
          <w:color w:val="auto"/>
        </w:rPr>
        <w:t>COBRA Premiums</w:t>
      </w:r>
      <w:r>
        <w:rPr>
          <w:rFonts w:ascii="Calibri" w:cs="Calibri" w:eastAsia="Calibri" w:hAnsi="Calibri"/>
          <w:sz w:val="20"/>
          <w:szCs w:val="20"/>
          <w:color w:val="auto"/>
        </w:rPr>
        <w:t>. If such Partcipant tmely and properly elects contnuaton coverage under the Company’s group health plans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(other than its health care fexible spending account) pursuant to COBRA, then the Company shall directly pay or, at its electon, reimburse the Partcipant for COBRA premiums for the Partcipant and the Partcipant’s covered eligible dependents (at the same beneft levels in efect on the Partcipant’s Terminaton of Employment) (the “</w:t>
      </w:r>
      <w:r>
        <w:rPr>
          <w:rFonts w:ascii="Calibri" w:cs="Calibri" w:eastAsia="Calibri" w:hAnsi="Calibri"/>
          <w:sz w:val="20"/>
          <w:szCs w:val="20"/>
          <w:b w:val="1"/>
          <w:bCs w:val="1"/>
          <w:i w:val="1"/>
          <w:iCs w:val="1"/>
          <w:color w:val="auto"/>
        </w:rPr>
        <w:t>Benefts Contnuaton</w:t>
      </w:r>
      <w:r>
        <w:rPr>
          <w:rFonts w:ascii="Calibri" w:cs="Calibri" w:eastAsia="Calibri" w:hAnsi="Calibri"/>
          <w:sz w:val="20"/>
          <w:szCs w:val="20"/>
          <w:color w:val="auto"/>
        </w:rPr>
        <w:t>”) for the period commencing on such Terminaton of Employment and ending on the earliest of (i) the number of years (or partal years, if applicable) thereafer equal to the Severance Period, (ii) the date such Partcipant is no longer eligible for COBRA contnuaton coverage, and (iii) that date on which the Partcipant becomes eligible to receive group health plan coverage from another employer (such period, the “</w:t>
      </w:r>
      <w:r>
        <w:rPr>
          <w:rFonts w:ascii="Calibri" w:cs="Calibri" w:eastAsia="Calibri" w:hAnsi="Calibri"/>
          <w:sz w:val="20"/>
          <w:szCs w:val="20"/>
          <w:b w:val="1"/>
          <w:bCs w:val="1"/>
          <w:i w:val="1"/>
          <w:iCs w:val="1"/>
          <w:color w:val="auto"/>
        </w:rPr>
        <w:t>Benefts</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Contnuaton Period</w:t>
      </w:r>
      <w:r>
        <w:rPr>
          <w:rFonts w:ascii="Calibri" w:cs="Calibri" w:eastAsia="Calibri" w:hAnsi="Calibri"/>
          <w:sz w:val="20"/>
          <w:szCs w:val="20"/>
          <w:color w:val="auto"/>
        </w:rPr>
        <w:t>”). The Partcipant must notfy the Company immediately upon becoming eligible to receive group health plan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coverage by means of subsequent employment. Notwithstanding the foregoing, (i) if any plan pursuant to which such benefts are provided is not, or ceases prior to the expiraton of the period of contnuaton coverage to be, exempt from the applicaton of Secton 409A of the Code (“</w:t>
      </w:r>
      <w:r>
        <w:rPr>
          <w:rFonts w:ascii="Calibri" w:cs="Calibri" w:eastAsia="Calibri" w:hAnsi="Calibri"/>
          <w:sz w:val="20"/>
          <w:szCs w:val="20"/>
          <w:b w:val="1"/>
          <w:bCs w:val="1"/>
          <w:i w:val="1"/>
          <w:iCs w:val="1"/>
          <w:color w:val="auto"/>
        </w:rPr>
        <w:t>Secton 409A</w:t>
      </w:r>
      <w:r>
        <w:rPr>
          <w:rFonts w:ascii="Calibri" w:cs="Calibri" w:eastAsia="Calibri" w:hAnsi="Calibri"/>
          <w:sz w:val="20"/>
          <w:szCs w:val="20"/>
          <w:color w:val="auto"/>
        </w:rPr>
        <w:t>”) under Treasury Regulaton Secton 1.409A-1(a)(5), or (ii) the Company is otherwise unable to contnue to cover the Partcipant under its group health plans without penalty under applicable law (including without limitaton, Secton 2716 of the Public Health Service Act), then, in either case, an amount equal to each remaining Company reimbursement shall thereafer be paid to the Partcipant in substantally equal monthly installments over the Benefts Contnuaton Period (or the remaining porton thereof).</w:t>
      </w:r>
    </w:p>
    <w:p>
      <w:pPr>
        <w:spacing w:after="0" w:line="375" w:lineRule="exact"/>
        <w:rPr>
          <w:rFonts w:ascii="Calibri" w:cs="Calibri" w:eastAsia="Calibri" w:hAnsi="Calibri"/>
          <w:sz w:val="20"/>
          <w:szCs w:val="20"/>
          <w:color w:val="auto"/>
        </w:rPr>
      </w:pPr>
    </w:p>
    <w:p>
      <w:pPr>
        <w:ind w:right="40" w:firstLine="8"/>
        <w:spacing w:after="0" w:line="236" w:lineRule="auto"/>
        <w:tabs>
          <w:tab w:leader="none" w:pos="254" w:val="left"/>
        </w:tabs>
        <w:numPr>
          <w:ilvl w:val="0"/>
          <w:numId w:val="19"/>
        </w:numPr>
        <w:rPr>
          <w:rFonts w:ascii="Calibri" w:cs="Calibri" w:eastAsia="Calibri" w:hAnsi="Calibri"/>
          <w:sz w:val="20"/>
          <w:szCs w:val="20"/>
          <w:color w:val="auto"/>
        </w:rPr>
      </w:pPr>
      <w:r>
        <w:rPr>
          <w:rFonts w:ascii="Calibri" w:cs="Calibri" w:eastAsia="Calibri" w:hAnsi="Calibri"/>
          <w:sz w:val="20"/>
          <w:szCs w:val="20"/>
          <w:i w:val="1"/>
          <w:iCs w:val="1"/>
          <w:color w:val="auto"/>
        </w:rPr>
        <w:t>Equity Acceleraton</w:t>
      </w:r>
      <w:r>
        <w:rPr>
          <w:rFonts w:ascii="Calibri" w:cs="Calibri" w:eastAsia="Calibri" w:hAnsi="Calibri"/>
          <w:sz w:val="20"/>
          <w:szCs w:val="20"/>
          <w:color w:val="auto"/>
        </w:rPr>
        <w:t>. The Partcipant will be enttled to accelerated vestng of any Equity Awards that are outstanding as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Partcipant’s Terminaton of Employment to the extent provided in any writen agreement between the Partcipant and the Company Group.</w:t>
      </w:r>
    </w:p>
    <w:p>
      <w:pPr>
        <w:spacing w:after="0" w:line="197"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2"/>
          <w:szCs w:val="22"/>
          <w:b w:val="1"/>
          <w:bCs w:val="1"/>
          <w:color w:val="494645"/>
        </w:rPr>
        <w:t>5.</w:t>
      </w:r>
      <w:r>
        <w:rPr>
          <w:sz w:val="20"/>
          <w:szCs w:val="20"/>
          <w:color w:val="auto"/>
        </w:rPr>
        <w:tab/>
      </w:r>
      <w:r>
        <w:rPr>
          <w:rFonts w:ascii="Calibri" w:cs="Calibri" w:eastAsia="Calibri" w:hAnsi="Calibri"/>
          <w:sz w:val="21"/>
          <w:szCs w:val="21"/>
          <w:b w:val="1"/>
          <w:bCs w:val="1"/>
          <w:color w:val="494645"/>
        </w:rPr>
        <w:t>Terminaton of Employment Without Cause or For Good Reason During the Protecton Period</w:t>
      </w:r>
    </w:p>
    <w:p>
      <w:pPr>
        <w:spacing w:after="0" w:line="141" w:lineRule="exact"/>
        <w:rPr>
          <w:sz w:val="20"/>
          <w:szCs w:val="20"/>
          <w:color w:val="auto"/>
        </w:rPr>
      </w:pPr>
    </w:p>
    <w:p>
      <w:pPr>
        <w:spacing w:after="0"/>
        <w:rPr>
          <w:sz w:val="20"/>
          <w:szCs w:val="20"/>
          <w:color w:val="auto"/>
        </w:rPr>
      </w:pPr>
      <w:r>
        <w:rPr>
          <w:rFonts w:ascii="Calibri" w:cs="Calibri" w:eastAsia="Calibri" w:hAnsi="Calibri"/>
          <w:sz w:val="20"/>
          <w:szCs w:val="20"/>
          <w:color w:val="auto"/>
        </w:rPr>
        <w:t>5.1 In the event of a Partcipant’s Terminaton of Employment by the Company without Cause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779780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77" w:name="page78"/>
    <w:bookmarkEnd w:id="77"/>
    <w:p>
      <w:pPr>
        <w:spacing w:after="0" w:line="200" w:lineRule="exact"/>
        <w:rPr>
          <w:sz w:val="20"/>
          <w:szCs w:val="20"/>
          <w:color w:val="auto"/>
        </w:rPr>
      </w:pPr>
    </w:p>
    <w:p>
      <w:pPr>
        <w:spacing w:after="0" w:line="366" w:lineRule="exact"/>
        <w:rPr>
          <w:sz w:val="20"/>
          <w:szCs w:val="20"/>
          <w:color w:val="auto"/>
        </w:rPr>
      </w:pPr>
    </w:p>
    <w:p>
      <w:pPr>
        <w:ind w:left="340" w:right="520"/>
        <w:spacing w:after="0" w:line="234" w:lineRule="auto"/>
        <w:rPr>
          <w:sz w:val="20"/>
          <w:szCs w:val="20"/>
          <w:color w:val="auto"/>
        </w:rPr>
      </w:pPr>
      <w:r>
        <w:rPr>
          <w:rFonts w:ascii="Calibri" w:cs="Calibri" w:eastAsia="Calibri" w:hAnsi="Calibri"/>
          <w:sz w:val="20"/>
          <w:szCs w:val="20"/>
          <w:color w:val="auto"/>
        </w:rPr>
        <w:t>Partcipant for Good Reason during the Protecton Period, the Partcipant shall be enttled to receive the compensaton and benefts described in this Secton 5.</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5.2 </w:t>
      </w:r>
      <w:r>
        <w:rPr>
          <w:rFonts w:ascii="Calibri" w:cs="Calibri" w:eastAsia="Calibri" w:hAnsi="Calibri"/>
          <w:sz w:val="20"/>
          <w:szCs w:val="20"/>
          <w:u w:val="single" w:color="auto"/>
          <w:color w:val="auto"/>
        </w:rPr>
        <w:t>Accrued Obligatons</w:t>
      </w:r>
      <w:r>
        <w:rPr>
          <w:rFonts w:ascii="Calibri" w:cs="Calibri" w:eastAsia="Calibri" w:hAnsi="Calibri"/>
          <w:sz w:val="20"/>
          <w:szCs w:val="20"/>
          <w:color w:val="auto"/>
        </w:rPr>
        <w:t>. The Partcipant shall be enttled to receive the Accrued Obligatons.</w:t>
      </w:r>
    </w:p>
    <w:p>
      <w:pPr>
        <w:spacing w:after="0" w:line="157" w:lineRule="exact"/>
        <w:rPr>
          <w:sz w:val="20"/>
          <w:szCs w:val="20"/>
          <w:color w:val="auto"/>
        </w:rPr>
      </w:pPr>
    </w:p>
    <w:p>
      <w:pPr>
        <w:ind w:left="340" w:right="40" w:hanging="339"/>
        <w:spacing w:after="0" w:line="236" w:lineRule="auto"/>
        <w:rPr>
          <w:sz w:val="20"/>
          <w:szCs w:val="20"/>
          <w:color w:val="auto"/>
        </w:rPr>
      </w:pPr>
      <w:r>
        <w:rPr>
          <w:rFonts w:ascii="Calibri" w:cs="Calibri" w:eastAsia="Calibri" w:hAnsi="Calibri"/>
          <w:sz w:val="20"/>
          <w:szCs w:val="20"/>
          <w:color w:val="auto"/>
        </w:rPr>
        <w:t xml:space="preserve">5.3 </w:t>
      </w:r>
      <w:r>
        <w:rPr>
          <w:rFonts w:ascii="Calibri" w:cs="Calibri" w:eastAsia="Calibri" w:hAnsi="Calibri"/>
          <w:sz w:val="20"/>
          <w:szCs w:val="20"/>
          <w:u w:val="single" w:color="auto"/>
          <w:color w:val="auto"/>
        </w:rPr>
        <w:t>Severance Benefts</w:t>
      </w:r>
      <w:r>
        <w:rPr>
          <w:rFonts w:ascii="Calibri" w:cs="Calibri" w:eastAsia="Calibri" w:hAnsi="Calibri"/>
          <w:sz w:val="20"/>
          <w:szCs w:val="20"/>
          <w:color w:val="auto"/>
        </w:rPr>
        <w:t>. Provided that the Partcipant executes the Release prior to the applicable Release Deadline and such Release then becomes efectve and irrevocable in accordance with its terms, subject to Secton 17, and subject to the Partcipant’s compliance with the restrictve covenants set forth in Secton 10 herein, the Partcipant shall be enttled to receive the following severance payments and benefts (the “</w:t>
      </w:r>
      <w:r>
        <w:rPr>
          <w:rFonts w:ascii="Calibri" w:cs="Calibri" w:eastAsia="Calibri" w:hAnsi="Calibri"/>
          <w:sz w:val="20"/>
          <w:szCs w:val="20"/>
          <w:b w:val="1"/>
          <w:bCs w:val="1"/>
          <w:i w:val="1"/>
          <w:iCs w:val="1"/>
          <w:color w:val="auto"/>
        </w:rPr>
        <w:t>CIC Severance Benefts</w:t>
      </w:r>
      <w:r>
        <w:rPr>
          <w:rFonts w:ascii="Calibri" w:cs="Calibri" w:eastAsia="Calibri" w:hAnsi="Calibri"/>
          <w:sz w:val="20"/>
          <w:szCs w:val="20"/>
          <w:color w:val="auto"/>
        </w:rPr>
        <w:t>”):</w:t>
      </w:r>
    </w:p>
    <w:p>
      <w:pPr>
        <w:spacing w:after="0" w:line="137" w:lineRule="exact"/>
        <w:rPr>
          <w:sz w:val="20"/>
          <w:szCs w:val="20"/>
          <w:color w:val="auto"/>
        </w:rPr>
      </w:pPr>
    </w:p>
    <w:p>
      <w:pPr>
        <w:ind w:left="400" w:hanging="392"/>
        <w:spacing w:after="0"/>
        <w:tabs>
          <w:tab w:leader="none" w:pos="400" w:val="left"/>
        </w:tabs>
        <w:numPr>
          <w:ilvl w:val="0"/>
          <w:numId w:val="20"/>
        </w:numPr>
        <w:rPr>
          <w:rFonts w:ascii="Calibri" w:cs="Calibri" w:eastAsia="Calibri" w:hAnsi="Calibri"/>
          <w:sz w:val="20"/>
          <w:szCs w:val="20"/>
          <w:color w:val="auto"/>
        </w:rPr>
      </w:pPr>
      <w:r>
        <w:rPr>
          <w:rFonts w:ascii="Calibri" w:cs="Calibri" w:eastAsia="Calibri" w:hAnsi="Calibri"/>
          <w:sz w:val="20"/>
          <w:szCs w:val="20"/>
          <w:i w:val="1"/>
          <w:iCs w:val="1"/>
          <w:color w:val="auto"/>
        </w:rPr>
        <w:t>CIC Severance Payment</w:t>
      </w:r>
      <w:r>
        <w:rPr>
          <w:rFonts w:ascii="Calibri" w:cs="Calibri" w:eastAsia="Calibri" w:hAnsi="Calibri"/>
          <w:sz w:val="20"/>
          <w:szCs w:val="20"/>
          <w:color w:val="auto"/>
        </w:rPr>
        <w:t>. The Company shall pay to the Partcipant in a lump sum cash payment in an amount equal to the</w:t>
      </w:r>
    </w:p>
    <w:p>
      <w:pPr>
        <w:spacing w:after="0" w:line="8" w:lineRule="exact"/>
        <w:rPr>
          <w:rFonts w:ascii="Calibri" w:cs="Calibri" w:eastAsia="Calibri" w:hAnsi="Calibri"/>
          <w:sz w:val="20"/>
          <w:szCs w:val="20"/>
          <w:color w:val="auto"/>
        </w:rPr>
      </w:pPr>
    </w:p>
    <w:p>
      <w:pPr>
        <w:ind w:right="26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product of (i) the Partcipant’s CIC Severance Multplier and (ii) the Partcipant’s CIC Severance Payment within sixty (60) days afer the date of the Partcipant’s Terminaton of Employment.</w:t>
      </w:r>
    </w:p>
    <w:p>
      <w:pPr>
        <w:spacing w:after="0" w:line="158" w:lineRule="exact"/>
        <w:rPr>
          <w:rFonts w:ascii="Calibri" w:cs="Calibri" w:eastAsia="Calibri" w:hAnsi="Calibri"/>
          <w:sz w:val="20"/>
          <w:szCs w:val="20"/>
          <w:color w:val="auto"/>
        </w:rPr>
      </w:pPr>
    </w:p>
    <w:p>
      <w:pPr>
        <w:ind w:right="360" w:firstLine="8"/>
        <w:spacing w:after="0" w:line="236" w:lineRule="auto"/>
        <w:tabs>
          <w:tab w:leader="none" w:pos="379" w:val="left"/>
        </w:tabs>
        <w:numPr>
          <w:ilvl w:val="0"/>
          <w:numId w:val="20"/>
        </w:numPr>
        <w:rPr>
          <w:rFonts w:ascii="Calibri" w:cs="Calibri" w:eastAsia="Calibri" w:hAnsi="Calibri"/>
          <w:sz w:val="20"/>
          <w:szCs w:val="20"/>
          <w:color w:val="auto"/>
        </w:rPr>
      </w:pPr>
      <w:r>
        <w:rPr>
          <w:rFonts w:ascii="Calibri" w:cs="Calibri" w:eastAsia="Calibri" w:hAnsi="Calibri"/>
          <w:sz w:val="20"/>
          <w:szCs w:val="20"/>
          <w:i w:val="1"/>
          <w:iCs w:val="1"/>
          <w:color w:val="auto"/>
        </w:rPr>
        <w:t>Prorated Bonus</w:t>
      </w:r>
      <w:r>
        <w:rPr>
          <w:rFonts w:ascii="Calibri" w:cs="Calibri" w:eastAsia="Calibri" w:hAnsi="Calibri"/>
          <w:sz w:val="20"/>
          <w:szCs w:val="20"/>
          <w:color w:val="auto"/>
        </w:rPr>
        <w:t>. The Company shall pay the Partcipant an amount equal the Prorated Bonus on the later of (i) the 61st day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following the date of such Terminaton of Employment and (ii) the date payments under such plan are made with respect to such year to partcipants who remain actvely employed by the Company or any of its afliates throughout the remainder of such year; provided that such Prorated Bonus shall be paid in the year following the year in which the Prorated Bonus was earned.</w:t>
      </w:r>
    </w:p>
    <w:p>
      <w:pPr>
        <w:spacing w:after="0" w:line="146" w:lineRule="exact"/>
        <w:rPr>
          <w:rFonts w:ascii="Calibri" w:cs="Calibri" w:eastAsia="Calibri" w:hAnsi="Calibri"/>
          <w:sz w:val="20"/>
          <w:szCs w:val="20"/>
          <w:color w:val="auto"/>
        </w:rPr>
      </w:pPr>
    </w:p>
    <w:p>
      <w:pPr>
        <w:ind w:right="80" w:firstLine="8"/>
        <w:spacing w:after="0"/>
        <w:tabs>
          <w:tab w:leader="none" w:pos="383" w:val="left"/>
        </w:tabs>
        <w:numPr>
          <w:ilvl w:val="0"/>
          <w:numId w:val="20"/>
        </w:numPr>
        <w:rPr>
          <w:rFonts w:ascii="Calibri" w:cs="Calibri" w:eastAsia="Calibri" w:hAnsi="Calibri"/>
          <w:sz w:val="20"/>
          <w:szCs w:val="20"/>
          <w:color w:val="auto"/>
        </w:rPr>
      </w:pPr>
      <w:r>
        <w:rPr>
          <w:rFonts w:ascii="Calibri" w:cs="Calibri" w:eastAsia="Calibri" w:hAnsi="Calibri"/>
          <w:sz w:val="20"/>
          <w:szCs w:val="20"/>
          <w:i w:val="1"/>
          <w:iCs w:val="1"/>
          <w:color w:val="auto"/>
        </w:rPr>
        <w:t>COBRA Premiums</w:t>
      </w:r>
      <w:r>
        <w:rPr>
          <w:rFonts w:ascii="Calibri" w:cs="Calibri" w:eastAsia="Calibri" w:hAnsi="Calibri"/>
          <w:sz w:val="20"/>
          <w:szCs w:val="20"/>
          <w:color w:val="auto"/>
        </w:rPr>
        <w:t>. The Partcipant will be enttled to the Benefts Contnuaton, as set forth in Secton 4.2(c), for the period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commencing on such Terminaton of Employment and ending on the earliest of (i) the number of years (or partal years, if applicable) thereafer equal to the CIC Severance Multplier, (ii) the date such Partcipant is no longer eligible for COBRA contnuaton coverage, and (iii) that date on which the Partcipant becomes eligible to receive group health plan coverage from another employer (such period, the “</w:t>
      </w:r>
      <w:r>
        <w:rPr>
          <w:rFonts w:ascii="Calibri" w:cs="Calibri" w:eastAsia="Calibri" w:hAnsi="Calibri"/>
          <w:sz w:val="20"/>
          <w:szCs w:val="20"/>
          <w:b w:val="1"/>
          <w:bCs w:val="1"/>
          <w:i w:val="1"/>
          <w:iCs w:val="1"/>
          <w:color w:val="auto"/>
        </w:rPr>
        <w:t>CIC Benefts Contnuaton Period</w:t>
      </w:r>
      <w:r>
        <w:rPr>
          <w:rFonts w:ascii="Calibri" w:cs="Calibri" w:eastAsia="Calibri" w:hAnsi="Calibri"/>
          <w:sz w:val="20"/>
          <w:szCs w:val="20"/>
          <w:color w:val="auto"/>
        </w:rPr>
        <w:t>”). The Partcipant shall notfy the Company immediately upon becoming eligible to receive group health plan coverage by means of subsequent employment. Notwithstanding the foregoing, (i) if any plan pursuant to which such benefts are provided is not, or ceases prior to the expiraton of the period of contnuaton coverage to be, exempt from the applicaton of Code Secton 409A under Treasury Regulaton Secton 1.409A-1(a)(5), or (ii) the Company is otherwise unable to contnue to cover the Partcipant under its group health plans without penalty under applicable law (including without limitaton, Secton 2716 of the Public Health Service Act), then, in either case, an amount equal to each remaining Company reimbursement shall thereafer be paid to the Partcipant in substantally equal monthly installments over the CIC Benefts Contnuaton Period (or the remaining porton thereof).</w:t>
      </w:r>
    </w:p>
    <w:p>
      <w:pPr>
        <w:spacing w:after="0" w:line="379" w:lineRule="exact"/>
        <w:rPr>
          <w:rFonts w:ascii="Calibri" w:cs="Calibri" w:eastAsia="Calibri" w:hAnsi="Calibri"/>
          <w:sz w:val="20"/>
          <w:szCs w:val="20"/>
          <w:color w:val="auto"/>
        </w:rPr>
      </w:pPr>
    </w:p>
    <w:p>
      <w:pPr>
        <w:ind w:right="300" w:firstLine="8"/>
        <w:spacing w:after="0" w:line="236" w:lineRule="auto"/>
        <w:tabs>
          <w:tab w:leader="none" w:pos="384" w:val="left"/>
        </w:tabs>
        <w:numPr>
          <w:ilvl w:val="0"/>
          <w:numId w:val="20"/>
        </w:numPr>
        <w:rPr>
          <w:rFonts w:ascii="Calibri" w:cs="Calibri" w:eastAsia="Calibri" w:hAnsi="Calibri"/>
          <w:sz w:val="20"/>
          <w:szCs w:val="20"/>
          <w:color w:val="auto"/>
        </w:rPr>
      </w:pPr>
      <w:r>
        <w:rPr>
          <w:rFonts w:ascii="Calibri" w:cs="Calibri" w:eastAsia="Calibri" w:hAnsi="Calibri"/>
          <w:sz w:val="20"/>
          <w:szCs w:val="20"/>
          <w:i w:val="1"/>
          <w:iCs w:val="1"/>
          <w:color w:val="auto"/>
        </w:rPr>
        <w:t>Equity Acceleraton</w:t>
      </w:r>
      <w:r>
        <w:rPr>
          <w:rFonts w:ascii="Calibri" w:cs="Calibri" w:eastAsia="Calibri" w:hAnsi="Calibri"/>
          <w:sz w:val="20"/>
          <w:szCs w:val="20"/>
          <w:color w:val="auto"/>
        </w:rPr>
        <w:t>. The Partcipant will be enttled to accelerated vestng of any Equity Awards that are outstanding as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Partcipant’s Terminaton of Employment to the extent provided in any writen agreement between the Partcipant and the Company Group.</w:t>
      </w:r>
    </w:p>
    <w:p>
      <w:pPr>
        <w:spacing w:after="0" w:line="19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2"/>
          <w:szCs w:val="22"/>
          <w:b w:val="1"/>
          <w:bCs w:val="1"/>
          <w:color w:val="494645"/>
        </w:rPr>
        <w:t>6.</w:t>
      </w:r>
      <w:r>
        <w:rPr>
          <w:sz w:val="20"/>
          <w:szCs w:val="20"/>
          <w:color w:val="auto"/>
        </w:rPr>
        <w:tab/>
      </w:r>
      <w:r>
        <w:rPr>
          <w:rFonts w:ascii="Calibri" w:cs="Calibri" w:eastAsia="Calibri" w:hAnsi="Calibri"/>
          <w:sz w:val="21"/>
          <w:szCs w:val="21"/>
          <w:b w:val="1"/>
          <w:bCs w:val="1"/>
          <w:color w:val="494645"/>
        </w:rPr>
        <w:t>Terminaton of Employment Upon Death or Disability</w:t>
      </w:r>
    </w:p>
    <w:p>
      <w:pPr>
        <w:spacing w:after="0" w:line="167" w:lineRule="exact"/>
        <w:rPr>
          <w:sz w:val="20"/>
          <w:szCs w:val="20"/>
          <w:color w:val="auto"/>
        </w:rPr>
      </w:pPr>
    </w:p>
    <w:p>
      <w:pPr>
        <w:ind w:left="20"/>
        <w:spacing w:after="0" w:line="234" w:lineRule="auto"/>
        <w:rPr>
          <w:sz w:val="20"/>
          <w:szCs w:val="20"/>
          <w:color w:val="auto"/>
        </w:rPr>
      </w:pPr>
      <w:r>
        <w:rPr>
          <w:rFonts w:ascii="Calibri" w:cs="Calibri" w:eastAsia="Calibri" w:hAnsi="Calibri"/>
          <w:sz w:val="20"/>
          <w:szCs w:val="20"/>
          <w:color w:val="auto"/>
        </w:rPr>
        <w:t>In the event of a Partcipant’s Terminaton of Employment as a result of terminaton by the Company due to death or Disability, the Partcipant shall be enttled to receive the compensaton and benefts described in this Secton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780415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78" w:name="page79"/>
    <w:bookmarkEnd w:id="78"/>
    <w:p>
      <w:pPr>
        <w:spacing w:after="0" w:line="200" w:lineRule="exact"/>
        <w:rPr>
          <w:sz w:val="20"/>
          <w:szCs w:val="20"/>
          <w:color w:val="auto"/>
        </w:rPr>
      </w:pPr>
    </w:p>
    <w:p>
      <w:pPr>
        <w:spacing w:after="0" w:line="329" w:lineRule="exact"/>
        <w:rPr>
          <w:sz w:val="20"/>
          <w:szCs w:val="20"/>
          <w:color w:val="auto"/>
        </w:rPr>
      </w:pPr>
    </w:p>
    <w:p>
      <w:pPr>
        <w:spacing w:after="0"/>
        <w:tabs>
          <w:tab w:leader="none" w:pos="500" w:val="left"/>
        </w:tabs>
        <w:rPr>
          <w:sz w:val="20"/>
          <w:szCs w:val="20"/>
          <w:color w:val="auto"/>
        </w:rPr>
      </w:pPr>
      <w:r>
        <w:rPr>
          <w:rFonts w:ascii="Calibri" w:cs="Calibri" w:eastAsia="Calibri" w:hAnsi="Calibri"/>
          <w:sz w:val="20"/>
          <w:szCs w:val="20"/>
          <w:color w:val="auto"/>
        </w:rPr>
        <w:t>6.1.</w:t>
      </w:r>
      <w:r>
        <w:rPr>
          <w:sz w:val="20"/>
          <w:szCs w:val="20"/>
          <w:color w:val="auto"/>
        </w:rPr>
        <w:tab/>
      </w:r>
      <w:r>
        <w:rPr>
          <w:rFonts w:ascii="Calibri" w:cs="Calibri" w:eastAsia="Calibri" w:hAnsi="Calibri"/>
          <w:sz w:val="20"/>
          <w:szCs w:val="20"/>
          <w:u w:val="single" w:color="auto"/>
          <w:color w:val="auto"/>
        </w:rPr>
        <w:t>Accrued Obligatons</w:t>
      </w:r>
      <w:r>
        <w:rPr>
          <w:rFonts w:ascii="Calibri" w:cs="Calibri" w:eastAsia="Calibri" w:hAnsi="Calibri"/>
          <w:sz w:val="20"/>
          <w:szCs w:val="20"/>
          <w:color w:val="auto"/>
        </w:rPr>
        <w:t>. The Partcipant shall be enttled to receive the Accrued Obligatons.</w:t>
      </w:r>
    </w:p>
    <w:p>
      <w:pPr>
        <w:spacing w:after="0" w:line="117" w:lineRule="exact"/>
        <w:rPr>
          <w:sz w:val="20"/>
          <w:szCs w:val="20"/>
          <w:color w:val="auto"/>
        </w:rPr>
      </w:pPr>
    </w:p>
    <w:p>
      <w:pPr>
        <w:jc w:val="both"/>
        <w:ind w:left="520" w:right="120" w:hanging="503"/>
        <w:spacing w:after="0" w:line="236" w:lineRule="auto"/>
        <w:tabs>
          <w:tab w:leader="none" w:pos="500" w:val="left"/>
        </w:tabs>
        <w:rPr>
          <w:sz w:val="20"/>
          <w:szCs w:val="20"/>
          <w:color w:val="auto"/>
        </w:rPr>
      </w:pPr>
      <w:r>
        <w:rPr>
          <w:rFonts w:ascii="Calibri" w:cs="Calibri" w:eastAsia="Calibri" w:hAnsi="Calibri"/>
          <w:sz w:val="20"/>
          <w:szCs w:val="20"/>
          <w:color w:val="auto"/>
        </w:rPr>
        <w:t>6.2.</w:t>
      </w:r>
      <w:r>
        <w:rPr>
          <w:sz w:val="20"/>
          <w:szCs w:val="20"/>
          <w:color w:val="auto"/>
        </w:rPr>
        <w:tab/>
      </w:r>
      <w:r>
        <w:rPr>
          <w:rFonts w:ascii="Calibri" w:cs="Calibri" w:eastAsia="Calibri" w:hAnsi="Calibri"/>
          <w:sz w:val="20"/>
          <w:szCs w:val="20"/>
          <w:u w:val="single" w:color="auto"/>
          <w:color w:val="auto"/>
        </w:rPr>
        <w:t>Equity Acceleraton</w:t>
      </w:r>
      <w:r>
        <w:rPr>
          <w:rFonts w:ascii="Calibri" w:cs="Calibri" w:eastAsia="Calibri" w:hAnsi="Calibri"/>
          <w:sz w:val="20"/>
          <w:szCs w:val="20"/>
          <w:color w:val="auto"/>
        </w:rPr>
        <w:t>. The Partcipant will be enttled to accelerated vestng of any Equity Awards that are outstanding as of the</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Partcipant’s Terminaton of Employment to the extent provided in any writen agreement between the Partcipant and the Company Group.</w:t>
      </w:r>
    </w:p>
    <w:p>
      <w:pPr>
        <w:spacing w:after="0" w:line="197"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2"/>
          <w:szCs w:val="22"/>
          <w:b w:val="1"/>
          <w:bCs w:val="1"/>
          <w:color w:val="494645"/>
        </w:rPr>
        <w:t>7.</w:t>
      </w:r>
      <w:r>
        <w:rPr>
          <w:sz w:val="20"/>
          <w:szCs w:val="20"/>
          <w:color w:val="auto"/>
        </w:rPr>
        <w:tab/>
      </w:r>
      <w:r>
        <w:rPr>
          <w:rFonts w:ascii="Calibri" w:cs="Calibri" w:eastAsia="Calibri" w:hAnsi="Calibri"/>
          <w:sz w:val="21"/>
          <w:szCs w:val="21"/>
          <w:b w:val="1"/>
          <w:bCs w:val="1"/>
          <w:color w:val="494645"/>
        </w:rPr>
        <w:t>Terminaton for Cause or Without Good Reason</w:t>
      </w:r>
    </w:p>
    <w:p>
      <w:pPr>
        <w:spacing w:after="0" w:line="165" w:lineRule="exact"/>
        <w:rPr>
          <w:sz w:val="20"/>
          <w:szCs w:val="20"/>
          <w:color w:val="auto"/>
        </w:rPr>
      </w:pPr>
    </w:p>
    <w:p>
      <w:pPr>
        <w:jc w:val="both"/>
        <w:ind w:left="20" w:right="100"/>
        <w:spacing w:after="0" w:line="236" w:lineRule="auto"/>
        <w:rPr>
          <w:sz w:val="20"/>
          <w:szCs w:val="20"/>
          <w:color w:val="auto"/>
        </w:rPr>
      </w:pPr>
      <w:r>
        <w:rPr>
          <w:rFonts w:ascii="Calibri" w:cs="Calibri" w:eastAsia="Calibri" w:hAnsi="Calibri"/>
          <w:sz w:val="20"/>
          <w:szCs w:val="20"/>
          <w:color w:val="auto"/>
        </w:rPr>
        <w:t>In the event of a Partcipant’s Terminaton of Employment by the Company for Cause or by Partcipant without Good Reason, the Partcipant shall be enttled to receive only the Accrued Obligatons and shall not be enttled to any severance compensaton or benefts hereunder or otherwise.</w:t>
      </w:r>
    </w:p>
    <w:p>
      <w:pPr>
        <w:spacing w:after="0" w:line="210"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2"/>
          <w:szCs w:val="22"/>
          <w:b w:val="1"/>
          <w:bCs w:val="1"/>
          <w:color w:val="494645"/>
        </w:rPr>
        <w:t>8.</w:t>
      </w:r>
      <w:r>
        <w:rPr>
          <w:sz w:val="20"/>
          <w:szCs w:val="20"/>
          <w:color w:val="auto"/>
        </w:rPr>
        <w:tab/>
      </w:r>
      <w:r>
        <w:rPr>
          <w:rFonts w:ascii="Calibri" w:cs="Calibri" w:eastAsia="Calibri" w:hAnsi="Calibri"/>
          <w:sz w:val="21"/>
          <w:szCs w:val="21"/>
          <w:b w:val="1"/>
          <w:bCs w:val="1"/>
          <w:color w:val="494645"/>
        </w:rPr>
        <w:t>Federal Excise Tax Under Secton 4999 of the Code</w:t>
      </w:r>
    </w:p>
    <w:p>
      <w:pPr>
        <w:spacing w:after="0" w:line="165" w:lineRule="exact"/>
        <w:rPr>
          <w:sz w:val="20"/>
          <w:szCs w:val="20"/>
          <w:color w:val="auto"/>
        </w:rPr>
      </w:pPr>
    </w:p>
    <w:p>
      <w:pPr>
        <w:ind w:left="20" w:right="160"/>
        <w:spacing w:after="0" w:line="236" w:lineRule="auto"/>
        <w:rPr>
          <w:sz w:val="20"/>
          <w:szCs w:val="20"/>
          <w:color w:val="auto"/>
        </w:rPr>
      </w:pPr>
      <w:r>
        <w:rPr>
          <w:rFonts w:ascii="Calibri" w:cs="Calibri" w:eastAsia="Calibri" w:hAnsi="Calibri"/>
          <w:sz w:val="20"/>
          <w:szCs w:val="20"/>
          <w:color w:val="auto"/>
        </w:rPr>
        <w:t>Unless a writen employment agreement between a Partcipant and a member of the Company Group in efect at the tme of the Partcipant’s Terminaton of Employment provides otherwise for the treatment of excess parachute payments under Secton 280G of the Code:</w:t>
      </w:r>
    </w:p>
    <w:p>
      <w:pPr>
        <w:spacing w:after="0" w:line="117"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 xml:space="preserve">8.1. </w:t>
      </w:r>
      <w:r>
        <w:rPr>
          <w:rFonts w:ascii="Calibri" w:cs="Calibri" w:eastAsia="Calibri" w:hAnsi="Calibri"/>
          <w:sz w:val="20"/>
          <w:szCs w:val="20"/>
          <w:u w:val="single" w:color="auto"/>
          <w:color w:val="auto"/>
        </w:rPr>
        <w:t>Excess Parachute Payment</w:t>
      </w:r>
      <w:r>
        <w:rPr>
          <w:rFonts w:ascii="Calibri" w:cs="Calibri" w:eastAsia="Calibri" w:hAnsi="Calibri"/>
          <w:sz w:val="20"/>
          <w:szCs w:val="20"/>
          <w:color w:val="auto"/>
        </w:rPr>
        <w:t xml:space="preserve">. In the event that any payment or beneft received or to be received by the Partcipant pursuant to this Plan or otherwise (collectvely, the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Payments</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would subject the Partcipant to any excise tax pursuant to Secton 4999 of the Code (the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Excise Tax</w:t>
      </w:r>
      <w:r>
        <w:rPr>
          <w:rFonts w:ascii="Calibri" w:cs="Calibri" w:eastAsia="Calibri" w:hAnsi="Calibri"/>
          <w:sz w:val="20"/>
          <w:szCs w:val="20"/>
          <w:i w:val="1"/>
          <w:iCs w:val="1"/>
          <w:color w:val="auto"/>
        </w:rPr>
        <w:t>”</w:t>
      </w:r>
      <w:r>
        <w:rPr>
          <w:rFonts w:ascii="Calibri" w:cs="Calibri" w:eastAsia="Calibri" w:hAnsi="Calibri"/>
          <w:sz w:val="20"/>
          <w:szCs w:val="20"/>
          <w:color w:val="auto"/>
        </w:rPr>
        <w:t>) due to the characterizaton of such Payments as an excess parachute payment under Secton 280G of the Code, then, notwithstanding the other provisions of this Plan, the amount of such Payments will not exceed the amount which produces the greatest afer-tax beneft to the Partcipant. For purposes of this Secton 8.1, if the Payments must be reduced, then such Payments shall be reduced in such manner (and in such order) as determined by the Company in good faith based on determinatons of the 280G Advisor (as defned below) and such determinaton by the Company shall be fnal, binding and conclusive on the applicable Partcipant.</w:t>
      </w:r>
    </w:p>
    <w:p>
      <w:pPr>
        <w:spacing w:after="0" w:line="121"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 xml:space="preserve">8.2. </w:t>
      </w:r>
      <w:r>
        <w:rPr>
          <w:rFonts w:ascii="Calibri" w:cs="Calibri" w:eastAsia="Calibri" w:hAnsi="Calibri"/>
          <w:sz w:val="20"/>
          <w:szCs w:val="20"/>
          <w:u w:val="single" w:color="auto"/>
          <w:color w:val="auto"/>
        </w:rPr>
        <w:t>Determinaton by 280G Advisor</w:t>
      </w:r>
      <w:r>
        <w:rPr>
          <w:rFonts w:ascii="Calibri" w:cs="Calibri" w:eastAsia="Calibri" w:hAnsi="Calibri"/>
          <w:sz w:val="20"/>
          <w:szCs w:val="20"/>
          <w:color w:val="auto"/>
        </w:rPr>
        <w:t xml:space="preserve">. Upon the occurrence of any event that would give rise to any Payments pursuant to this Plan (an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Event</w:t>
      </w:r>
      <w:r>
        <w:rPr>
          <w:rFonts w:ascii="Calibri" w:cs="Calibri" w:eastAsia="Calibri" w:hAnsi="Calibri"/>
          <w:sz w:val="20"/>
          <w:szCs w:val="20"/>
          <w:i w:val="1"/>
          <w:iCs w:val="1"/>
          <w:color w:val="auto"/>
        </w:rPr>
        <w:t>”</w:t>
      </w:r>
      <w:r>
        <w:rPr>
          <w:rFonts w:ascii="Calibri" w:cs="Calibri" w:eastAsia="Calibri" w:hAnsi="Calibri"/>
          <w:sz w:val="20"/>
          <w:szCs w:val="20"/>
          <w:color w:val="auto"/>
        </w:rPr>
        <w:t>), the Company shall request a determinaton to be made in connecton with the Event by a natonally recognized independent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 xml:space="preserve">public accountng frm or other third party advisor with experienced in performing calculatons regarding the applicability of Secton 280G of the Code and the Excise Tax selected by the Company (the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280G Advisor</w:t>
      </w:r>
      <w:r>
        <w:rPr>
          <w:rFonts w:ascii="Calibri" w:cs="Calibri" w:eastAsia="Calibri" w:hAnsi="Calibri"/>
          <w:sz w:val="20"/>
          <w:szCs w:val="20"/>
          <w:i w:val="1"/>
          <w:iCs w:val="1"/>
          <w:color w:val="auto"/>
        </w:rPr>
        <w:t>”</w:t>
      </w:r>
      <w:r>
        <w:rPr>
          <w:rFonts w:ascii="Calibri" w:cs="Calibri" w:eastAsia="Calibri" w:hAnsi="Calibri"/>
          <w:sz w:val="20"/>
          <w:szCs w:val="20"/>
          <w:color w:val="auto"/>
        </w:rPr>
        <w:t>) of the amount and type of such Payments which would produce the greatest afer-tax beneft to the Partcipant. For the purposes of such determinaton, the 280G Advisor may rely on reasonable, good faith interpretatons concerning the applicaton of Sectons 280G and 4999 of the Code. The Company and the Partcipant shall furnish to the 280G Advisor such informaton and documents as the 280G Advisor may reasonably request in order to make its required determinaton. The Company shall bear all fees and expenses the 280G Advisor may reasonably charge in connecton with their services contemplated by this Secton. In the event that, following any payment of any Payments, it is determined that a greater reducton in the Payments than initally determined by the 280G Advisor should have been made to implement the objectves and intent of this Secton 8, the excess amount shall be returned immediately by the Partcipant to the Company.</w:t>
      </w:r>
    </w:p>
    <w:p>
      <w:pPr>
        <w:spacing w:after="0" w:line="196" w:lineRule="exact"/>
        <w:rPr>
          <w:sz w:val="20"/>
          <w:szCs w:val="20"/>
          <w:color w:val="auto"/>
        </w:rPr>
      </w:pPr>
    </w:p>
    <w:p>
      <w:pPr>
        <w:ind w:left="400" w:hanging="392"/>
        <w:spacing w:after="0"/>
        <w:tabs>
          <w:tab w:leader="none" w:pos="400" w:val="left"/>
        </w:tabs>
        <w:numPr>
          <w:ilvl w:val="0"/>
          <w:numId w:val="21"/>
        </w:numPr>
        <w:rPr>
          <w:rFonts w:ascii="Calibri" w:cs="Calibri" w:eastAsia="Calibri" w:hAnsi="Calibri"/>
          <w:sz w:val="22"/>
          <w:szCs w:val="22"/>
          <w:b w:val="1"/>
          <w:bCs w:val="1"/>
          <w:color w:val="494645"/>
        </w:rPr>
      </w:pPr>
      <w:r>
        <w:rPr>
          <w:rFonts w:ascii="Calibri" w:cs="Calibri" w:eastAsia="Calibri" w:hAnsi="Calibri"/>
          <w:sz w:val="22"/>
          <w:szCs w:val="22"/>
          <w:b w:val="1"/>
          <w:bCs w:val="1"/>
          <w:color w:val="494645"/>
        </w:rPr>
        <w:t>Entre Plan; Relaton to Other Agreements</w:t>
      </w:r>
    </w:p>
    <w:p>
      <w:pPr>
        <w:spacing w:after="0" w:line="113" w:lineRule="exact"/>
        <w:rPr>
          <w:sz w:val="20"/>
          <w:szCs w:val="20"/>
          <w:color w:val="auto"/>
        </w:rPr>
      </w:pPr>
    </w:p>
    <w:p>
      <w:pPr>
        <w:ind w:right="600"/>
        <w:spacing w:after="0" w:line="236" w:lineRule="auto"/>
        <w:rPr>
          <w:sz w:val="20"/>
          <w:szCs w:val="20"/>
          <w:color w:val="auto"/>
        </w:rPr>
      </w:pPr>
      <w:r>
        <w:rPr>
          <w:rFonts w:ascii="Calibri" w:cs="Calibri" w:eastAsia="Calibri" w:hAnsi="Calibri"/>
          <w:sz w:val="20"/>
          <w:szCs w:val="20"/>
          <w:color w:val="auto"/>
        </w:rPr>
        <w:t>Except as otherwise set forth herein (including, for the avoidance of doubt, Sectons 4.2(d) and 5.2(d)) or otherwise agreed to in writng between the Company Group and a Partcipant, the Plan contains the entre understanding of the partes relatng to the subject mater hereof and supersedes any prior agreement, arrangement and understanding between any Partcipant and the Company Group, with respect to the subject mater hereof. By partcipatng in the Plan and acceptng the Severance 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781685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1440" w:right="359" w:bottom="1440" w:gutter="0" w:footer="0" w:header="0"/>
        </w:sectPr>
      </w:pPr>
    </w:p>
    <w:bookmarkStart w:id="79" w:name="page80"/>
    <w:bookmarkEnd w:id="79"/>
    <w:p>
      <w:pPr>
        <w:spacing w:after="0" w:line="200" w:lineRule="exact"/>
        <w:rPr>
          <w:sz w:val="20"/>
          <w:szCs w:val="20"/>
          <w:color w:val="auto"/>
        </w:rPr>
      </w:pPr>
    </w:p>
    <w:p>
      <w:pPr>
        <w:spacing w:after="0" w:line="339"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or CIC Severance Benefts, as applicable, hereunder, the Partcipant acknowledges and agrees that any prior agreement, arrangement and understanding between any Partcipant, on the one hand, and the Company Group, on the other hand, with respect to the subject mater hereof is hereby superseded and inefectve with respect to the Partcipant (including with respect to any severance arrangement contained in an employment agreement, employment leter agreement and/or similar agreement or arrangement by and between the Partcipant and any member of the Company Group), except as otherwise agreed herein, including, for the avoidance of doubt, Sectons 4.2(d) and 5.2(d).</w:t>
      </w:r>
    </w:p>
    <w:p>
      <w:pPr>
        <w:spacing w:after="0" w:line="14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10. Confdental Informaton, Non-Competton, and Non-Solicitaton</w:t>
      </w:r>
    </w:p>
    <w:p>
      <w:pPr>
        <w:spacing w:after="0" w:line="111" w:lineRule="exact"/>
        <w:rPr>
          <w:sz w:val="20"/>
          <w:szCs w:val="20"/>
          <w:color w:val="auto"/>
        </w:rPr>
      </w:pPr>
    </w:p>
    <w:p>
      <w:pPr>
        <w:spacing w:after="0"/>
        <w:rPr>
          <w:sz w:val="20"/>
          <w:szCs w:val="20"/>
          <w:color w:val="auto"/>
        </w:rPr>
      </w:pPr>
      <w:r>
        <w:rPr>
          <w:rFonts w:ascii="Calibri" w:cs="Calibri" w:eastAsia="Calibri" w:hAnsi="Calibri"/>
          <w:sz w:val="20"/>
          <w:szCs w:val="20"/>
          <w:color w:val="auto"/>
        </w:rPr>
        <w:t>10.1.As an express conditon to partcipaton in this Plan, each Partcipant acknowledges and agrees that such Partcipant is bound by the provisions of this Secton 10. Notwithstanding any provision of this Plan to the contrary, if a Partcipant violates any of his or her obligatons under this Secton 10 (or any similar confdentality, return of property, non-competton, non-solicitaton, non-disparagement, or intellectual property covenant that runs in favor of any member of the Company Group and by which such Partcipant is bound, the terms of which are incorporated herein by reference (collectvely, “</w:t>
      </w:r>
      <w:r>
        <w:rPr>
          <w:rFonts w:ascii="Calibri" w:cs="Calibri" w:eastAsia="Calibri" w:hAnsi="Calibri"/>
          <w:sz w:val="20"/>
          <w:szCs w:val="20"/>
          <w:b w:val="1"/>
          <w:bCs w:val="1"/>
          <w:i w:val="1"/>
          <w:iCs w:val="1"/>
          <w:color w:val="auto"/>
        </w:rPr>
        <w:t>Similar Covenants</w:t>
      </w:r>
      <w:r>
        <w:rPr>
          <w:rFonts w:ascii="Calibri" w:cs="Calibri" w:eastAsia="Calibri" w:hAnsi="Calibri"/>
          <w:sz w:val="20"/>
          <w:szCs w:val="20"/>
          <w:color w:val="auto"/>
        </w:rPr>
        <w:t>”)), then the Company (and its applicable afliates) shall be relieved of all obligatons to provide or make available any further payments or benefts to the Partcipant pursuant to this Plan, and the Company may require the Partcipant to repay or forfeit to the Company (on a pre-tax or afer-tax basis) any such payments or benefts that the Partcipant was previously provided by the Company or any of its afliates. For the avoidance of doubt, each Partcipant shall remain obligated to comply with any Similar Covenants in additon to the provisions of this Secton 10.</w:t>
      </w:r>
    </w:p>
    <w:p>
      <w:pPr>
        <w:spacing w:after="0" w:line="341" w:lineRule="exact"/>
        <w:rPr>
          <w:sz w:val="20"/>
          <w:szCs w:val="20"/>
          <w:color w:val="auto"/>
        </w:rPr>
      </w:pPr>
    </w:p>
    <w:p>
      <w:pPr>
        <w:ind w:right="120"/>
        <w:spacing w:after="0" w:line="238" w:lineRule="auto"/>
        <w:rPr>
          <w:sz w:val="20"/>
          <w:szCs w:val="20"/>
          <w:color w:val="auto"/>
        </w:rPr>
      </w:pPr>
      <w:r>
        <w:rPr>
          <w:rFonts w:ascii="Calibri" w:cs="Calibri" w:eastAsia="Calibri" w:hAnsi="Calibri"/>
          <w:sz w:val="20"/>
          <w:szCs w:val="20"/>
          <w:color w:val="auto"/>
        </w:rPr>
        <w:t>10.2.Each Partcipant agrees that the Partcipant shall not use for the Partcipant’s own purpose or for the beneft of any person or entty (including, without limitaton, a Competng Business (as defned below)) other than the Company Group or its respectve shareholders or afliates, nor shall the Partcipant otherwise disclose to any individual or entty at any tme while the Partcipant is employed by the Company Group or thereafer any Proprietary Informaton of the Company unless such disclosure (a) has been authorized by the Board; (b) is reasonably required within the course and scope of the Partcipant’s employment with the Company; or (c) is required by law, a court of competent jurisdicton or a governmental or regulatory agency. “</w:t>
      </w:r>
      <w:r>
        <w:rPr>
          <w:rFonts w:ascii="Calibri" w:cs="Calibri" w:eastAsia="Calibri" w:hAnsi="Calibri"/>
          <w:sz w:val="20"/>
          <w:szCs w:val="20"/>
          <w:b w:val="1"/>
          <w:bCs w:val="1"/>
          <w:i w:val="1"/>
          <w:iCs w:val="1"/>
          <w:color w:val="auto"/>
        </w:rPr>
        <w:t>Proprietary Informaton</w:t>
      </w:r>
      <w:r>
        <w:rPr>
          <w:rFonts w:ascii="Calibri" w:cs="Calibri" w:eastAsia="Calibri" w:hAnsi="Calibri"/>
          <w:sz w:val="20"/>
          <w:szCs w:val="20"/>
          <w:color w:val="auto"/>
        </w:rPr>
        <w:t>” shall mean (a) the name or address of any customer, supplier or parent or subsidiary entty of the Company Group or any informaton concerning the transactons or relatons of any customer, supplier or parent or subsidiary of the Company Group or any of its shareholders; (b) any informaton concerning any product, service, technology or procedure ofered or used by the Company Group, or under development by or being considered for use by the Company Group; (c) any informaton relatng to marketng or pricing plans or methods, capital structure, or any business or strategic plans of the Company Group; (d) any inventons, innovatons, trade secrets, patents and processes in any way relatng, directly or indirectly, to the Company Group’s business developed by the Partcipant alone or in conjuncton with others; and (e) any other informaton which the Board has determined by resoluton and communicated to the Partcipant in writng to be proprietary informaton for purposes hereof; provided, however, that “Proprietary Informaton” shall not include any informaton that is or becomes generally known to the public other than through actons of the Partcipant in violaton of the restrictve covenants set forth in this Secton 10 or any Similar Covenants.</w:t>
      </w:r>
    </w:p>
    <w:p>
      <w:pPr>
        <w:spacing w:after="0" w:line="122"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10.3.The Partcipant acknowledges that in the course of the Partcipant’s employment with the Company Group the Partcipant will become familiar with Proprietary Informaton and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780415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80" w:name="page81"/>
    <w:bookmarkEnd w:id="80"/>
    <w:p>
      <w:pPr>
        <w:spacing w:after="0" w:line="200" w:lineRule="exact"/>
        <w:rPr>
          <w:sz w:val="20"/>
          <w:szCs w:val="20"/>
          <w:color w:val="auto"/>
        </w:rPr>
      </w:pPr>
    </w:p>
    <w:p>
      <w:pPr>
        <w:spacing w:after="0" w:line="339" w:lineRule="exact"/>
        <w:rPr>
          <w:sz w:val="20"/>
          <w:szCs w:val="20"/>
          <w:color w:val="auto"/>
        </w:rPr>
      </w:pPr>
    </w:p>
    <w:p>
      <w:pPr>
        <w:ind w:right="40" w:firstLine="385"/>
        <w:spacing w:after="0" w:line="237" w:lineRule="auto"/>
        <w:rPr>
          <w:sz w:val="20"/>
          <w:szCs w:val="20"/>
          <w:color w:val="auto"/>
        </w:rPr>
      </w:pPr>
      <w:r>
        <w:rPr>
          <w:rFonts w:ascii="Calibri" w:cs="Calibri" w:eastAsia="Calibri" w:hAnsi="Calibri"/>
          <w:sz w:val="20"/>
          <w:szCs w:val="20"/>
          <w:color w:val="auto"/>
        </w:rPr>
        <w:t>Partcipant’s services will be of special, unique and extraordinary value to the Company Group. Therefore, the Partcipant agrees that, for a period of eighteen (18) months following the Partcipant’s Terminaton of Employment (the “</w:t>
      </w:r>
      <w:r>
        <w:rPr>
          <w:rFonts w:ascii="Calibri" w:cs="Calibri" w:eastAsia="Calibri" w:hAnsi="Calibri"/>
          <w:sz w:val="20"/>
          <w:szCs w:val="20"/>
          <w:b w:val="1"/>
          <w:bCs w:val="1"/>
          <w:i w:val="1"/>
          <w:iCs w:val="1"/>
          <w:color w:val="auto"/>
        </w:rPr>
        <w:t>Restricted Period</w:t>
      </w:r>
      <w:r>
        <w:rPr>
          <w:rFonts w:ascii="Calibri" w:cs="Calibri" w:eastAsia="Calibri" w:hAnsi="Calibri"/>
          <w:sz w:val="20"/>
          <w:szCs w:val="20"/>
          <w:color w:val="auto"/>
        </w:rPr>
        <w:t>”), the Partcipant shall not directly or indirectly own, manage, control, partcipate in, consult with, render services for, or in any manner engage in any business competng with any business of the Company within the United States, Canada and any other geographical area in which the Company then engages in business or engaged in business at any tme during the Partcipant’s employment with the Company (such business, “</w:t>
      </w:r>
      <w:r>
        <w:rPr>
          <w:rFonts w:ascii="Calibri" w:cs="Calibri" w:eastAsia="Calibri" w:hAnsi="Calibri"/>
          <w:sz w:val="20"/>
          <w:szCs w:val="20"/>
          <w:b w:val="1"/>
          <w:bCs w:val="1"/>
          <w:i w:val="1"/>
          <w:iCs w:val="1"/>
          <w:color w:val="auto"/>
        </w:rPr>
        <w:t>Competng Business</w:t>
      </w:r>
      <w:r>
        <w:rPr>
          <w:rFonts w:ascii="Calibri" w:cs="Calibri" w:eastAsia="Calibri" w:hAnsi="Calibri"/>
          <w:sz w:val="20"/>
          <w:szCs w:val="20"/>
          <w:color w:val="auto"/>
        </w:rPr>
        <w:t>”).</w:t>
      </w:r>
    </w:p>
    <w:p>
      <w:pPr>
        <w:spacing w:after="0" w:line="12"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Nothing herein shall prohibit the Partcipant from being a passive owner of not more than two percent (2%) of the outstanding equity of any entty which is publicly traded or a mutual investment fund so long as the Partcipant has no direct or indirect actve partcipaton in the business of such entty.</w:t>
      </w:r>
    </w:p>
    <w:p>
      <w:pPr>
        <w:spacing w:after="0" w:line="117" w:lineRule="exact"/>
        <w:rPr>
          <w:sz w:val="20"/>
          <w:szCs w:val="20"/>
          <w:color w:val="auto"/>
        </w:rPr>
      </w:pPr>
    </w:p>
    <w:p>
      <w:pPr>
        <w:ind w:right="120"/>
        <w:spacing w:after="0" w:line="237" w:lineRule="auto"/>
        <w:rPr>
          <w:sz w:val="20"/>
          <w:szCs w:val="20"/>
          <w:color w:val="auto"/>
        </w:rPr>
      </w:pPr>
      <w:r>
        <w:rPr>
          <w:rFonts w:ascii="Calibri" w:cs="Calibri" w:eastAsia="Calibri" w:hAnsi="Calibri"/>
          <w:sz w:val="20"/>
          <w:szCs w:val="20"/>
          <w:color w:val="auto"/>
        </w:rPr>
        <w:t>10.4.During the Restricted Period, the Partcipant shall not directly or indirectly (a) induce or atempt to induce any employee of the Company Group to terminate such employment, or in any way interfere with the employee relatonship between the Company Group and any such employee; (b) hire any person who is, or, at any tme during the twelve (12)-month period immediately prior to the date of the Partcipant’s Terminaton of Employment, was, an employee of the Company Group; or (c) induce or atempt to induce any person having a business relatonship with the Company Group to cease doing business with the Company Group or interfere materially with the relatonship between any such person and the Company Group.</w:t>
      </w:r>
    </w:p>
    <w:p>
      <w:pPr>
        <w:spacing w:after="0" w:line="120" w:lineRule="exact"/>
        <w:rPr>
          <w:sz w:val="20"/>
          <w:szCs w:val="20"/>
          <w:color w:val="auto"/>
        </w:rPr>
      </w:pPr>
    </w:p>
    <w:p>
      <w:pPr>
        <w:jc w:val="both"/>
        <w:ind w:right="540"/>
        <w:spacing w:after="0" w:line="236" w:lineRule="auto"/>
        <w:rPr>
          <w:sz w:val="20"/>
          <w:szCs w:val="20"/>
          <w:color w:val="auto"/>
        </w:rPr>
      </w:pPr>
      <w:r>
        <w:rPr>
          <w:rFonts w:ascii="Calibri" w:cs="Calibri" w:eastAsia="Calibri" w:hAnsi="Calibri"/>
          <w:sz w:val="20"/>
          <w:szCs w:val="20"/>
          <w:color w:val="auto"/>
        </w:rPr>
        <w:t>10.5.The Partcipant agrees not to disparage the Company Group, any of its products or practces, any of its directors, ofcers, agents, representatves, employees or its parent or subsidiary enttes, either orally or in writng, at any tme; provided that the Partcipant shall not be required to make any untruthful statement or to violate any law.</w:t>
      </w:r>
    </w:p>
    <w:p>
      <w:pPr>
        <w:spacing w:after="0" w:line="117" w:lineRule="exact"/>
        <w:rPr>
          <w:sz w:val="20"/>
          <w:szCs w:val="20"/>
          <w:color w:val="auto"/>
        </w:rPr>
      </w:pPr>
    </w:p>
    <w:p>
      <w:pPr>
        <w:spacing w:after="0"/>
        <w:rPr>
          <w:sz w:val="20"/>
          <w:szCs w:val="20"/>
          <w:color w:val="auto"/>
        </w:rPr>
      </w:pPr>
      <w:r>
        <w:rPr>
          <w:rFonts w:ascii="Calibri" w:cs="Calibri" w:eastAsia="Calibri" w:hAnsi="Calibri"/>
          <w:sz w:val="20"/>
          <w:szCs w:val="20"/>
          <w:color w:val="auto"/>
        </w:rPr>
        <w:t>10.6.The partes hereto agree that the tme, duraton and area for which the covenants set forth in this Secton 10 are to be efectve are reasonable. In the event that any court or arbitrator determines that the tme period or the area, or both of them, are unreasonable and that any of the covenants are to that extent unenforceable, the partes hereto agree that such covenants will remain in full force and efect, frst, for the greatest tme period, and second, in the greatest geographical area that would not render them unenforceable. The partes intend that this Secton 10 will be deemed to be a series of separate covenants, one for each and every county, parish and similar subdivision of each and every state of the United States of America (and each and every subdivision of each other geographical area in which the Company Group then engages in business or engaged in business at any tme during the Partcipant’s employment with the Company Group). The Partcipant agrees that damages are an inadequate remedy for any breach of the covenants in this Secton 10 and that the Company will, whether or not it is pursuing any potental remedies at law, be enttled to equitable relief in the form of preliminary and permanent injunctons without bond or other security upon any actual or threatened breach of this Secton 10. The Partcipant acknowledges and agrees that this Secton 10 (a) is ancillary to a valid employment relatonship with the Company or any other member of the Company Group, (b) is reasonably necessary to protect the Company Group’s legitmate business interest (including, without limitaton, the Company Group’s customer relatonships and Proprietary Informaton), and (c) does not unreasonably restrict the Partcipant’s right to work in his chosen profession. Notwithstanding anything to the contrary, nothing herein is intended to or will prohibit the Partcipant from fling a charge with, reportng possible violatons of law or regulaton to, partcipatng in any investgaton by, cooperatng with, or communicatng directly with, or providing informaton in confdence to, any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916940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81" w:name="page82"/>
    <w:bookmarkEnd w:id="81"/>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Calibri" w:cs="Calibri" w:eastAsia="Calibri" w:hAnsi="Calibri"/>
          <w:sz w:val="20"/>
          <w:szCs w:val="20"/>
          <w:color w:val="auto"/>
        </w:rPr>
        <w:t>entty or making other disclosures that are protected under the whistleblower provisions of applicable law or regulaton.</w:t>
      </w:r>
    </w:p>
    <w:p>
      <w:pPr>
        <w:spacing w:after="0" w:line="14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11. Administraton</w:t>
      </w:r>
    </w:p>
    <w:p>
      <w:pPr>
        <w:spacing w:after="0" w:line="111"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11.1.This Plan is administered by the Commitee. The Commitee, from tme to tme, may also appoint such individuals to act as the Commitee’s representatves as the Commitee considers necessary or desirable for the efectve administraton of the Plan.</w:t>
      </w:r>
    </w:p>
    <w:p>
      <w:pPr>
        <w:spacing w:after="0" w:line="118"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11.2.If the Commitee is required to exercise its powers with respect to an issue that afects only one of the Commitee members, then such member shall recuse themselves and be replaced by the Company’s Chief Executve Ofcer.</w:t>
      </w:r>
    </w:p>
    <w:p>
      <w:pPr>
        <w:spacing w:after="0" w:line="118"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11.3.The Commitee, from tme to tme, may adopt such rules and regulatons as may be necessary or desirable for the proper and efcient administraton of the Plan and as are consistent with the terms of the Plan.</w:t>
      </w:r>
    </w:p>
    <w:p>
      <w:pPr>
        <w:spacing w:after="0" w:line="118"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color w:val="auto"/>
        </w:rPr>
        <w:t>11.4.In administering the Plan, the Commitee (and its appointed representatve) shall have the sole and absolute discretonary authority to construe and interpret the provisions of the Plan (and any related or underlying documents or policies), to interpret applicable law, and make factual determinatons thereunder, including the authority to determine the eligibility of employees and the amount of benefts payable under the Plan. Any interpretaton of this Plan and any decision on any mater within the discreton of the Commitee made by the Commitee in good faith is binding on all persons. Notwithstanding the discreton granted to the Commitee, if its decision is challenged in a legal proceeding, the Commitee’s interpretatons and determinatons will be reviewed under a preponderance of the evidence standard.</w:t>
      </w:r>
    </w:p>
    <w:p>
      <w:pPr>
        <w:spacing w:after="0" w:line="112" w:lineRule="exact"/>
        <w:rPr>
          <w:sz w:val="20"/>
          <w:szCs w:val="20"/>
          <w:color w:val="auto"/>
        </w:rPr>
      </w:pPr>
    </w:p>
    <w:p>
      <w:pPr>
        <w:spacing w:after="0"/>
        <w:rPr>
          <w:sz w:val="20"/>
          <w:szCs w:val="20"/>
          <w:color w:val="auto"/>
        </w:rPr>
      </w:pPr>
      <w:r>
        <w:rPr>
          <w:rFonts w:ascii="Calibri" w:cs="Calibri" w:eastAsia="Calibri" w:hAnsi="Calibri"/>
          <w:sz w:val="20"/>
          <w:szCs w:val="20"/>
          <w:color w:val="auto"/>
        </w:rPr>
        <w:t>11.5.The Commitee keeps records of this Plan and is responsible for the administraton of this Plan.</w:t>
      </w:r>
    </w:p>
    <w:p>
      <w:pPr>
        <w:spacing w:after="0" w:line="117"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11.6.If, due to errors in drafing, any Plan provision does not accurately refect its intended meaning, as demonstrated by consistent interpretatons or other evidence of intent, or as determined by the Commitee in its sole and absolute discreton, the provision shall be considered ambiguous and shall be interpreted by the Commitee in a fashion consistent with its intent, as determined in the sole and absolute discreton of the Commitee.</w:t>
      </w:r>
    </w:p>
    <w:p>
      <w:pPr>
        <w:spacing w:after="0" w:line="120" w:lineRule="exact"/>
        <w:rPr>
          <w:sz w:val="20"/>
          <w:szCs w:val="20"/>
          <w:color w:val="auto"/>
        </w:rPr>
      </w:pPr>
    </w:p>
    <w:p>
      <w:pPr>
        <w:ind w:right="380"/>
        <w:spacing w:after="0" w:line="234" w:lineRule="auto"/>
        <w:rPr>
          <w:sz w:val="20"/>
          <w:szCs w:val="20"/>
          <w:color w:val="auto"/>
        </w:rPr>
      </w:pPr>
      <w:r>
        <w:rPr>
          <w:rFonts w:ascii="Calibri" w:cs="Calibri" w:eastAsia="Calibri" w:hAnsi="Calibri"/>
          <w:sz w:val="20"/>
          <w:szCs w:val="20"/>
          <w:color w:val="auto"/>
        </w:rPr>
        <w:t>11.7.This Secton may not be invoked by any employee, the Partcipant or other person to require this Plan to be interpreted in a manner inconsistent with its interpretaton by the Commitee.</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11.8.The Company will pay all costs of administraton, except as provided with respect to disputes below.</w:t>
      </w:r>
    </w:p>
    <w:p>
      <w:pPr>
        <w:spacing w:after="0" w:line="15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12. Claims for Benefts</w:t>
      </w:r>
    </w:p>
    <w:p>
      <w:pPr>
        <w:spacing w:after="0" w:line="113"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12.1.</w:t>
      </w:r>
      <w:r>
        <w:rPr>
          <w:rFonts w:ascii="Calibri" w:cs="Calibri" w:eastAsia="Calibri" w:hAnsi="Calibri"/>
          <w:sz w:val="20"/>
          <w:szCs w:val="20"/>
          <w:u w:val="single" w:color="auto"/>
          <w:color w:val="auto"/>
        </w:rPr>
        <w:t>ERISA Plan</w:t>
      </w:r>
      <w:r>
        <w:rPr>
          <w:rFonts w:ascii="Calibri" w:cs="Calibri" w:eastAsia="Calibri" w:hAnsi="Calibri"/>
          <w:sz w:val="20"/>
          <w:szCs w:val="20"/>
          <w:color w:val="auto"/>
        </w:rPr>
        <w:t>. This Plan is intended to be (a) an employee welfare plan as defned in Secton 3(1) of ERISA and (b) a “top-hat” plan maintained for the beneft of a select group of management or highly compensated employees of the Company Group.</w:t>
      </w:r>
    </w:p>
    <w:p>
      <w:pPr>
        <w:spacing w:after="0" w:line="118"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12.2.</w:t>
      </w:r>
      <w:r>
        <w:rPr>
          <w:rFonts w:ascii="Calibri" w:cs="Calibri" w:eastAsia="Calibri" w:hAnsi="Calibri"/>
          <w:sz w:val="20"/>
          <w:szCs w:val="20"/>
          <w:u w:val="single" w:color="auto"/>
          <w:color w:val="auto"/>
        </w:rPr>
        <w:t>Applicaton for Benefts</w:t>
      </w:r>
      <w:r>
        <w:rPr>
          <w:rFonts w:ascii="Calibri" w:cs="Calibri" w:eastAsia="Calibri" w:hAnsi="Calibri"/>
          <w:sz w:val="20"/>
          <w:szCs w:val="20"/>
          <w:color w:val="auto"/>
        </w:rPr>
        <w:t>. All applicatons for payments and/or benefts under the Plan (</w:t>
      </w: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Benefts</w:t>
      </w:r>
      <w:r>
        <w:rPr>
          <w:rFonts w:ascii="Calibri" w:cs="Calibri" w:eastAsia="Calibri" w:hAnsi="Calibri"/>
          <w:sz w:val="20"/>
          <w:szCs w:val="20"/>
          <w:i w:val="1"/>
          <w:iCs w:val="1"/>
          <w:color w:val="auto"/>
        </w:rPr>
        <w:t>”</w:t>
      </w:r>
      <w:r>
        <w:rPr>
          <w:rFonts w:ascii="Calibri" w:cs="Calibri" w:eastAsia="Calibri" w:hAnsi="Calibri"/>
          <w:sz w:val="20"/>
          <w:szCs w:val="20"/>
          <w:color w:val="auto"/>
        </w:rPr>
        <w:t>) shall be submited to the Commitee with a copy to the Company’s General Counsel, at the addresses indicated in the “Contacts for Claims and Appeals” secton of this Plan. Applicatons for Benefts must be in writng on forms acceptable to the Commitee and must be signed by the Partcipant, benefciary or other person (the “</w:t>
      </w:r>
      <w:r>
        <w:rPr>
          <w:rFonts w:ascii="Calibri" w:cs="Calibri" w:eastAsia="Calibri" w:hAnsi="Calibri"/>
          <w:sz w:val="20"/>
          <w:szCs w:val="20"/>
          <w:b w:val="1"/>
          <w:bCs w:val="1"/>
          <w:i w:val="1"/>
          <w:iCs w:val="1"/>
          <w:color w:val="auto"/>
        </w:rPr>
        <w:t>Claimant</w:t>
      </w:r>
      <w:r>
        <w:rPr>
          <w:rFonts w:ascii="Calibri" w:cs="Calibri" w:eastAsia="Calibri" w:hAnsi="Calibri"/>
          <w:sz w:val="20"/>
          <w:szCs w:val="20"/>
          <w:color w:val="auto"/>
        </w:rPr>
        <w:t>”). A Claimant may authorize a representatve to act on his or her behalf with respect to any claim under the Plan. Claims for Benefts under the Plan shall be administered in accordance with Secton 503 of ERISA and the Department of Labor regulatons and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781685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440" w:right="499" w:bottom="1440" w:gutter="0" w:footer="0" w:header="0"/>
        </w:sectPr>
      </w:pPr>
    </w:p>
    <w:bookmarkStart w:id="82" w:name="page83"/>
    <w:bookmarkEnd w:id="82"/>
    <w:p>
      <w:pPr>
        <w:spacing w:after="0" w:line="200" w:lineRule="exact"/>
        <w:rPr>
          <w:sz w:val="20"/>
          <w:szCs w:val="20"/>
          <w:color w:val="auto"/>
        </w:rPr>
      </w:pPr>
    </w:p>
    <w:p>
      <w:pPr>
        <w:spacing w:after="0" w:line="339" w:lineRule="exact"/>
        <w:rPr>
          <w:sz w:val="20"/>
          <w:szCs w:val="20"/>
          <w:color w:val="auto"/>
        </w:rPr>
      </w:pPr>
    </w:p>
    <w:p>
      <w:pPr>
        <w:ind w:right="40" w:firstLine="385"/>
        <w:spacing w:after="0" w:line="236" w:lineRule="auto"/>
        <w:rPr>
          <w:sz w:val="20"/>
          <w:szCs w:val="20"/>
          <w:color w:val="auto"/>
        </w:rPr>
      </w:pPr>
      <w:r>
        <w:rPr>
          <w:rFonts w:ascii="Calibri" w:cs="Calibri" w:eastAsia="Calibri" w:hAnsi="Calibri"/>
          <w:sz w:val="20"/>
          <w:szCs w:val="20"/>
          <w:color w:val="auto"/>
        </w:rPr>
        <w:t>thereunder, subject to the temporary COVID-19 extension of deadlines described below. The Commitee reserves the right to require the Claimant to furnish such other proof of the Claimant’s expenses, including without limitaton, receipts, canceled checks, bills, and invoices as may be required by the Commitee.</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12.3.</w:t>
      </w:r>
      <w:r>
        <w:rPr>
          <w:rFonts w:ascii="Calibri" w:cs="Calibri" w:eastAsia="Calibri" w:hAnsi="Calibri"/>
          <w:sz w:val="20"/>
          <w:szCs w:val="20"/>
          <w:u w:val="single" w:color="auto"/>
          <w:color w:val="auto"/>
        </w:rPr>
        <w:t>Appeal of Denial of Claim</w:t>
      </w:r>
      <w:r>
        <w:rPr>
          <w:rFonts w:ascii="Calibri" w:cs="Calibri" w:eastAsia="Calibri" w:hAnsi="Calibri"/>
          <w:sz w:val="20"/>
          <w:szCs w:val="20"/>
          <w:color w:val="auto"/>
        </w:rPr>
        <w:t>.</w:t>
      </w:r>
    </w:p>
    <w:p>
      <w:pPr>
        <w:spacing w:after="0" w:line="171" w:lineRule="exact"/>
        <w:rPr>
          <w:sz w:val="20"/>
          <w:szCs w:val="20"/>
          <w:color w:val="auto"/>
        </w:rPr>
      </w:pPr>
    </w:p>
    <w:p>
      <w:pPr>
        <w:ind w:right="100" w:firstLine="8"/>
        <w:spacing w:after="0" w:line="236" w:lineRule="auto"/>
        <w:tabs>
          <w:tab w:leader="none" w:pos="384"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If a Claimant’s claim for Benefts is denied, the Commitee shall provide notce to the Claimant in writng of the denial within ninety (90) days afer its submission. The notce shall be writen in a manner calculated to be understood by the Claimant and shall include:</w:t>
      </w:r>
    </w:p>
    <w:p>
      <w:pPr>
        <w:spacing w:after="0" w:line="134" w:lineRule="exact"/>
        <w:rPr>
          <w:rFonts w:ascii="Calibri" w:cs="Calibri" w:eastAsia="Calibri" w:hAnsi="Calibri"/>
          <w:sz w:val="20"/>
          <w:szCs w:val="20"/>
          <w:color w:val="auto"/>
        </w:rPr>
      </w:pPr>
    </w:p>
    <w:p>
      <w:pPr>
        <w:ind w:left="1080" w:hanging="308"/>
        <w:spacing w:after="0"/>
        <w:tabs>
          <w:tab w:leader="none" w:pos="1080" w:val="left"/>
        </w:tabs>
        <w:numPr>
          <w:ilvl w:val="1"/>
          <w:numId w:val="22"/>
        </w:numPr>
        <w:rPr>
          <w:rFonts w:ascii="Calibri" w:cs="Calibri" w:eastAsia="Calibri" w:hAnsi="Calibri"/>
          <w:sz w:val="20"/>
          <w:szCs w:val="20"/>
          <w:color w:val="auto"/>
        </w:rPr>
      </w:pPr>
      <w:r>
        <w:rPr>
          <w:rFonts w:ascii="Calibri" w:cs="Calibri" w:eastAsia="Calibri" w:hAnsi="Calibri"/>
          <w:sz w:val="20"/>
          <w:szCs w:val="20"/>
          <w:color w:val="auto"/>
        </w:rPr>
        <w:t>The specifc reason or reasons for the denial;</w:t>
      </w:r>
    </w:p>
    <w:p>
      <w:pPr>
        <w:spacing w:after="0" w:line="160" w:lineRule="exact"/>
        <w:rPr>
          <w:rFonts w:ascii="Calibri" w:cs="Calibri" w:eastAsia="Calibri" w:hAnsi="Calibri"/>
          <w:sz w:val="20"/>
          <w:szCs w:val="20"/>
          <w:color w:val="auto"/>
        </w:rPr>
      </w:pPr>
    </w:p>
    <w:p>
      <w:pPr>
        <w:ind w:left="1080" w:hanging="308"/>
        <w:spacing w:after="0"/>
        <w:tabs>
          <w:tab w:leader="none" w:pos="1080" w:val="left"/>
        </w:tabs>
        <w:numPr>
          <w:ilvl w:val="1"/>
          <w:numId w:val="22"/>
        </w:numPr>
        <w:rPr>
          <w:rFonts w:ascii="Calibri" w:cs="Calibri" w:eastAsia="Calibri" w:hAnsi="Calibri"/>
          <w:sz w:val="20"/>
          <w:szCs w:val="20"/>
          <w:color w:val="auto"/>
        </w:rPr>
      </w:pPr>
      <w:r>
        <w:rPr>
          <w:rFonts w:ascii="Calibri" w:cs="Calibri" w:eastAsia="Calibri" w:hAnsi="Calibri"/>
          <w:sz w:val="20"/>
          <w:szCs w:val="20"/>
          <w:color w:val="auto"/>
        </w:rPr>
        <w:t>Specifc references to the Plan provisions on which the denial is based;</w:t>
      </w:r>
    </w:p>
    <w:p>
      <w:pPr>
        <w:spacing w:after="0" w:line="171" w:lineRule="exact"/>
        <w:rPr>
          <w:sz w:val="20"/>
          <w:szCs w:val="20"/>
          <w:color w:val="auto"/>
        </w:rPr>
      </w:pPr>
    </w:p>
    <w:p>
      <w:pPr>
        <w:ind w:left="760" w:right="880"/>
        <w:spacing w:after="0" w:line="234" w:lineRule="auto"/>
        <w:rPr>
          <w:sz w:val="20"/>
          <w:szCs w:val="20"/>
          <w:color w:val="auto"/>
        </w:rPr>
      </w:pPr>
      <w:r>
        <w:rPr>
          <w:rFonts w:ascii="Calibri" w:cs="Calibri" w:eastAsia="Calibri" w:hAnsi="Calibri"/>
          <w:sz w:val="20"/>
          <w:szCs w:val="20"/>
          <w:color w:val="auto"/>
        </w:rPr>
        <w:t>(3)A descripton of any additonal material or informaton necessary for the Claimant to perfect the claim and an explanaton of why such material or informaton is necessary; and</w:t>
      </w:r>
    </w:p>
    <w:p>
      <w:pPr>
        <w:spacing w:after="0" w:line="212" w:lineRule="exact"/>
        <w:rPr>
          <w:sz w:val="20"/>
          <w:szCs w:val="20"/>
          <w:color w:val="auto"/>
        </w:rPr>
      </w:pPr>
    </w:p>
    <w:p>
      <w:pPr>
        <w:ind w:left="760" w:right="220"/>
        <w:spacing w:after="0" w:line="234" w:lineRule="auto"/>
        <w:rPr>
          <w:sz w:val="20"/>
          <w:szCs w:val="20"/>
          <w:color w:val="auto"/>
        </w:rPr>
      </w:pPr>
      <w:r>
        <w:rPr>
          <w:rFonts w:ascii="Calibri" w:cs="Calibri" w:eastAsia="Calibri" w:hAnsi="Calibri"/>
          <w:sz w:val="20"/>
          <w:szCs w:val="20"/>
          <w:color w:val="auto"/>
        </w:rPr>
        <w:t>(4)An explanaton of the Plan’s claims review procedures and a statement of claimant’s right to bring a civil acton under ERISA Secton 502(a), subject to the Plan’s arbitraton provisions, following a fnal adverse beneft determinaton.</w:t>
      </w:r>
    </w:p>
    <w:p>
      <w:pPr>
        <w:spacing w:after="0" w:line="158" w:lineRule="exact"/>
        <w:rPr>
          <w:sz w:val="20"/>
          <w:szCs w:val="20"/>
          <w:color w:val="auto"/>
        </w:rPr>
      </w:pPr>
    </w:p>
    <w:p>
      <w:pPr>
        <w:ind w:right="260" w:firstLine="8"/>
        <w:spacing w:after="0" w:line="236" w:lineRule="auto"/>
        <w:tabs>
          <w:tab w:leader="none" w:pos="381"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If special circumstances require an extension of tme for processing the inital claim, a writen notce of the extension, the reason therefor, and the date by which the Commitee expects to render a decision shall be furnished to the Claimant before the end of the inital ninety (90) day period. In no event shall such extension exceed ninety (90) days.</w:t>
      </w:r>
    </w:p>
    <w:p>
      <w:pPr>
        <w:spacing w:after="0" w:line="143" w:lineRule="exact"/>
        <w:rPr>
          <w:rFonts w:ascii="Calibri" w:cs="Calibri" w:eastAsia="Calibri" w:hAnsi="Calibri"/>
          <w:sz w:val="20"/>
          <w:szCs w:val="20"/>
          <w:color w:val="auto"/>
        </w:rPr>
      </w:pPr>
    </w:p>
    <w:p>
      <w:pPr>
        <w:ind w:right="140" w:firstLine="8"/>
        <w:spacing w:after="0" w:line="236" w:lineRule="auto"/>
        <w:tabs>
          <w:tab w:leader="none" w:pos="376"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If a claim for Benefts is denied, the Claimant, at the Claimant’s sole expense, may submit a writen appeal of the denial to the Commitee within sixty (60) days of the receipt of writen notce of the denial, subject to the temporary COVID-19 extension of deadlines described below, at the address indicated in the “Contacts for Claims and Appeals ” secton of the Plan. In pursuing such appeal the Claimant:</w:t>
      </w:r>
    </w:p>
    <w:p>
      <w:pPr>
        <w:spacing w:after="0" w:line="160" w:lineRule="exact"/>
        <w:rPr>
          <w:sz w:val="20"/>
          <w:szCs w:val="20"/>
          <w:color w:val="auto"/>
        </w:rPr>
      </w:pPr>
    </w:p>
    <w:p>
      <w:pPr>
        <w:ind w:left="760" w:right="500"/>
        <w:spacing w:after="0" w:line="234" w:lineRule="auto"/>
        <w:rPr>
          <w:sz w:val="20"/>
          <w:szCs w:val="20"/>
          <w:color w:val="auto"/>
        </w:rPr>
      </w:pPr>
      <w:r>
        <w:rPr>
          <w:rFonts w:ascii="Calibri" w:cs="Calibri" w:eastAsia="Calibri" w:hAnsi="Calibri"/>
          <w:sz w:val="20"/>
          <w:szCs w:val="20"/>
          <w:color w:val="auto"/>
        </w:rPr>
        <w:t>(1)will be provided, upon request and without charge, reasonable access to and copies of all documents, records and other informaton relevant to the Claimant’s claim for benefts;</w:t>
      </w:r>
    </w:p>
    <w:p>
      <w:pPr>
        <w:spacing w:after="0" w:line="135"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(2)may submit writen comments, documents, records and other informaton relatng to the claim; and</w:t>
      </w:r>
    </w:p>
    <w:p>
      <w:pPr>
        <w:spacing w:after="0" w:line="157" w:lineRule="exact"/>
        <w:rPr>
          <w:sz w:val="20"/>
          <w:szCs w:val="20"/>
          <w:color w:val="auto"/>
        </w:rPr>
      </w:pPr>
    </w:p>
    <w:p>
      <w:pPr>
        <w:ind w:left="760" w:right="380"/>
        <w:spacing w:after="0" w:line="236" w:lineRule="auto"/>
        <w:rPr>
          <w:sz w:val="20"/>
          <w:szCs w:val="20"/>
          <w:color w:val="auto"/>
        </w:rPr>
      </w:pPr>
      <w:r>
        <w:rPr>
          <w:rFonts w:ascii="Calibri" w:cs="Calibri" w:eastAsia="Calibri" w:hAnsi="Calibri"/>
          <w:sz w:val="20"/>
          <w:szCs w:val="20"/>
          <w:color w:val="auto"/>
        </w:rPr>
        <w:t>(3)will receive a review that takes into account all comments, documents, records and other informaton submited by the Claimant relatng to the appeal, without regard to whether such informaton was submited or considered in the inital beneft determinaton.</w:t>
      </w:r>
    </w:p>
    <w:p>
      <w:pPr>
        <w:spacing w:after="0" w:line="157" w:lineRule="exact"/>
        <w:rPr>
          <w:sz w:val="20"/>
          <w:szCs w:val="20"/>
          <w:color w:val="auto"/>
        </w:rPr>
      </w:pPr>
    </w:p>
    <w:p>
      <w:pPr>
        <w:ind w:firstLine="8"/>
        <w:spacing w:after="0" w:line="237" w:lineRule="auto"/>
        <w:tabs>
          <w:tab w:leader="none" w:pos="382" w:val="left"/>
        </w:tabs>
        <w:numPr>
          <w:ilvl w:val="0"/>
          <w:numId w:val="24"/>
        </w:numPr>
        <w:rPr>
          <w:rFonts w:ascii="Calibri" w:cs="Calibri" w:eastAsia="Calibri" w:hAnsi="Calibri"/>
          <w:sz w:val="20"/>
          <w:szCs w:val="20"/>
          <w:color w:val="auto"/>
        </w:rPr>
      </w:pPr>
      <w:r>
        <w:rPr>
          <w:rFonts w:ascii="Calibri" w:cs="Calibri" w:eastAsia="Calibri" w:hAnsi="Calibri"/>
          <w:sz w:val="20"/>
          <w:szCs w:val="20"/>
          <w:color w:val="auto"/>
        </w:rPr>
        <w:t>The Commitee will conduct a full and fair review of the claim and the inital claim denial. The decision on review shall be made within sixty (60) days of receipt of the request for review, unless special circumstances require an extension of tme for processing, in which case a decision shall be rendered as soon as possible, but not later than one hundred twenty (120) days afer receipt of the request for review. If such an extension of tme is required, writen notce of the extension shall be furnished to the Claimant before the end of the original sixty (60) day period and shall indicate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780415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83" w:name="page84"/>
    <w:bookmarkEnd w:id="83"/>
    <w:p>
      <w:pPr>
        <w:spacing w:after="0" w:line="200" w:lineRule="exact"/>
        <w:rPr>
          <w:sz w:val="20"/>
          <w:szCs w:val="20"/>
          <w:color w:val="auto"/>
        </w:rPr>
      </w:pPr>
    </w:p>
    <w:p>
      <w:pPr>
        <w:spacing w:after="0" w:line="366" w:lineRule="exact"/>
        <w:rPr>
          <w:sz w:val="20"/>
          <w:szCs w:val="20"/>
          <w:color w:val="auto"/>
        </w:rPr>
      </w:pPr>
    </w:p>
    <w:p>
      <w:pPr>
        <w:ind w:right="60" w:firstLine="382"/>
        <w:spacing w:after="0" w:line="236" w:lineRule="auto"/>
        <w:rPr>
          <w:sz w:val="20"/>
          <w:szCs w:val="20"/>
          <w:color w:val="auto"/>
        </w:rPr>
      </w:pPr>
      <w:r>
        <w:rPr>
          <w:rFonts w:ascii="Calibri" w:cs="Calibri" w:eastAsia="Calibri" w:hAnsi="Calibri"/>
          <w:sz w:val="20"/>
          <w:szCs w:val="20"/>
          <w:color w:val="auto"/>
        </w:rPr>
        <w:t>special circumstances requiring such extension of tme and the date by which the Commitee expects to render the decision on review. The decision on review shall be made in writng, shall be writen in a manner calculated to be understood by the Claimant, and, if the decision on review is a denial of the appealed claim for Benefts, shall include:</w:t>
      </w:r>
    </w:p>
    <w:p>
      <w:pPr>
        <w:spacing w:after="0" w:line="148" w:lineRule="exact"/>
        <w:rPr>
          <w:sz w:val="20"/>
          <w:szCs w:val="20"/>
          <w:color w:val="auto"/>
        </w:rPr>
      </w:pPr>
    </w:p>
    <w:p>
      <w:pPr>
        <w:ind w:left="1080" w:hanging="308"/>
        <w:spacing w:after="0"/>
        <w:tabs>
          <w:tab w:leader="none" w:pos="108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The specifc reason or reasons for the denial;</w:t>
      </w:r>
    </w:p>
    <w:p>
      <w:pPr>
        <w:spacing w:after="0" w:line="160" w:lineRule="exact"/>
        <w:rPr>
          <w:rFonts w:ascii="Calibri" w:cs="Calibri" w:eastAsia="Calibri" w:hAnsi="Calibri"/>
          <w:sz w:val="20"/>
          <w:szCs w:val="20"/>
          <w:color w:val="auto"/>
        </w:rPr>
      </w:pPr>
    </w:p>
    <w:p>
      <w:pPr>
        <w:ind w:left="1080" w:hanging="308"/>
        <w:spacing w:after="0"/>
        <w:tabs>
          <w:tab w:leader="none" w:pos="1080" w:val="left"/>
        </w:tabs>
        <w:numPr>
          <w:ilvl w:val="0"/>
          <w:numId w:val="25"/>
        </w:numPr>
        <w:rPr>
          <w:rFonts w:ascii="Calibri" w:cs="Calibri" w:eastAsia="Calibri" w:hAnsi="Calibri"/>
          <w:sz w:val="20"/>
          <w:szCs w:val="20"/>
          <w:color w:val="auto"/>
        </w:rPr>
      </w:pPr>
      <w:r>
        <w:rPr>
          <w:rFonts w:ascii="Calibri" w:cs="Calibri" w:eastAsia="Calibri" w:hAnsi="Calibri"/>
          <w:sz w:val="20"/>
          <w:szCs w:val="20"/>
          <w:color w:val="auto"/>
        </w:rPr>
        <w:t>Specifc references to the Plan provisions on which the denial is based;</w:t>
      </w:r>
    </w:p>
    <w:p>
      <w:pPr>
        <w:spacing w:after="0" w:line="171" w:lineRule="exact"/>
        <w:rPr>
          <w:sz w:val="20"/>
          <w:szCs w:val="20"/>
          <w:color w:val="auto"/>
        </w:rPr>
      </w:pPr>
    </w:p>
    <w:p>
      <w:pPr>
        <w:ind w:left="760" w:right="620"/>
        <w:spacing w:after="0" w:line="234" w:lineRule="auto"/>
        <w:rPr>
          <w:sz w:val="20"/>
          <w:szCs w:val="20"/>
          <w:color w:val="auto"/>
        </w:rPr>
      </w:pPr>
      <w:r>
        <w:rPr>
          <w:rFonts w:ascii="Calibri" w:cs="Calibri" w:eastAsia="Calibri" w:hAnsi="Calibri"/>
          <w:sz w:val="20"/>
          <w:szCs w:val="20"/>
          <w:color w:val="auto"/>
        </w:rPr>
        <w:t>(3)A statement that the Claimant is enttled to receive, upon request and without charge, reasonable access to, and copies of, all documents, records and other informaton relevant to the claim for Benefts; and</w:t>
      </w:r>
    </w:p>
    <w:p>
      <w:pPr>
        <w:spacing w:after="0" w:line="145" w:lineRule="exact"/>
        <w:rPr>
          <w:sz w:val="20"/>
          <w:szCs w:val="20"/>
          <w:color w:val="auto"/>
        </w:rPr>
      </w:pPr>
    </w:p>
    <w:p>
      <w:pPr>
        <w:ind w:left="760" w:right="640"/>
        <w:spacing w:after="0" w:line="234" w:lineRule="auto"/>
        <w:rPr>
          <w:sz w:val="20"/>
          <w:szCs w:val="20"/>
          <w:color w:val="auto"/>
        </w:rPr>
      </w:pPr>
      <w:r>
        <w:rPr>
          <w:rFonts w:ascii="Calibri" w:cs="Calibri" w:eastAsia="Calibri" w:hAnsi="Calibri"/>
          <w:sz w:val="20"/>
          <w:szCs w:val="20"/>
          <w:color w:val="auto"/>
        </w:rPr>
        <w:t>(4)A statement of claimant’s right to bring a civil acton under ERISA Secton 502(a), subject to the Plan’s arbitraton provisions.</w:t>
      </w:r>
    </w:p>
    <w:p>
      <w:pPr>
        <w:spacing w:after="0" w:line="212"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 xml:space="preserve">12.4 </w:t>
      </w:r>
      <w:r>
        <w:rPr>
          <w:rFonts w:ascii="Calibri" w:cs="Calibri" w:eastAsia="Calibri" w:hAnsi="Calibri"/>
          <w:sz w:val="20"/>
          <w:szCs w:val="20"/>
          <w:u w:val="single" w:color="auto"/>
          <w:color w:val="auto"/>
        </w:rPr>
        <w:t>Temporary COVID-19 Extension of Deadlines</w:t>
      </w:r>
      <w:r>
        <w:rPr>
          <w:rFonts w:ascii="Calibri" w:cs="Calibri" w:eastAsia="Calibri" w:hAnsi="Calibri"/>
          <w:sz w:val="20"/>
          <w:szCs w:val="20"/>
          <w:color w:val="auto"/>
        </w:rPr>
        <w:t>. The Employee Benefts Security Administraton, Department of Labor, Internal Revenue Service and Department of the Treasury (the “</w:t>
      </w:r>
      <w:r>
        <w:rPr>
          <w:rFonts w:ascii="Calibri" w:cs="Calibri" w:eastAsia="Calibri" w:hAnsi="Calibri"/>
          <w:sz w:val="20"/>
          <w:szCs w:val="20"/>
          <w:b w:val="1"/>
          <w:bCs w:val="1"/>
          <w:i w:val="1"/>
          <w:iCs w:val="1"/>
          <w:color w:val="auto"/>
        </w:rPr>
        <w:t>Agencies</w:t>
      </w:r>
      <w:r>
        <w:rPr>
          <w:rFonts w:ascii="Calibri" w:cs="Calibri" w:eastAsia="Calibri" w:hAnsi="Calibri"/>
          <w:sz w:val="20"/>
          <w:szCs w:val="20"/>
          <w:color w:val="auto"/>
        </w:rPr>
        <w:t>”) issued COVID-19-related relief to temporarily extend the deadlines to fle ERISA claims and appeals. Under this relief, the period from March 1, 2020 untl sixty (60) days afer the announced end of the natonal emergency (or such other date announced by the Agencies) will be disregarded in determining the deadlines for a Claimant to fle claims and appeals under this Plan, provided, however, that no more than one year will be disregarded in determining a given deadline.</w:t>
      </w:r>
    </w:p>
    <w:p>
      <w:pPr>
        <w:spacing w:after="0" w:line="147"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 xml:space="preserve">12.5 </w:t>
      </w:r>
      <w:r>
        <w:rPr>
          <w:rFonts w:ascii="Calibri" w:cs="Calibri" w:eastAsia="Calibri" w:hAnsi="Calibri"/>
          <w:sz w:val="20"/>
          <w:szCs w:val="20"/>
          <w:u w:val="single" w:color="auto"/>
          <w:color w:val="auto"/>
        </w:rPr>
        <w:t>Disputes Subject to Arbitraton</w:t>
      </w:r>
      <w:r>
        <w:rPr>
          <w:rFonts w:ascii="Calibri" w:cs="Calibri" w:eastAsia="Calibri" w:hAnsi="Calibri"/>
          <w:sz w:val="20"/>
          <w:szCs w:val="20"/>
          <w:color w:val="auto"/>
        </w:rPr>
        <w:t>. Any claim, dispute or controversy arising out of this Plan, the interpretaton, validity or enforceability of this Plan or the alleged breach thereof shall be submited by the partes to binding arbitraton by the American Arbitraton Associaton (“</w:t>
      </w:r>
      <w:r>
        <w:rPr>
          <w:rFonts w:ascii="Calibri" w:cs="Calibri" w:eastAsia="Calibri" w:hAnsi="Calibri"/>
          <w:sz w:val="20"/>
          <w:szCs w:val="20"/>
          <w:b w:val="1"/>
          <w:bCs w:val="1"/>
          <w:i w:val="1"/>
          <w:iCs w:val="1"/>
          <w:color w:val="auto"/>
        </w:rPr>
        <w:t>AAA</w:t>
      </w:r>
      <w:r>
        <w:rPr>
          <w:rFonts w:ascii="Calibri" w:cs="Calibri" w:eastAsia="Calibri" w:hAnsi="Calibri"/>
          <w:sz w:val="20"/>
          <w:szCs w:val="20"/>
          <w:color w:val="auto"/>
        </w:rPr>
        <w:t>”) or as otherwise required by ERISA; provided, however, that (a) the arbitrator shall have no authority to make any ruling or judgment that would confer any rights with respect to trade secrets, confdental and proprietary informaton or other intellectual property; and (b) this arbitraton provision shall not preclude the partes from seeking legal and equitable relief from any court having jurisdicton with respect to any disputes or claims relatng to or arising out of the misuse or misappropriaton of intellectual property. Such arbitraton shall be conducted in accordance with the then-existng AAA Employment Arbitraton Rules and Mediaton Procedures. The rules can be found at htps://www.adr.org/employment, or a copy will be provided upon request. Judgment may be entered on the award of the arbitrator in any court having jurisdicton.</w:t>
      </w:r>
    </w:p>
    <w:p>
      <w:pPr>
        <w:spacing w:after="0" w:line="166" w:lineRule="exact"/>
        <w:rPr>
          <w:sz w:val="20"/>
          <w:szCs w:val="20"/>
          <w:color w:val="auto"/>
        </w:rPr>
      </w:pPr>
    </w:p>
    <w:p>
      <w:pPr>
        <w:ind w:right="60" w:firstLine="8"/>
        <w:spacing w:after="0" w:line="234" w:lineRule="auto"/>
        <w:tabs>
          <w:tab w:leader="none" w:pos="382" w:val="left"/>
        </w:tabs>
        <w:numPr>
          <w:ilvl w:val="0"/>
          <w:numId w:val="26"/>
        </w:numPr>
        <w:rPr>
          <w:rFonts w:ascii="Calibri" w:cs="Calibri" w:eastAsia="Calibri" w:hAnsi="Calibri"/>
          <w:sz w:val="20"/>
          <w:szCs w:val="20"/>
          <w:color w:val="auto"/>
        </w:rPr>
      </w:pPr>
      <w:r>
        <w:rPr>
          <w:rFonts w:ascii="Calibri" w:cs="Calibri" w:eastAsia="Calibri" w:hAnsi="Calibri"/>
          <w:sz w:val="20"/>
          <w:szCs w:val="20"/>
          <w:i w:val="1"/>
          <w:iCs w:val="1"/>
          <w:color w:val="auto"/>
        </w:rPr>
        <w:t>Site of Arbitraton</w:t>
      </w:r>
      <w:r>
        <w:rPr>
          <w:rFonts w:ascii="Calibri" w:cs="Calibri" w:eastAsia="Calibri" w:hAnsi="Calibri"/>
          <w:sz w:val="20"/>
          <w:szCs w:val="20"/>
          <w:color w:val="auto"/>
        </w:rPr>
        <w:t>. The site of the arbitraton proceeding shall be in Tucson, Arizona or any other site mutually agreed to by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Company and the Partcipant.</w:t>
      </w:r>
    </w:p>
    <w:p>
      <w:pPr>
        <w:spacing w:after="0" w:line="158" w:lineRule="exact"/>
        <w:rPr>
          <w:rFonts w:ascii="Calibri" w:cs="Calibri" w:eastAsia="Calibri" w:hAnsi="Calibri"/>
          <w:sz w:val="20"/>
          <w:szCs w:val="20"/>
          <w:color w:val="auto"/>
        </w:rPr>
      </w:pPr>
    </w:p>
    <w:p>
      <w:pPr>
        <w:jc w:val="both"/>
        <w:ind w:right="260" w:firstLine="8"/>
        <w:spacing w:after="0" w:line="236" w:lineRule="auto"/>
        <w:tabs>
          <w:tab w:leader="none" w:pos="379" w:val="left"/>
        </w:tabs>
        <w:numPr>
          <w:ilvl w:val="0"/>
          <w:numId w:val="26"/>
        </w:numPr>
        <w:rPr>
          <w:rFonts w:ascii="Calibri" w:cs="Calibri" w:eastAsia="Calibri" w:hAnsi="Calibri"/>
          <w:sz w:val="20"/>
          <w:szCs w:val="20"/>
          <w:color w:val="auto"/>
        </w:rPr>
      </w:pPr>
      <w:r>
        <w:rPr>
          <w:rFonts w:ascii="Calibri" w:cs="Calibri" w:eastAsia="Calibri" w:hAnsi="Calibri"/>
          <w:sz w:val="20"/>
          <w:szCs w:val="20"/>
          <w:i w:val="1"/>
          <w:iCs w:val="1"/>
          <w:color w:val="auto"/>
        </w:rPr>
        <w:t>Costs and Expenses Borne by Company</w:t>
      </w:r>
      <w:r>
        <w:rPr>
          <w:rFonts w:ascii="Calibri" w:cs="Calibri" w:eastAsia="Calibri" w:hAnsi="Calibri"/>
          <w:sz w:val="20"/>
          <w:szCs w:val="20"/>
          <w:color w:val="auto"/>
        </w:rPr>
        <w:t>. All costs and expenses of arbitraton shall be paid by the Company. Notwithstanding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foregoing, if the Partcipant initates the arbitraton, and the arbitrator fnds that the Partcipant’s claims were totally without merit or frivolous, then the Partcipant shall be responsible for the Partcipant’s own atorneys’ fees and costs.</w:t>
      </w:r>
    </w:p>
    <w:p>
      <w:pPr>
        <w:spacing w:after="0" w:line="117"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12.6.If any judicial proceeding is undertaken to appeal or arbitrate the denial of a claim or bring any other acton under ERISA other than a breach of fduciary duty claim, the evidence presented may be strictly limited to the evidence tmely presented to the Commitee. In additon, any such judicial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779780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1440" w:right="579" w:bottom="1440" w:gutter="0" w:footer="0" w:header="0"/>
        </w:sectPr>
      </w:pPr>
    </w:p>
    <w:bookmarkStart w:id="84" w:name="page85"/>
    <w:bookmarkEnd w:id="84"/>
    <w:p>
      <w:pPr>
        <w:spacing w:after="0" w:line="200" w:lineRule="exact"/>
        <w:rPr>
          <w:sz w:val="20"/>
          <w:szCs w:val="20"/>
          <w:color w:val="auto"/>
        </w:rPr>
      </w:pPr>
    </w:p>
    <w:p>
      <w:pPr>
        <w:spacing w:after="0" w:line="339" w:lineRule="exact"/>
        <w:rPr>
          <w:sz w:val="20"/>
          <w:szCs w:val="20"/>
          <w:color w:val="auto"/>
        </w:rPr>
      </w:pPr>
    </w:p>
    <w:p>
      <w:pPr>
        <w:ind w:right="200" w:firstLine="385"/>
        <w:spacing w:after="0" w:line="236" w:lineRule="auto"/>
        <w:rPr>
          <w:sz w:val="20"/>
          <w:szCs w:val="20"/>
          <w:color w:val="auto"/>
        </w:rPr>
      </w:pPr>
      <w:r>
        <w:rPr>
          <w:rFonts w:ascii="Calibri" w:cs="Calibri" w:eastAsia="Calibri" w:hAnsi="Calibri"/>
          <w:sz w:val="20"/>
          <w:szCs w:val="20"/>
          <w:color w:val="auto"/>
        </w:rPr>
        <w:t>proceeding must be fled no later than two (2) years from the date of the fnal adverse beneft determinaton of an applicant’s appeal of the denial of his or her claim for benefts. Notwithstanding the foregoing, if the applicable, analogous state statute of limitatons has run or will run before the aforementoned two (2)-year period, the state’s statute of limitatons shall be controlling.</w:t>
      </w:r>
    </w:p>
    <w:p>
      <w:pPr>
        <w:spacing w:after="0" w:line="14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13. No Contract of Employment</w:t>
      </w:r>
    </w:p>
    <w:p>
      <w:pPr>
        <w:spacing w:after="0" w:line="113"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Neither the establishment of the Plan, nor any amendment thereto, nor the payment of any benefts shall be construed as giving any person the right to be retained by the Company, a Successor or any other member of the Company Group. Except as otherwise established in an employment agreement between the Company Group and a Partcipant, the employment relatonship between the Partcipant and the Company is an “at-will” relatonship. Accordingly, either the Partcipant or the Company may terminate the relatonship at any tme, with or without Cause, and with or without notce except as otherwise provided by Secton 15. In additon, nothing in this Plan shall in any manner obligate any Successor or other member of the Company Group to ofer employment to any Partcipant or to contnue the employment of any Partcipant whom it does hire for any specifc duraton of tme.</w:t>
      </w:r>
    </w:p>
    <w:p>
      <w:pPr>
        <w:spacing w:after="0" w:line="16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14. Successors and Assigns</w:t>
      </w:r>
    </w:p>
    <w:p>
      <w:pPr>
        <w:spacing w:after="0" w:line="111" w:lineRule="exact"/>
        <w:rPr>
          <w:sz w:val="20"/>
          <w:szCs w:val="20"/>
          <w:color w:val="auto"/>
        </w:rPr>
      </w:pPr>
    </w:p>
    <w:p>
      <w:pPr>
        <w:ind w:right="100"/>
        <w:spacing w:after="0" w:line="237" w:lineRule="auto"/>
        <w:rPr>
          <w:sz w:val="20"/>
          <w:szCs w:val="20"/>
          <w:color w:val="auto"/>
        </w:rPr>
      </w:pPr>
      <w:r>
        <w:rPr>
          <w:rFonts w:ascii="Calibri" w:cs="Calibri" w:eastAsia="Calibri" w:hAnsi="Calibri"/>
          <w:sz w:val="20"/>
          <w:szCs w:val="20"/>
          <w:color w:val="auto"/>
        </w:rPr>
        <w:t xml:space="preserve">14.1 </w:t>
      </w:r>
      <w:r>
        <w:rPr>
          <w:rFonts w:ascii="Calibri" w:cs="Calibri" w:eastAsia="Calibri" w:hAnsi="Calibri"/>
          <w:sz w:val="20"/>
          <w:szCs w:val="20"/>
          <w:u w:val="single" w:color="auto"/>
          <w:color w:val="auto"/>
        </w:rPr>
        <w:t>Successors of the Company</w:t>
      </w:r>
      <w:r>
        <w:rPr>
          <w:rFonts w:ascii="Calibri" w:cs="Calibri" w:eastAsia="Calibri" w:hAnsi="Calibri"/>
          <w:sz w:val="20"/>
          <w:szCs w:val="20"/>
          <w:color w:val="auto"/>
        </w:rPr>
        <w:t>. The Company shall require any Successor, expressly, absolutely and unconditonally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enttle the Partcipant to resign for Good Reason and to receive the benefts provided under this Plan in the event of a qualifying Terminaton of Employment during the Protecton Period.</w:t>
      </w:r>
    </w:p>
    <w:p>
      <w:pPr>
        <w:spacing w:after="0" w:line="118"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 xml:space="preserve">14.2 </w:t>
      </w:r>
      <w:r>
        <w:rPr>
          <w:rFonts w:ascii="Calibri" w:cs="Calibri" w:eastAsia="Calibri" w:hAnsi="Calibri"/>
          <w:sz w:val="20"/>
          <w:szCs w:val="20"/>
          <w:u w:val="single" w:color="auto"/>
          <w:color w:val="auto"/>
        </w:rPr>
        <w:t>Acknowledgment by Company</w:t>
      </w:r>
      <w:r>
        <w:rPr>
          <w:rFonts w:ascii="Calibri" w:cs="Calibri" w:eastAsia="Calibri" w:hAnsi="Calibri"/>
          <w:sz w:val="20"/>
          <w:szCs w:val="20"/>
          <w:color w:val="auto"/>
        </w:rPr>
        <w:t>. If, afer a Change in Control, the Company fails to reasonably confrm that it has performed the obligaton described in Secton 14.1 within thirty (30) days afer writen notce from the Partcipant, such failure shall be a material breach of this Plan and shall enttle the Partcipant to resign for Good Reason and to receive the benefts provided under this Plan in the event of a qualifying Terminaton of Employment during the Protecton Period.</w:t>
      </w:r>
    </w:p>
    <w:p>
      <w:pPr>
        <w:spacing w:after="0" w:line="120"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 xml:space="preserve">14.3 </w:t>
      </w:r>
      <w:r>
        <w:rPr>
          <w:rFonts w:ascii="Calibri" w:cs="Calibri" w:eastAsia="Calibri" w:hAnsi="Calibri"/>
          <w:sz w:val="20"/>
          <w:szCs w:val="20"/>
          <w:u w:val="single" w:color="auto"/>
          <w:color w:val="auto"/>
        </w:rPr>
        <w:t>Heirs and Representatves of Partcipant</w:t>
      </w:r>
      <w:r>
        <w:rPr>
          <w:rFonts w:ascii="Calibri" w:cs="Calibri" w:eastAsia="Calibri" w:hAnsi="Calibri"/>
          <w:sz w:val="20"/>
          <w:szCs w:val="20"/>
          <w:color w:val="auto"/>
        </w:rPr>
        <w:t>. This Plan shall inure to the beneft of and be enforceable by the Partcipant’s personal or legal representatves, executors, administrators, successors, heirs, distributees, devises, legatees or other benefciaries. If the Partcipant should die while any amount would stll be payable to the Partcipant hereunder (other than amounts which, by their terms, terminate upon the death of the Partcipant) if the Partcipant had contnued to live, then all such amounts, unless otherwise provided herein, shall be paid in accordance with the terms of this Plan to the executors, personal representatves or administrators of the Partcipant’s estate.</w:t>
      </w:r>
    </w:p>
    <w:p>
      <w:pPr>
        <w:spacing w:after="0" w:line="1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15. Notces</w:t>
      </w:r>
    </w:p>
    <w:p>
      <w:pPr>
        <w:spacing w:after="0" w:line="180" w:lineRule="exact"/>
        <w:rPr>
          <w:sz w:val="20"/>
          <w:szCs w:val="20"/>
          <w:color w:val="auto"/>
        </w:rPr>
      </w:pPr>
    </w:p>
    <w:p>
      <w:pPr>
        <w:ind w:right="220"/>
        <w:spacing w:after="0" w:line="236" w:lineRule="auto"/>
        <w:rPr>
          <w:sz w:val="20"/>
          <w:szCs w:val="20"/>
          <w:color w:val="auto"/>
        </w:rPr>
      </w:pPr>
      <w:r>
        <w:rPr>
          <w:rFonts w:ascii="Calibri" w:cs="Calibri" w:eastAsia="Calibri" w:hAnsi="Calibri"/>
          <w:sz w:val="20"/>
          <w:szCs w:val="20"/>
          <w:color w:val="auto"/>
        </w:rPr>
        <w:t xml:space="preserve">15.1 </w:t>
      </w:r>
      <w:r>
        <w:rPr>
          <w:rFonts w:ascii="Calibri" w:cs="Calibri" w:eastAsia="Calibri" w:hAnsi="Calibri"/>
          <w:sz w:val="20"/>
          <w:szCs w:val="20"/>
          <w:u w:val="single" w:color="auto"/>
          <w:color w:val="auto"/>
        </w:rPr>
        <w:t>General</w:t>
      </w:r>
      <w:r>
        <w:rPr>
          <w:rFonts w:ascii="Calibri" w:cs="Calibri" w:eastAsia="Calibri" w:hAnsi="Calibri"/>
          <w:sz w:val="20"/>
          <w:szCs w:val="20"/>
          <w:color w:val="auto"/>
        </w:rPr>
        <w:t>. For purposes of this Plan, notces and all other communicatons shall be in writng and shall be deemed to have been duly given when personally delivered or when mailed by United States certfed mail, return receipt requested, or by overnight courier, postage prepaid, as follows:</w:t>
      </w:r>
    </w:p>
    <w:p>
      <w:pPr>
        <w:spacing w:after="0" w:line="134"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(a) if to the Company:</w:t>
      </w:r>
    </w:p>
    <w:p>
      <w:pPr>
        <w:spacing w:after="0" w:line="107" w:lineRule="exact"/>
        <w:rPr>
          <w:sz w:val="20"/>
          <w:szCs w:val="20"/>
          <w:color w:val="auto"/>
        </w:rPr>
      </w:pPr>
    </w:p>
    <w:p>
      <w:pPr>
        <w:ind w:left="1380"/>
        <w:spacing w:after="0"/>
        <w:rPr>
          <w:sz w:val="20"/>
          <w:szCs w:val="20"/>
          <w:color w:val="auto"/>
        </w:rPr>
      </w:pPr>
      <w:r>
        <w:rPr>
          <w:rFonts w:ascii="Calibri" w:cs="Calibri" w:eastAsia="Calibri" w:hAnsi="Calibri"/>
          <w:sz w:val="20"/>
          <w:szCs w:val="20"/>
          <w:color w:val="auto"/>
        </w:rPr>
        <w:t>Mister Car Wash, Inc.</w:t>
      </w:r>
    </w:p>
    <w:p>
      <w:pPr>
        <w:ind w:left="1380"/>
        <w:spacing w:after="0" w:line="238" w:lineRule="auto"/>
        <w:rPr>
          <w:sz w:val="20"/>
          <w:szCs w:val="20"/>
          <w:color w:val="auto"/>
        </w:rPr>
      </w:pPr>
      <w:r>
        <w:rPr>
          <w:rFonts w:ascii="Calibri" w:cs="Calibri" w:eastAsia="Calibri" w:hAnsi="Calibri"/>
          <w:sz w:val="20"/>
          <w:szCs w:val="20"/>
          <w:color w:val="auto"/>
        </w:rPr>
        <w:t>222 E. 5th Street</w:t>
      </w:r>
    </w:p>
    <w:p>
      <w:pPr>
        <w:ind w:left="1380"/>
        <w:spacing w:after="0"/>
        <w:rPr>
          <w:sz w:val="20"/>
          <w:szCs w:val="20"/>
          <w:color w:val="auto"/>
        </w:rPr>
      </w:pPr>
      <w:r>
        <w:rPr>
          <w:rFonts w:ascii="Calibri" w:cs="Calibri" w:eastAsia="Calibri" w:hAnsi="Calibri"/>
          <w:sz w:val="20"/>
          <w:szCs w:val="20"/>
          <w:color w:val="auto"/>
        </w:rPr>
        <w:t>Tucson, Arizona 85705</w:t>
      </w:r>
    </w:p>
    <w:p>
      <w:pPr>
        <w:ind w:left="1380"/>
        <w:spacing w:after="0" w:line="238" w:lineRule="auto"/>
        <w:rPr>
          <w:sz w:val="20"/>
          <w:szCs w:val="20"/>
          <w:color w:val="auto"/>
        </w:rPr>
      </w:pPr>
      <w:r>
        <w:rPr>
          <w:rFonts w:ascii="Calibri" w:cs="Calibri" w:eastAsia="Calibri" w:hAnsi="Calibri"/>
          <w:sz w:val="20"/>
          <w:szCs w:val="20"/>
          <w:color w:val="auto"/>
        </w:rPr>
        <w:t>Atenton: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780415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440" w:right="519" w:bottom="1440" w:gutter="0" w:footer="0" w:header="0"/>
        </w:sectPr>
      </w:pPr>
    </w:p>
    <w:bookmarkStart w:id="85" w:name="page86"/>
    <w:bookmarkEnd w:id="85"/>
    <w:p>
      <w:pPr>
        <w:spacing w:after="0" w:line="200" w:lineRule="exact"/>
        <w:rPr>
          <w:sz w:val="20"/>
          <w:szCs w:val="20"/>
          <w:color w:val="auto"/>
        </w:rPr>
      </w:pPr>
    </w:p>
    <w:p>
      <w:pPr>
        <w:spacing w:after="0" w:line="393" w:lineRule="exact"/>
        <w:rPr>
          <w:sz w:val="20"/>
          <w:szCs w:val="20"/>
          <w:color w:val="auto"/>
        </w:rPr>
      </w:pPr>
    </w:p>
    <w:p>
      <w:pPr>
        <w:ind w:right="2160" w:firstLine="757"/>
        <w:spacing w:after="0" w:line="335" w:lineRule="auto"/>
        <w:tabs>
          <w:tab w:leader="none" w:pos="1063" w:val="left"/>
        </w:tabs>
        <w:numPr>
          <w:ilvl w:val="0"/>
          <w:numId w:val="27"/>
        </w:numPr>
        <w:rPr>
          <w:rFonts w:ascii="Calibri" w:cs="Calibri" w:eastAsia="Calibri" w:hAnsi="Calibri"/>
          <w:sz w:val="20"/>
          <w:szCs w:val="20"/>
          <w:color w:val="auto"/>
        </w:rPr>
      </w:pPr>
      <w:r>
        <w:rPr>
          <w:rFonts w:ascii="Calibri" w:cs="Calibri" w:eastAsia="Calibri" w:hAnsi="Calibri"/>
          <w:sz w:val="20"/>
          <w:szCs w:val="20"/>
          <w:color w:val="auto"/>
        </w:rPr>
        <w:t>if to the Partcipant, at the home address which the Company has its personnel records. Either party may provide the other with notces of change of address, which shall be efectve upon receipt.</w:t>
      </w:r>
    </w:p>
    <w:p>
      <w:pPr>
        <w:spacing w:after="0" w:line="20" w:lineRule="exact"/>
        <w:rPr>
          <w:sz w:val="20"/>
          <w:szCs w:val="20"/>
          <w:color w:val="auto"/>
        </w:rPr>
      </w:pPr>
    </w:p>
    <w:p>
      <w:pPr>
        <w:ind w:right="540"/>
        <w:spacing w:after="0" w:line="237" w:lineRule="auto"/>
        <w:rPr>
          <w:sz w:val="20"/>
          <w:szCs w:val="20"/>
          <w:color w:val="auto"/>
        </w:rPr>
      </w:pPr>
      <w:r>
        <w:rPr>
          <w:rFonts w:ascii="Calibri" w:cs="Calibri" w:eastAsia="Calibri" w:hAnsi="Calibri"/>
          <w:sz w:val="20"/>
          <w:szCs w:val="20"/>
          <w:color w:val="auto"/>
        </w:rPr>
        <w:t>15.2</w:t>
      </w:r>
      <w:r>
        <w:rPr>
          <w:rFonts w:ascii="Calibri" w:cs="Calibri" w:eastAsia="Calibri" w:hAnsi="Calibri"/>
          <w:sz w:val="20"/>
          <w:szCs w:val="20"/>
          <w:u w:val="single" w:color="auto"/>
          <w:color w:val="auto"/>
        </w:rPr>
        <w:t>Notce of Terminaton</w:t>
      </w:r>
      <w:r>
        <w:rPr>
          <w:rFonts w:ascii="Calibri" w:cs="Calibri" w:eastAsia="Calibri" w:hAnsi="Calibri"/>
          <w:sz w:val="20"/>
          <w:szCs w:val="20"/>
          <w:color w:val="auto"/>
        </w:rPr>
        <w:t>. Any terminaton by the Company of the Partcipant’s employment or any resignaton by the Partcipant shall be communicated by a notce of terminaton or resignaton to the other party hereto given in accordance with Secton 15.1. Such notce shall indicate the specifc terminaton provision in this Plan relied upon, shall set forth in reasonable detail the facts and circumstances claimed to provide a basis for terminaton under the provision so indicated, and shall specify the terminaton date.</w:t>
      </w:r>
    </w:p>
    <w:p>
      <w:pPr>
        <w:spacing w:after="0" w:line="1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16. Terminaton and Amendment of Plan</w:t>
      </w:r>
    </w:p>
    <w:p>
      <w:pPr>
        <w:spacing w:after="0" w:line="111"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 xml:space="preserve">The Plan may be terminated or amended by the Board or the Commitee, in its sole discreton;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however</w:t>
      </w:r>
      <w:r>
        <w:rPr>
          <w:rFonts w:ascii="Calibri" w:cs="Calibri" w:eastAsia="Calibri" w:hAnsi="Calibri"/>
          <w:sz w:val="20"/>
          <w:szCs w:val="20"/>
          <w:color w:val="auto"/>
        </w:rPr>
        <w:t xml:space="preserve">, that, notwithstanding the foregoing, the Plan may not be terminated or amended during the Protecton Period without the consent of each Partcipant, and no terminaton or amendment of the Plan will afect any rights or obligatons to provide payments or benefts due or payable hereunder prior to such terminaton or amendment; and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further</w:t>
      </w:r>
      <w:r>
        <w:rPr>
          <w:rFonts w:ascii="Calibri" w:cs="Calibri" w:eastAsia="Calibri" w:hAnsi="Calibri"/>
          <w:sz w:val="20"/>
          <w:szCs w:val="20"/>
          <w:color w:val="auto"/>
        </w:rPr>
        <w:t>, that the Plan may not be amended at any tme to substantally reduce payments or benefts due or payable hereunder to a Partcipant without such Partcipant’s prior consent.</w:t>
      </w:r>
    </w:p>
    <w:p>
      <w:pPr>
        <w:spacing w:after="0" w:line="22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17. Secton 409A</w:t>
      </w:r>
    </w:p>
    <w:p>
      <w:pPr>
        <w:spacing w:after="0" w:line="113" w:lineRule="exact"/>
        <w:rPr>
          <w:sz w:val="20"/>
          <w:szCs w:val="20"/>
          <w:color w:val="auto"/>
        </w:rPr>
      </w:pPr>
    </w:p>
    <w:p>
      <w:pPr>
        <w:ind w:right="140"/>
        <w:spacing w:after="0" w:line="238" w:lineRule="auto"/>
        <w:rPr>
          <w:sz w:val="20"/>
          <w:szCs w:val="20"/>
          <w:color w:val="auto"/>
        </w:rPr>
      </w:pPr>
      <w:r>
        <w:rPr>
          <w:rFonts w:ascii="Calibri" w:cs="Calibri" w:eastAsia="Calibri" w:hAnsi="Calibri"/>
          <w:sz w:val="20"/>
          <w:szCs w:val="20"/>
          <w:color w:val="auto"/>
        </w:rPr>
        <w:t xml:space="preserve">17.1 </w:t>
      </w:r>
      <w:r>
        <w:rPr>
          <w:rFonts w:ascii="Calibri" w:cs="Calibri" w:eastAsia="Calibri" w:hAnsi="Calibri"/>
          <w:sz w:val="20"/>
          <w:szCs w:val="20"/>
          <w:u w:val="single" w:color="auto"/>
          <w:color w:val="auto"/>
        </w:rPr>
        <w:t>General</w:t>
      </w:r>
      <w:r>
        <w:rPr>
          <w:rFonts w:ascii="Calibri" w:cs="Calibri" w:eastAsia="Calibri" w:hAnsi="Calibri"/>
          <w:sz w:val="20"/>
          <w:szCs w:val="20"/>
          <w:color w:val="auto"/>
        </w:rPr>
        <w:t xml:space="preserve">. The payments and benefts under the Plan are intended to comply with or be exempt from Secton 409A and, accordingly, to the maximum extent permited, the Plan shall be interpreted to comply with or exempt from Secton 409A. If the Company determines that any partcular provision of the Plan would cause a Partcipant to incur any tax or interest under Secton 409A, the Company may, but is not obligated to, take commercially reasonable eforts to reform such provision to the minimum extent reasonably appropriate to comply with or be exempt from Secton 409A, </w:t>
      </w:r>
      <w:r>
        <w:rPr>
          <w:rFonts w:ascii="Calibri" w:cs="Calibri" w:eastAsia="Calibri" w:hAnsi="Calibri"/>
          <w:sz w:val="20"/>
          <w:szCs w:val="20"/>
          <w:i w:val="1"/>
          <w:iCs w:val="1"/>
          <w:color w:val="auto"/>
        </w:rPr>
        <w:t>provided</w:t>
      </w:r>
      <w:r>
        <w:rPr>
          <w:rFonts w:ascii="Calibri" w:cs="Calibri" w:eastAsia="Calibri" w:hAnsi="Calibri"/>
          <w:sz w:val="20"/>
          <w:szCs w:val="20"/>
          <w:color w:val="auto"/>
        </w:rPr>
        <w:t xml:space="preserve"> that any such modifcatons shall not increase the cost or liability to the Company. To the extent that any provision of the Plan is modifed in order to comply with or be exempt from Secton 409A, such modifcaton shall be made in good faith and shall, to the maximum extent reasonably possible, maintain the original intent and economic beneft to the Partcipants and the Company of the applicable provision without resultng in the impositon of a tax under Secton 409A. Notwithstanding the foregoing, this Secton 17.1 does not create an obligaton on the part of the Company to make any such modifcaton or take any other acton, and the Company does not guaranty or accept any liability for any tax consequences to the Partcipants under the Plan.</w:t>
      </w:r>
    </w:p>
    <w:p>
      <w:pPr>
        <w:spacing w:after="0" w:line="118" w:lineRule="exact"/>
        <w:rPr>
          <w:sz w:val="20"/>
          <w:szCs w:val="20"/>
          <w:color w:val="auto"/>
        </w:rPr>
      </w:pPr>
    </w:p>
    <w:p>
      <w:pPr>
        <w:ind w:right="100"/>
        <w:spacing w:after="0"/>
        <w:rPr>
          <w:sz w:val="20"/>
          <w:szCs w:val="20"/>
          <w:color w:val="auto"/>
        </w:rPr>
      </w:pPr>
      <w:r>
        <w:rPr>
          <w:rFonts w:ascii="Calibri" w:cs="Calibri" w:eastAsia="Calibri" w:hAnsi="Calibri"/>
          <w:sz w:val="20"/>
          <w:szCs w:val="20"/>
          <w:color w:val="auto"/>
        </w:rPr>
        <w:t xml:space="preserve">17.2 </w:t>
      </w:r>
      <w:r>
        <w:rPr>
          <w:rFonts w:ascii="Calibri" w:cs="Calibri" w:eastAsia="Calibri" w:hAnsi="Calibri"/>
          <w:sz w:val="20"/>
          <w:szCs w:val="20"/>
          <w:u w:val="single" w:color="auto"/>
          <w:color w:val="auto"/>
        </w:rPr>
        <w:t>Specifed Employee</w:t>
      </w:r>
      <w:r>
        <w:rPr>
          <w:rFonts w:ascii="Calibri" w:cs="Calibri" w:eastAsia="Calibri" w:hAnsi="Calibri"/>
          <w:sz w:val="20"/>
          <w:szCs w:val="20"/>
          <w:color w:val="auto"/>
        </w:rPr>
        <w:t>. Notwithstanding anything to the contrary in the Plan, if the Company determines at the tme of a Partcipant’s Separaton from Service that the Partcipant is a “specifed employee” for purposes of Secton 409A, then, to the extent delayed commencement of any porton of the benefts to which a Partcipant is enttled under the Plan is required to avoid a prohibited distributon under Secton 409A(a)(2)(B)(i) of the Code, such porton of the Partcipant’s benefts shall not be provided to the Partcipant before the earlier of (i) the expiraton of the six (6)-month period measured from the date of the Partcipant’s Separaton from Service with the Company or (ii) the date of the Partcipant’s death. On the frst business day following the expiraton of the applicable delay, all payments deferred pursuant to the preceding sentence shall be paid in a lump sum to the Partcipant (or the Partcipant’s estate or benefciaries), and any remaining payments due to the Partcipant under the Plan shall be paid as otherwise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922655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86" w:name="page87"/>
    <w:bookmarkEnd w:id="86"/>
    <w:p>
      <w:pPr>
        <w:spacing w:after="0" w:line="200" w:lineRule="exact"/>
        <w:rPr>
          <w:sz w:val="20"/>
          <w:szCs w:val="20"/>
          <w:color w:val="auto"/>
        </w:rPr>
      </w:pPr>
    </w:p>
    <w:p>
      <w:pPr>
        <w:spacing w:after="0" w:line="339"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 xml:space="preserve">17.3 </w:t>
      </w:r>
      <w:r>
        <w:rPr>
          <w:rFonts w:ascii="Calibri" w:cs="Calibri" w:eastAsia="Calibri" w:hAnsi="Calibri"/>
          <w:sz w:val="20"/>
          <w:szCs w:val="20"/>
          <w:u w:val="single" w:color="auto"/>
          <w:color w:val="auto"/>
        </w:rPr>
        <w:t>Separaton from Service</w:t>
      </w:r>
      <w:r>
        <w:rPr>
          <w:rFonts w:ascii="Calibri" w:cs="Calibri" w:eastAsia="Calibri" w:hAnsi="Calibri"/>
          <w:sz w:val="20"/>
          <w:szCs w:val="20"/>
          <w:color w:val="auto"/>
        </w:rPr>
        <w:t>. Notwithstanding anything to the contrary in the Plan, any compensaton or beneft payable under the Plan that consttutes “nonqualifed deferred compensaton” under Secton 409A and is designated under the Plan as payable upon a Partcipant’s terminaton of employment with the Company shall be payable only upon the Partcipant’s Separaton from Service with the Company.</w:t>
      </w:r>
    </w:p>
    <w:p>
      <w:pPr>
        <w:spacing w:after="0" w:line="120"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 xml:space="preserve">17.4 </w:t>
      </w:r>
      <w:r>
        <w:rPr>
          <w:rFonts w:ascii="Calibri" w:cs="Calibri" w:eastAsia="Calibri" w:hAnsi="Calibri"/>
          <w:sz w:val="20"/>
          <w:szCs w:val="20"/>
          <w:u w:val="single" w:color="auto"/>
          <w:color w:val="auto"/>
        </w:rPr>
        <w:t>Expense Reimbursements</w:t>
      </w:r>
      <w:r>
        <w:rPr>
          <w:rFonts w:ascii="Calibri" w:cs="Calibri" w:eastAsia="Calibri" w:hAnsi="Calibri"/>
          <w:sz w:val="20"/>
          <w:szCs w:val="20"/>
          <w:color w:val="auto"/>
        </w:rPr>
        <w:t>. To the extent that any reimbursements payable under the Plan are subject to Secton 409A, any such reimbursements shall be paid to the Partcipant no later than December 31 of the year following the year in which the expense was incurred. The amount of expenses reimbursed in one year shall not afect the amount eligible for reimbursement in any subsequent year, and a Partcipant’s right to reimbursement under the Plan will not be subject to liquidaton or exchange for another beneft.</w:t>
      </w:r>
    </w:p>
    <w:p>
      <w:pPr>
        <w:spacing w:after="0" w:line="120" w:lineRule="exact"/>
        <w:rPr>
          <w:sz w:val="20"/>
          <w:szCs w:val="20"/>
          <w:color w:val="auto"/>
        </w:rPr>
      </w:pPr>
    </w:p>
    <w:p>
      <w:pPr>
        <w:ind w:right="160"/>
        <w:spacing w:after="0"/>
        <w:rPr>
          <w:sz w:val="20"/>
          <w:szCs w:val="20"/>
          <w:color w:val="auto"/>
        </w:rPr>
      </w:pPr>
      <w:r>
        <w:rPr>
          <w:rFonts w:ascii="Calibri" w:cs="Calibri" w:eastAsia="Calibri" w:hAnsi="Calibri"/>
          <w:sz w:val="20"/>
          <w:szCs w:val="20"/>
          <w:color w:val="auto"/>
        </w:rPr>
        <w:t xml:space="preserve">17.5 </w:t>
      </w:r>
      <w:r>
        <w:rPr>
          <w:rFonts w:ascii="Calibri" w:cs="Calibri" w:eastAsia="Calibri" w:hAnsi="Calibri"/>
          <w:sz w:val="20"/>
          <w:szCs w:val="20"/>
          <w:u w:val="single" w:color="auto"/>
          <w:color w:val="auto"/>
        </w:rPr>
        <w:t>Installments</w:t>
      </w:r>
      <w:r>
        <w:rPr>
          <w:rFonts w:ascii="Calibri" w:cs="Calibri" w:eastAsia="Calibri" w:hAnsi="Calibri"/>
          <w:sz w:val="20"/>
          <w:szCs w:val="20"/>
          <w:color w:val="auto"/>
        </w:rPr>
        <w:t>. For purposes of applying the provisions of Secton 409A to the Plan, each separately identfed amount to which a Partcipant is enttled under the Plan shall be treated as a separate payment. In additon, to the extent permissible under Secton 409A, the right to receive any installment payments under the Plan shall be treated as a right to receive a series of separate payments and, accordingly, each such installment payment shall at all tmes be considered a separate and distnct payment as permited under Treasury Regulaton Secton 1.409A-2(b)(2)(iii). Whenever a payment under the Plan specifes a payment period with reference to a number of days, the actual date of payment within the specifed period shall be within the sole discreton of the Company.</w:t>
      </w:r>
    </w:p>
    <w:p>
      <w:pPr>
        <w:spacing w:after="0" w:line="344"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 xml:space="preserve">17.6 </w:t>
      </w:r>
      <w:r>
        <w:rPr>
          <w:rFonts w:ascii="Calibri" w:cs="Calibri" w:eastAsia="Calibri" w:hAnsi="Calibri"/>
          <w:sz w:val="20"/>
          <w:szCs w:val="20"/>
          <w:u w:val="single" w:color="auto"/>
          <w:color w:val="auto"/>
        </w:rPr>
        <w:t>Release</w:t>
      </w:r>
      <w:r>
        <w:rPr>
          <w:rFonts w:ascii="Calibri" w:cs="Calibri" w:eastAsia="Calibri" w:hAnsi="Calibri"/>
          <w:sz w:val="20"/>
          <w:szCs w:val="20"/>
          <w:color w:val="auto"/>
        </w:rPr>
        <w:t>. Notwithstanding anything to the contrary in the Plan, to the extent that any payments due under the Plan as a result of a Partcipant’s Terminaton of Employment are subject to the Partcipant’s executon of the Release, (a) no such payments shall be made unless and untl such Release has been so executed and has become efectve and irrevocable, and (b) any payments delayed pursuant to Secton 17.6(a) shall be paid in lump sum on the frst payroll date following the Release becoming efectve and irrevocable; provided that, in any case where the Partcipant’s Terminaton of Employment and the Release Deadline fall in two (2) separate taxable years, any payments required to be made to the Partcipant that are conditoned on the Release and are treated as nonqualifed deferred compensaton for purposes of Secton 409A shall be made in the later taxable year.</w:t>
      </w:r>
    </w:p>
    <w:p>
      <w:pPr>
        <w:spacing w:after="0" w:line="14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494645"/>
        </w:rPr>
        <w:t>18. Miscellaneous Provisions</w:t>
      </w:r>
    </w:p>
    <w:p>
      <w:pPr>
        <w:spacing w:after="0" w:line="113"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18.1 </w:t>
      </w:r>
      <w:r>
        <w:rPr>
          <w:rFonts w:ascii="Calibri" w:cs="Calibri" w:eastAsia="Calibri" w:hAnsi="Calibri"/>
          <w:sz w:val="20"/>
          <w:szCs w:val="20"/>
          <w:u w:val="single" w:color="auto"/>
          <w:color w:val="auto"/>
        </w:rPr>
        <w:t>Unfunded Obligaton</w:t>
      </w:r>
      <w:r>
        <w:rPr>
          <w:rFonts w:ascii="Calibri" w:cs="Calibri" w:eastAsia="Calibri" w:hAnsi="Calibri"/>
          <w:sz w:val="20"/>
          <w:szCs w:val="20"/>
          <w:color w:val="auto"/>
        </w:rPr>
        <w:t>. Any amounts payable to Partcipants pursuant to the Plan are unfunded obligatons. The Company shall not be required to segregate any monies from its general funds, or to create any trusts, or establish any special accounts with respect to such obligatons. The Company shall retain at all tmes benefcial ownership of any investments, including trust investments, which the Company may make to fulfll its payment obligatons hereunder. Any investments or the creaton or maintenance of any trust or any Partcipant account shall not create or consttute a trust or fduciary relatonship between the Board or the Company and a Partcipant, or otherwise create any vested or benefcial interest in any Partcipant or the Partcipant’s creditors in any assets of the Company.</w:t>
      </w:r>
    </w:p>
    <w:p>
      <w:pPr>
        <w:spacing w:after="0" w:line="344" w:lineRule="exact"/>
        <w:rPr>
          <w:sz w:val="20"/>
          <w:szCs w:val="20"/>
          <w:color w:val="auto"/>
        </w:rPr>
      </w:pPr>
    </w:p>
    <w:p>
      <w:pPr>
        <w:ind w:right="100"/>
        <w:spacing w:after="0" w:line="237" w:lineRule="auto"/>
        <w:rPr>
          <w:sz w:val="20"/>
          <w:szCs w:val="20"/>
          <w:color w:val="auto"/>
        </w:rPr>
      </w:pPr>
      <w:r>
        <w:rPr>
          <w:rFonts w:ascii="Calibri" w:cs="Calibri" w:eastAsia="Calibri" w:hAnsi="Calibri"/>
          <w:sz w:val="20"/>
          <w:szCs w:val="20"/>
          <w:color w:val="auto"/>
        </w:rPr>
        <w:t xml:space="preserve">18.2 </w:t>
      </w:r>
      <w:r>
        <w:rPr>
          <w:rFonts w:ascii="Calibri" w:cs="Calibri" w:eastAsia="Calibri" w:hAnsi="Calibri"/>
          <w:sz w:val="20"/>
          <w:szCs w:val="20"/>
          <w:u w:val="single" w:color="auto"/>
          <w:color w:val="auto"/>
        </w:rPr>
        <w:t>No Duty to Mitgate; Obligatons of Company</w:t>
      </w:r>
      <w:r>
        <w:rPr>
          <w:rFonts w:ascii="Calibri" w:cs="Calibri" w:eastAsia="Calibri" w:hAnsi="Calibri"/>
          <w:sz w:val="20"/>
          <w:szCs w:val="20"/>
          <w:color w:val="auto"/>
        </w:rPr>
        <w:t>. A Partcipant shall not be required to mitgate the amount of any payment or beneft contemplated by this Plan by seeking employment with a new employer or otherwise, nor shall any such payment or beneft (except for benefts to the extent described in Sectons 4.2(c), 5.2(c) and 8.2) be reduced by any compensaton or benefts that the Partcipant may receive from employment by another employer. Except as otherwise provided by this Plan, the obligatons of the Company to make payments to the Partcipant and to make the arrangements provided for herein are absolute and unconditonal and may not be reduced by any circumstances, including without limitaton any set-of, counterclaim, recoupment, defense or other right which the Company may have against the Partcipant or any third party at any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782955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87" w:name="page88"/>
    <w:bookmarkEnd w:id="87"/>
    <w:p>
      <w:pPr>
        <w:spacing w:after="0" w:line="200" w:lineRule="exact"/>
        <w:rPr>
          <w:sz w:val="20"/>
          <w:szCs w:val="20"/>
          <w:color w:val="auto"/>
        </w:rPr>
      </w:pPr>
    </w:p>
    <w:p>
      <w:pPr>
        <w:spacing w:after="0" w:line="339" w:lineRule="exact"/>
        <w:rPr>
          <w:sz w:val="20"/>
          <w:szCs w:val="20"/>
          <w:color w:val="auto"/>
        </w:rPr>
      </w:pPr>
    </w:p>
    <w:p>
      <w:pPr>
        <w:jc w:val="both"/>
        <w:ind w:right="160"/>
        <w:spacing w:after="0" w:line="234" w:lineRule="auto"/>
        <w:rPr>
          <w:sz w:val="20"/>
          <w:szCs w:val="20"/>
          <w:color w:val="auto"/>
        </w:rPr>
      </w:pPr>
      <w:r>
        <w:rPr>
          <w:rFonts w:ascii="Calibri" w:cs="Calibri" w:eastAsia="Calibri" w:hAnsi="Calibri"/>
          <w:sz w:val="20"/>
          <w:szCs w:val="20"/>
          <w:color w:val="auto"/>
        </w:rPr>
        <w:t xml:space="preserve">18.3 </w:t>
      </w:r>
      <w:r>
        <w:rPr>
          <w:rFonts w:ascii="Calibri" w:cs="Calibri" w:eastAsia="Calibri" w:hAnsi="Calibri"/>
          <w:sz w:val="20"/>
          <w:szCs w:val="20"/>
          <w:u w:val="single" w:color="auto"/>
          <w:color w:val="auto"/>
        </w:rPr>
        <w:t>No Representatons</w:t>
      </w:r>
      <w:r>
        <w:rPr>
          <w:rFonts w:ascii="Calibri" w:cs="Calibri" w:eastAsia="Calibri" w:hAnsi="Calibri"/>
          <w:sz w:val="20"/>
          <w:szCs w:val="20"/>
          <w:color w:val="auto"/>
        </w:rPr>
        <w:t>. The Partcipant acknowledges that in becoming a Partcipant in the Plan, the Partcipant is not relying and has not relied on any promise, representaton or statement made by or on behalf of the Company which is not set forth in this Plan.</w:t>
      </w:r>
    </w:p>
    <w:p>
      <w:pPr>
        <w:spacing w:after="0" w:line="11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 xml:space="preserve">18.4 </w:t>
      </w:r>
      <w:r>
        <w:rPr>
          <w:rFonts w:ascii="Calibri" w:cs="Calibri" w:eastAsia="Calibri" w:hAnsi="Calibri"/>
          <w:sz w:val="20"/>
          <w:szCs w:val="20"/>
          <w:u w:val="single" w:color="auto"/>
          <w:color w:val="auto"/>
        </w:rPr>
        <w:t>Waiver</w:t>
      </w:r>
      <w:r>
        <w:rPr>
          <w:rFonts w:ascii="Calibri" w:cs="Calibri" w:eastAsia="Calibri" w:hAnsi="Calibri"/>
          <w:sz w:val="20"/>
          <w:szCs w:val="20"/>
          <w:color w:val="auto"/>
        </w:rPr>
        <w:t>. No waiver by the Partcipant or the Company of any breach of, or of any lack of compliance with, any conditon or provision of this Plan by the other party shall be considered a waiver of any other conditon or provision or of the same conditon or provision at another tme.</w:t>
      </w:r>
    </w:p>
    <w:p>
      <w:pPr>
        <w:spacing w:after="0" w:line="117"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 xml:space="preserve">18.5 </w:t>
      </w:r>
      <w:r>
        <w:rPr>
          <w:rFonts w:ascii="Calibri" w:cs="Calibri" w:eastAsia="Calibri" w:hAnsi="Calibri"/>
          <w:sz w:val="20"/>
          <w:szCs w:val="20"/>
          <w:u w:val="single" w:color="auto"/>
          <w:color w:val="auto"/>
        </w:rPr>
        <w:t>Choice of Law</w:t>
      </w:r>
      <w:r>
        <w:rPr>
          <w:rFonts w:ascii="Calibri" w:cs="Calibri" w:eastAsia="Calibri" w:hAnsi="Calibri"/>
          <w:sz w:val="20"/>
          <w:szCs w:val="20"/>
          <w:color w:val="auto"/>
        </w:rPr>
        <w:t>. The Plan is a welfare plan subject to ERISA and it shall be interpreted, administered, and enforced in accordance with that law. To the extent that state law is applicable the internal laws of the state of Delaware without regard to any confict of laws provisions shall be controlling in all maters relatng to this Plan.</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18.6 Validity. The invalidity or unenforceability of any provision of this Plan shall not afect the validity or enforceability of any other provision of this Plan, which shall remain in full force and efect.</w:t>
      </w:r>
    </w:p>
    <w:p>
      <w:pPr>
        <w:spacing w:after="0" w:line="118" w:lineRule="exact"/>
        <w:rPr>
          <w:sz w:val="20"/>
          <w:szCs w:val="20"/>
          <w:color w:val="auto"/>
        </w:rPr>
      </w:pPr>
    </w:p>
    <w:p>
      <w:pPr>
        <w:ind w:right="360"/>
        <w:spacing w:after="0" w:line="237" w:lineRule="auto"/>
        <w:rPr>
          <w:sz w:val="20"/>
          <w:szCs w:val="20"/>
          <w:color w:val="auto"/>
        </w:rPr>
      </w:pPr>
      <w:r>
        <w:rPr>
          <w:rFonts w:ascii="Calibri" w:cs="Calibri" w:eastAsia="Calibri" w:hAnsi="Calibri"/>
          <w:sz w:val="20"/>
          <w:szCs w:val="20"/>
          <w:color w:val="auto"/>
        </w:rPr>
        <w:t xml:space="preserve">18.7 </w:t>
      </w:r>
      <w:r>
        <w:rPr>
          <w:rFonts w:ascii="Calibri" w:cs="Calibri" w:eastAsia="Calibri" w:hAnsi="Calibri"/>
          <w:sz w:val="20"/>
          <w:szCs w:val="20"/>
          <w:u w:val="single" w:color="auto"/>
          <w:color w:val="auto"/>
        </w:rPr>
        <w:t>Benefts Not Assignable</w:t>
      </w:r>
      <w:r>
        <w:rPr>
          <w:rFonts w:ascii="Calibri" w:cs="Calibri" w:eastAsia="Calibri" w:hAnsi="Calibri"/>
          <w:sz w:val="20"/>
          <w:szCs w:val="20"/>
          <w:color w:val="auto"/>
        </w:rPr>
        <w:t>. Except as otherwise provided herein or by law, no right or interest of any Partcipant under the Plan shall be assignable or transferable, in whole or in part, either directly or by operaton of law or otherwise, including, without limitaton, by executon, levy, garnishment, atachment, pledge or in any other manner, and no atempted transfer or assignment thereof shall be efectve. No right or interest of any Partcipant under the Plan shall be liable for, or subject to, any obligaton or liability of such Partcipant.</w:t>
      </w:r>
    </w:p>
    <w:p>
      <w:pPr>
        <w:spacing w:after="0" w:line="118" w:lineRule="exact"/>
        <w:rPr>
          <w:sz w:val="20"/>
          <w:szCs w:val="20"/>
          <w:color w:val="auto"/>
        </w:rPr>
      </w:pPr>
    </w:p>
    <w:p>
      <w:pPr>
        <w:jc w:val="both"/>
        <w:ind w:right="160"/>
        <w:spacing w:after="0" w:line="236" w:lineRule="auto"/>
        <w:rPr>
          <w:sz w:val="20"/>
          <w:szCs w:val="20"/>
          <w:color w:val="auto"/>
        </w:rPr>
      </w:pPr>
      <w:r>
        <w:rPr>
          <w:rFonts w:ascii="Calibri" w:cs="Calibri" w:eastAsia="Calibri" w:hAnsi="Calibri"/>
          <w:sz w:val="20"/>
          <w:szCs w:val="20"/>
          <w:color w:val="auto"/>
        </w:rPr>
        <w:t xml:space="preserve">18.8 </w:t>
      </w:r>
      <w:r>
        <w:rPr>
          <w:rFonts w:ascii="Calibri" w:cs="Calibri" w:eastAsia="Calibri" w:hAnsi="Calibri"/>
          <w:sz w:val="20"/>
          <w:szCs w:val="20"/>
          <w:u w:val="single" w:color="auto"/>
          <w:color w:val="auto"/>
        </w:rPr>
        <w:t>Tax Withholding</w:t>
      </w:r>
      <w:r>
        <w:rPr>
          <w:rFonts w:ascii="Calibri" w:cs="Calibri" w:eastAsia="Calibri" w:hAnsi="Calibri"/>
          <w:sz w:val="20"/>
          <w:szCs w:val="20"/>
          <w:color w:val="auto"/>
        </w:rPr>
        <w:t>. All payments made pursuant to this Plan will be subject to withholding of applicable income and employment taxes. However, whether cash severance amounts are eligible compensaton under the Company’s beneft plans will be determined by the terms of such plans.</w:t>
      </w:r>
    </w:p>
    <w:p>
      <w:pPr>
        <w:spacing w:after="0" w:line="117"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 xml:space="preserve">18.9 </w:t>
      </w:r>
      <w:r>
        <w:rPr>
          <w:rFonts w:ascii="Calibri" w:cs="Calibri" w:eastAsia="Calibri" w:hAnsi="Calibri"/>
          <w:sz w:val="20"/>
          <w:szCs w:val="20"/>
          <w:u w:val="single" w:color="auto"/>
          <w:color w:val="auto"/>
        </w:rPr>
        <w:t>Informaton to be Furnished by Partcipants</w:t>
      </w:r>
      <w:r>
        <w:rPr>
          <w:rFonts w:ascii="Calibri" w:cs="Calibri" w:eastAsia="Calibri" w:hAnsi="Calibri"/>
          <w:sz w:val="20"/>
          <w:szCs w:val="20"/>
          <w:color w:val="auto"/>
        </w:rPr>
        <w:t>. Each Partcipant must furnish to the Company such documents, evidence, data or other informaton as the Company considers necessary or desirable for the purpose of administering this Plan. Benefts under this Plan for each Partcipant are provided on the conditon that the Partcipant furnishes full, true and complete data, evidence or other informaton, and that the Partcipant will promptly sign any document related to the Plan, requested by the Company.</w:t>
      </w:r>
    </w:p>
    <w:p>
      <w:pPr>
        <w:spacing w:after="0" w:line="120"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18.10</w:t>
      </w:r>
      <w:r>
        <w:rPr>
          <w:rFonts w:ascii="Calibri" w:cs="Calibri" w:eastAsia="Calibri" w:hAnsi="Calibri"/>
          <w:sz w:val="20"/>
          <w:szCs w:val="20"/>
          <w:u w:val="single" w:color="auto"/>
          <w:color w:val="auto"/>
        </w:rPr>
        <w:t>Consultaton with Legal and Financial Advisors</w:t>
      </w:r>
      <w:r>
        <w:rPr>
          <w:rFonts w:ascii="Calibri" w:cs="Calibri" w:eastAsia="Calibri" w:hAnsi="Calibri"/>
          <w:sz w:val="20"/>
          <w:szCs w:val="20"/>
          <w:color w:val="auto"/>
        </w:rPr>
        <w:t>. The Partcipant acknowledges that this Plan confers signifcant legal rights, and may also involve the waiver of rights under other agreements; that the Company has encouraged the Partcipant to consult with the Partcipant’s personal legal and fnancial advisors; and that the Partcipant has had adequate tme to consult with the Partcipant’s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987425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88" w:name="page89"/>
    <w:bookmarkEnd w:id="88"/>
    <w:p>
      <w:pPr>
        <w:spacing w:after="0" w:line="200" w:lineRule="exact"/>
        <w:rPr>
          <w:sz w:val="20"/>
          <w:szCs w:val="20"/>
          <w:color w:val="auto"/>
        </w:rPr>
      </w:pPr>
    </w:p>
    <w:p>
      <w:pPr>
        <w:spacing w:after="0" w:line="229" w:lineRule="exact"/>
        <w:rPr>
          <w:sz w:val="20"/>
          <w:szCs w:val="20"/>
          <w:color w:val="auto"/>
        </w:rPr>
      </w:pPr>
    </w:p>
    <w:p>
      <w:pPr>
        <w:jc w:val="center"/>
        <w:ind w:right="-240"/>
        <w:spacing w:after="0"/>
        <w:rPr>
          <w:sz w:val="20"/>
          <w:szCs w:val="20"/>
          <w:color w:val="auto"/>
        </w:rPr>
      </w:pPr>
      <w:r>
        <w:rPr>
          <w:rFonts w:ascii="Calibri" w:cs="Calibri" w:eastAsia="Calibri" w:hAnsi="Calibri"/>
          <w:sz w:val="22"/>
          <w:szCs w:val="22"/>
          <w:u w:val="single" w:color="auto"/>
          <w:color w:val="auto"/>
        </w:rPr>
        <w:t>Contacts for Claims and Appeals</w:t>
      </w:r>
    </w:p>
    <w:p>
      <w:pPr>
        <w:spacing w:after="0" w:line="290" w:lineRule="exact"/>
        <w:rPr>
          <w:sz w:val="20"/>
          <w:szCs w:val="20"/>
          <w:color w:val="auto"/>
        </w:rPr>
      </w:pPr>
    </w:p>
    <w:p>
      <w:pPr>
        <w:spacing w:after="0"/>
        <w:tabs>
          <w:tab w:leader="none" w:pos="1440" w:val="left"/>
        </w:tabs>
        <w:rPr>
          <w:sz w:val="20"/>
          <w:szCs w:val="20"/>
          <w:color w:val="auto"/>
        </w:rPr>
      </w:pPr>
      <w:r>
        <w:rPr>
          <w:rFonts w:ascii="Calibri" w:cs="Calibri" w:eastAsia="Calibri" w:hAnsi="Calibri"/>
          <w:sz w:val="20"/>
          <w:szCs w:val="20"/>
          <w:color w:val="auto"/>
        </w:rPr>
        <w:t>COMMITTEE:</w:t>
      </w:r>
      <w:r>
        <w:rPr>
          <w:sz w:val="20"/>
          <w:szCs w:val="20"/>
          <w:color w:val="auto"/>
        </w:rPr>
        <w:tab/>
      </w:r>
      <w:r>
        <w:rPr>
          <w:rFonts w:ascii="Calibri" w:cs="Calibri" w:eastAsia="Calibri" w:hAnsi="Calibri"/>
          <w:sz w:val="20"/>
          <w:szCs w:val="20"/>
          <w:color w:val="auto"/>
        </w:rPr>
        <w:t>Commitee</w:t>
      </w:r>
    </w:p>
    <w:p>
      <w:pPr>
        <w:ind w:left="3000"/>
        <w:spacing w:after="0" w:line="238" w:lineRule="auto"/>
        <w:rPr>
          <w:sz w:val="20"/>
          <w:szCs w:val="20"/>
          <w:color w:val="auto"/>
        </w:rPr>
      </w:pPr>
      <w:r>
        <w:rPr>
          <w:rFonts w:ascii="Calibri" w:cs="Calibri" w:eastAsia="Calibri" w:hAnsi="Calibri"/>
          <w:sz w:val="20"/>
          <w:szCs w:val="20"/>
          <w:color w:val="auto"/>
        </w:rPr>
        <w:t>Mister Car Wash, Inc. c/o Corporate</w:t>
      </w:r>
    </w:p>
    <w:p>
      <w:pPr>
        <w:ind w:left="3000"/>
        <w:spacing w:after="0"/>
        <w:rPr>
          <w:sz w:val="20"/>
          <w:szCs w:val="20"/>
          <w:color w:val="auto"/>
        </w:rPr>
      </w:pPr>
      <w:r>
        <w:rPr>
          <w:rFonts w:ascii="Calibri" w:cs="Calibri" w:eastAsia="Calibri" w:hAnsi="Calibri"/>
          <w:sz w:val="20"/>
          <w:szCs w:val="20"/>
          <w:color w:val="auto"/>
        </w:rPr>
        <w:t>Secretary 222 E. 5th Street Tucson,</w:t>
      </w:r>
    </w:p>
    <w:p>
      <w:pPr>
        <w:ind w:left="3000"/>
        <w:spacing w:after="0" w:line="238" w:lineRule="auto"/>
        <w:rPr>
          <w:sz w:val="20"/>
          <w:szCs w:val="20"/>
          <w:color w:val="auto"/>
        </w:rPr>
      </w:pPr>
      <w:r>
        <w:rPr>
          <w:rFonts w:ascii="Calibri" w:cs="Calibri" w:eastAsia="Calibri" w:hAnsi="Calibri"/>
          <w:sz w:val="20"/>
          <w:szCs w:val="20"/>
          <w:color w:val="auto"/>
        </w:rPr>
        <w:t>Arizona 85705</w:t>
      </w:r>
    </w:p>
    <w:p>
      <w:pPr>
        <w:ind w:left="3000"/>
        <w:spacing w:after="0"/>
        <w:rPr>
          <w:sz w:val="20"/>
          <w:szCs w:val="20"/>
          <w:color w:val="auto"/>
        </w:rPr>
      </w:pPr>
      <w:r>
        <w:rPr>
          <w:rFonts w:ascii="Calibri" w:cs="Calibri" w:eastAsia="Calibri" w:hAnsi="Calibri"/>
          <w:sz w:val="20"/>
          <w:szCs w:val="20"/>
          <w:color w:val="auto"/>
        </w:rPr>
        <w:t>(520) 615-4000</w:t>
      </w:r>
    </w:p>
    <w:p>
      <w:pPr>
        <w:spacing w:after="0" w:line="251" w:lineRule="exact"/>
        <w:rPr>
          <w:sz w:val="20"/>
          <w:szCs w:val="20"/>
          <w:color w:val="auto"/>
        </w:rPr>
      </w:pPr>
    </w:p>
    <w:p>
      <w:pPr>
        <w:ind w:left="3000" w:right="2219" w:hanging="2994"/>
        <w:spacing w:after="0" w:line="234" w:lineRule="auto"/>
        <w:rPr>
          <w:sz w:val="20"/>
          <w:szCs w:val="20"/>
          <w:color w:val="auto"/>
        </w:rPr>
      </w:pPr>
      <w:r>
        <w:rPr>
          <w:rFonts w:ascii="Calibri" w:cs="Calibri" w:eastAsia="Calibri" w:hAnsi="Calibri"/>
          <w:sz w:val="20"/>
          <w:szCs w:val="20"/>
          <w:color w:val="auto"/>
        </w:rPr>
        <w:t>LEGAL PROCESS: Legal process with respect to the Plan may be served upon the Commitee (in its capacity as Plan administrator).</w:t>
      </w:r>
    </w:p>
    <w:p>
      <w:pPr>
        <w:spacing w:after="0" w:line="243" w:lineRule="exact"/>
        <w:rPr>
          <w:sz w:val="20"/>
          <w:szCs w:val="20"/>
          <w:color w:val="auto"/>
        </w:rPr>
      </w:pPr>
    </w:p>
    <w:p>
      <w:pPr>
        <w:spacing w:after="0"/>
        <w:tabs>
          <w:tab w:leader="none" w:pos="1820" w:val="left"/>
        </w:tabs>
        <w:rPr>
          <w:sz w:val="20"/>
          <w:szCs w:val="20"/>
          <w:color w:val="auto"/>
        </w:rPr>
      </w:pPr>
      <w:r>
        <w:rPr>
          <w:rFonts w:ascii="Calibri" w:cs="Calibri" w:eastAsia="Calibri" w:hAnsi="Calibri"/>
          <w:sz w:val="20"/>
          <w:szCs w:val="20"/>
          <w:color w:val="auto"/>
        </w:rPr>
        <w:t>GENERAL COUNSEL:</w:t>
        <w:tab/>
        <w:t>General Counsel Mister Car Wash, Inc. 222 E. 5th</w:t>
      </w:r>
    </w:p>
    <w:p>
      <w:pPr>
        <w:ind w:left="3000"/>
        <w:spacing w:after="0" w:line="238" w:lineRule="auto"/>
        <w:rPr>
          <w:sz w:val="20"/>
          <w:szCs w:val="20"/>
          <w:color w:val="auto"/>
        </w:rPr>
      </w:pPr>
      <w:r>
        <w:rPr>
          <w:rFonts w:ascii="Calibri" w:cs="Calibri" w:eastAsia="Calibri" w:hAnsi="Calibri"/>
          <w:sz w:val="20"/>
          <w:szCs w:val="20"/>
          <w:color w:val="auto"/>
        </w:rPr>
        <w:t>Street Tucson, Arizona 85705</w:t>
      </w:r>
    </w:p>
    <w:p>
      <w:pPr>
        <w:ind w:left="3000"/>
        <w:spacing w:after="0"/>
        <w:rPr>
          <w:sz w:val="20"/>
          <w:szCs w:val="20"/>
          <w:color w:val="auto"/>
        </w:rPr>
      </w:pPr>
      <w:r>
        <w:rPr>
          <w:rFonts w:ascii="Calibri" w:cs="Calibri" w:eastAsia="Calibri" w:hAnsi="Calibri"/>
          <w:sz w:val="20"/>
          <w:szCs w:val="20"/>
          <w:color w:val="auto"/>
        </w:rPr>
        <w:t>(520) 615-4000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779780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59"/>
          </w:cols>
          <w:pgMar w:left="120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Calibri" w:cs="Calibri" w:eastAsia="Calibri" w:hAnsi="Calibri"/>
          <w:sz w:val="22"/>
          <w:szCs w:val="22"/>
          <w:u w:val="single" w:color="auto"/>
          <w:color w:val="auto"/>
        </w:rPr>
        <w:t>Appendix A</w:t>
      </w:r>
    </w:p>
    <w:p>
      <w:pPr>
        <w:spacing w:after="0" w:line="303"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Whenever used in this Plan, the following terms shall have the meanings set forth below:</w:t>
      </w:r>
    </w:p>
    <w:p>
      <w:pPr>
        <w:spacing w:after="0" w:line="292" w:lineRule="exact"/>
        <w:rPr>
          <w:sz w:val="20"/>
          <w:szCs w:val="20"/>
          <w:color w:val="auto"/>
        </w:rPr>
      </w:pPr>
    </w:p>
    <w:p>
      <w:pPr>
        <w:ind w:left="20" w:right="22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Base Salary Rate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the Partcipant’s annual base salary rate in efect immediately prior to the Partcipant’s Terminaton of</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Employment.</w:t>
      </w:r>
    </w:p>
    <w:p>
      <w:pPr>
        <w:spacing w:after="0" w:line="266" w:lineRule="exact"/>
        <w:rPr>
          <w:sz w:val="20"/>
          <w:szCs w:val="20"/>
          <w:color w:val="auto"/>
        </w:rPr>
      </w:pPr>
    </w:p>
    <w:p>
      <w:pPr>
        <w:ind w:left="20" w:right="200"/>
        <w:spacing w:after="0" w:line="236"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Cause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has the meaning provided therefor in a writen employment agreement between the Partcipant and any member of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Company Group in efect at the applicable tme, if any, or, if the Partcipant is not at the tme party to an efectve employment agreement with a “Cause” defniton, then “Cause” means any of the following:</w:t>
      </w:r>
    </w:p>
    <w:p>
      <w:pPr>
        <w:spacing w:after="0" w:line="9" w:lineRule="exact"/>
        <w:rPr>
          <w:sz w:val="20"/>
          <w:szCs w:val="20"/>
          <w:color w:val="auto"/>
        </w:rPr>
      </w:pPr>
    </w:p>
    <w:p>
      <w:pPr>
        <w:ind w:right="240" w:firstLine="749"/>
        <w:spacing w:after="0" w:line="236" w:lineRule="auto"/>
        <w:rPr>
          <w:sz w:val="20"/>
          <w:szCs w:val="20"/>
          <w:color w:val="auto"/>
        </w:rPr>
      </w:pPr>
      <w:r>
        <w:rPr>
          <w:rFonts w:ascii="Calibri" w:cs="Calibri" w:eastAsia="Calibri" w:hAnsi="Calibri"/>
          <w:sz w:val="20"/>
          <w:szCs w:val="20"/>
          <w:color w:val="auto"/>
        </w:rPr>
        <w:t xml:space="preserve">(a)commission of, convicton of, or entry of a plea by the Partcipant of </w:t>
      </w:r>
      <w:r>
        <w:rPr>
          <w:rFonts w:ascii="Calibri" w:cs="Calibri" w:eastAsia="Calibri" w:hAnsi="Calibri"/>
          <w:sz w:val="20"/>
          <w:szCs w:val="20"/>
          <w:i w:val="1"/>
          <w:iCs w:val="1"/>
          <w:color w:val="auto"/>
        </w:rPr>
        <w:t>nolo contendere</w:t>
      </w:r>
      <w:r>
        <w:rPr>
          <w:rFonts w:ascii="Calibri" w:cs="Calibri" w:eastAsia="Calibri" w:hAnsi="Calibri"/>
          <w:sz w:val="20"/>
          <w:szCs w:val="20"/>
          <w:color w:val="auto"/>
        </w:rPr>
        <w:t xml:space="preserve"> to a felony that is materially detrimental to the Company Group, its reputaton, or its respectve stockholders; (b) malfeasance, willful or gross misconduct, or willful dishonesty of the Partcipant that materially and adversely afects the business or afairs of the Company Group, its reputaton, or its respectve stockholders;</w:t>
      </w:r>
    </w:p>
    <w:p>
      <w:pPr>
        <w:spacing w:after="0" w:line="12" w:lineRule="exact"/>
        <w:rPr>
          <w:sz w:val="20"/>
          <w:szCs w:val="20"/>
          <w:color w:val="auto"/>
        </w:rPr>
      </w:pPr>
    </w:p>
    <w:p>
      <w:pPr>
        <w:ind w:left="20" w:firstLine="741"/>
        <w:spacing w:after="0" w:line="236" w:lineRule="auto"/>
        <w:tabs>
          <w:tab w:leader="none" w:pos="1023" w:val="left"/>
        </w:tabs>
        <w:numPr>
          <w:ilvl w:val="0"/>
          <w:numId w:val="28"/>
        </w:numPr>
        <w:rPr>
          <w:rFonts w:ascii="Calibri" w:cs="Calibri" w:eastAsia="Calibri" w:hAnsi="Calibri"/>
          <w:sz w:val="20"/>
          <w:szCs w:val="20"/>
          <w:color w:val="auto"/>
        </w:rPr>
      </w:pPr>
      <w:r>
        <w:rPr>
          <w:rFonts w:ascii="Calibri" w:cs="Calibri" w:eastAsia="Calibri" w:hAnsi="Calibri"/>
          <w:sz w:val="20"/>
          <w:szCs w:val="20"/>
          <w:color w:val="auto"/>
        </w:rPr>
        <w:t xml:space="preserve">convicton of or entry of a plea by the Partcipant of </w:t>
      </w:r>
      <w:r>
        <w:rPr>
          <w:rFonts w:ascii="Calibri" w:cs="Calibri" w:eastAsia="Calibri" w:hAnsi="Calibri"/>
          <w:sz w:val="20"/>
          <w:szCs w:val="20"/>
          <w:i w:val="1"/>
          <w:iCs w:val="1"/>
          <w:color w:val="auto"/>
        </w:rPr>
        <w:t>nolo contendere</w:t>
      </w:r>
      <w:r>
        <w:rPr>
          <w:rFonts w:ascii="Calibri" w:cs="Calibri" w:eastAsia="Calibri" w:hAnsi="Calibri"/>
          <w:sz w:val="20"/>
          <w:szCs w:val="20"/>
          <w:color w:val="auto"/>
        </w:rPr>
        <w:t xml:space="preserve"> to a crime involving fraud; (d) material violaton by the Partcipant of the ethics/policy code of the Company Group, including breach of duty of loyalty to the Company or any other member of the Company Group;</w:t>
      </w:r>
    </w:p>
    <w:p>
      <w:pPr>
        <w:spacing w:after="0" w:line="8" w:lineRule="exact"/>
        <w:rPr>
          <w:rFonts w:ascii="Calibri" w:cs="Calibri" w:eastAsia="Calibri" w:hAnsi="Calibri"/>
          <w:sz w:val="20"/>
          <w:szCs w:val="20"/>
          <w:color w:val="auto"/>
        </w:rPr>
      </w:pPr>
    </w:p>
    <w:p>
      <w:pPr>
        <w:ind w:right="240" w:firstLine="749"/>
        <w:spacing w:after="0" w:line="236" w:lineRule="auto"/>
        <w:rPr>
          <w:rFonts w:ascii="Calibri" w:cs="Calibri" w:eastAsia="Calibri" w:hAnsi="Calibri"/>
          <w:sz w:val="20"/>
          <w:szCs w:val="20"/>
          <w:color w:val="auto"/>
        </w:rPr>
      </w:pPr>
      <w:r>
        <w:rPr>
          <w:rFonts w:ascii="Calibri" w:cs="Calibri" w:eastAsia="Calibri" w:hAnsi="Calibri"/>
          <w:sz w:val="20"/>
          <w:szCs w:val="20"/>
          <w:color w:val="auto"/>
        </w:rPr>
        <w:t>(e)willful failure by the Partcipant to perform his dutes and responsibilites hereunder or under any employment agreement between the Partcipant and any member of the Company Group, which failure has not been cured by the Partcipant within ffeen (15) days afer writen notce thereof to the Partcipant from the Company;</w:t>
      </w:r>
    </w:p>
    <w:p>
      <w:pPr>
        <w:spacing w:after="0" w:line="8" w:lineRule="exact"/>
        <w:rPr>
          <w:rFonts w:ascii="Calibri" w:cs="Calibri" w:eastAsia="Calibri" w:hAnsi="Calibri"/>
          <w:sz w:val="20"/>
          <w:szCs w:val="20"/>
          <w:color w:val="auto"/>
        </w:rPr>
      </w:pPr>
    </w:p>
    <w:p>
      <w:pPr>
        <w:ind w:firstLine="749"/>
        <w:spacing w:after="0" w:line="236" w:lineRule="auto"/>
        <w:rPr>
          <w:rFonts w:ascii="Calibri" w:cs="Calibri" w:eastAsia="Calibri" w:hAnsi="Calibri"/>
          <w:sz w:val="20"/>
          <w:szCs w:val="20"/>
          <w:color w:val="auto"/>
        </w:rPr>
      </w:pPr>
      <w:r>
        <w:rPr>
          <w:rFonts w:ascii="Calibri" w:cs="Calibri" w:eastAsia="Calibri" w:hAnsi="Calibri"/>
          <w:sz w:val="20"/>
          <w:szCs w:val="20"/>
          <w:color w:val="auto"/>
        </w:rPr>
        <w:t>(f)inappropriate use or disclosure by the Partcipant of Proprietary Informaton in violaton of any employment agreement, stockholders agreement or any other writen agreement between the Partcipant and any member of the Company Group that adversely afects the business or the afairs of the Company Group in a material way; or</w:t>
      </w:r>
    </w:p>
    <w:p>
      <w:pPr>
        <w:spacing w:after="0" w:line="8" w:lineRule="exact"/>
        <w:rPr>
          <w:rFonts w:ascii="Calibri" w:cs="Calibri" w:eastAsia="Calibri" w:hAnsi="Calibri"/>
          <w:sz w:val="20"/>
          <w:szCs w:val="20"/>
          <w:color w:val="auto"/>
        </w:rPr>
      </w:pPr>
    </w:p>
    <w:p>
      <w:pPr>
        <w:ind w:right="180" w:firstLine="749"/>
        <w:spacing w:after="0" w:line="236" w:lineRule="auto"/>
        <w:rPr>
          <w:rFonts w:ascii="Calibri" w:cs="Calibri" w:eastAsia="Calibri" w:hAnsi="Calibri"/>
          <w:sz w:val="20"/>
          <w:szCs w:val="20"/>
          <w:color w:val="auto"/>
        </w:rPr>
      </w:pPr>
      <w:r>
        <w:rPr>
          <w:rFonts w:ascii="Calibri" w:cs="Calibri" w:eastAsia="Calibri" w:hAnsi="Calibri"/>
          <w:sz w:val="20"/>
          <w:szCs w:val="20"/>
          <w:color w:val="auto"/>
        </w:rPr>
        <w:t>(g)material breach by the Partcipant not caused by the Company Group of any terms and conditons of any employment agreement, stockholders agreement or any other writen agreement between the Partcipant and any member of the Company Group, which breach has not been cured by the Partcipant within ffeen (15) days afer writen notce thereof to the Partcipant from the Company or any other member of the Company Group.</w:t>
      </w:r>
    </w:p>
    <w:p>
      <w:pPr>
        <w:spacing w:after="0" w:line="268" w:lineRule="exact"/>
        <w:rPr>
          <w:sz w:val="20"/>
          <w:szCs w:val="20"/>
          <w:color w:val="auto"/>
        </w:rPr>
      </w:pPr>
    </w:p>
    <w:p>
      <w:pPr>
        <w:ind w:left="20" w:right="18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Change in Control</w:t>
      </w:r>
      <w:r>
        <w:rPr>
          <w:rFonts w:ascii="Calibri" w:cs="Calibri" w:eastAsia="Calibri" w:hAnsi="Calibri"/>
          <w:sz w:val="20"/>
          <w:szCs w:val="20"/>
          <w:i w:val="1"/>
          <w:iCs w:val="1"/>
          <w:color w:val="auto"/>
        </w:rPr>
        <w:t xml:space="preserve">”, </w:t>
      </w:r>
      <w:r>
        <w:rPr>
          <w:rFonts w:ascii="Calibri" w:cs="Calibri" w:eastAsia="Calibri" w:hAnsi="Calibri"/>
          <w:sz w:val="20"/>
          <w:szCs w:val="20"/>
          <w:b w:val="1"/>
          <w:bCs w:val="1"/>
          <w:i w:val="1"/>
          <w:iCs w:val="1"/>
          <w:color w:val="auto"/>
        </w:rPr>
        <w:t>“CIC”</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has the meaning given in the Company’s 2021 Incentve Award Plan, as may be amended from tme to</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tme, or any successor plan thereto.</w:t>
      </w: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CIC Severance Multplier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with respect to any Partcipant, the applicable CIC Severance Multplier set forth on</w:t>
      </w:r>
      <w:r>
        <w:rPr>
          <w:rFonts w:ascii="Calibri" w:cs="Calibri" w:eastAsia="Calibri" w:hAnsi="Calibri"/>
          <w:sz w:val="20"/>
          <w:szCs w:val="20"/>
          <w:i w:val="1"/>
          <w:iCs w:val="1"/>
          <w:color w:val="auto"/>
        </w:rPr>
        <w:t xml:space="preserve"> </w:t>
      </w:r>
      <w:r>
        <w:rPr>
          <w:rFonts w:ascii="Calibri" w:cs="Calibri" w:eastAsia="Calibri" w:hAnsi="Calibri"/>
          <w:sz w:val="20"/>
          <w:szCs w:val="20"/>
          <w:u w:val="single" w:color="auto"/>
          <w:color w:val="auto"/>
        </w:rPr>
        <w:t>Appendix B</w:t>
      </w:r>
      <w:r>
        <w:rPr>
          <w:rFonts w:ascii="Calibri" w:cs="Calibri" w:eastAsia="Calibri" w:hAnsi="Calibri"/>
          <w:sz w:val="20"/>
          <w:szCs w:val="20"/>
          <w:color w:val="auto"/>
        </w:rPr>
        <w:t>.</w:t>
      </w:r>
    </w:p>
    <w:p>
      <w:pPr>
        <w:spacing w:after="0" w:line="279" w:lineRule="exact"/>
        <w:rPr>
          <w:sz w:val="20"/>
          <w:szCs w:val="20"/>
          <w:color w:val="auto"/>
        </w:rPr>
      </w:pPr>
    </w:p>
    <w:p>
      <w:pPr>
        <w:ind w:left="20" w:right="54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CIC Severance Payment</w:t>
      </w:r>
      <w:r>
        <w:rPr>
          <w:rFonts w:ascii="Calibri" w:cs="Calibri" w:eastAsia="Calibri" w:hAnsi="Calibri"/>
          <w:sz w:val="20"/>
          <w:szCs w:val="20"/>
          <w:color w:val="auto"/>
        </w:rPr>
        <w:t>” means, with respect to any Partcipant, the sum of (x) the Partcipant’s Base Salary Rate and (y) the Partcipant’s target annual bonus for the year in which such Partcipant’s Terminaton of Employment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917575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440" w:right="619" w:bottom="1440" w:gutter="0" w:footer="0" w:header="0"/>
        </w:sectPr>
      </w:pPr>
    </w:p>
    <w:bookmarkStart w:id="90" w:name="page91"/>
    <w:bookmarkEnd w:id="90"/>
    <w:p>
      <w:pPr>
        <w:spacing w:after="0" w:line="200" w:lineRule="exact"/>
        <w:rPr>
          <w:sz w:val="20"/>
          <w:szCs w:val="20"/>
          <w:color w:val="auto"/>
        </w:rPr>
      </w:pPr>
    </w:p>
    <w:p>
      <w:pPr>
        <w:spacing w:after="0" w:line="231" w:lineRule="exact"/>
        <w:rPr>
          <w:sz w:val="20"/>
          <w:szCs w:val="20"/>
          <w:color w:val="auto"/>
        </w:rPr>
      </w:pPr>
    </w:p>
    <w:p>
      <w:pPr>
        <w:ind w:right="70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COBRA</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the Consolidated Omnibus Budget Reconciliaton Act of 1985, as amended, and the regulatons promulgated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thereunder.</w:t>
      </w:r>
    </w:p>
    <w:p>
      <w:pPr>
        <w:spacing w:after="0" w:line="266"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Code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the Internal Revenue Code of 1986, as amended, or any successor thereto and any applicable regulatons (including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proposed or temporary regulatons) and other Internal Revenue Service guidance promulgated thereunder.</w:t>
      </w:r>
    </w:p>
    <w:p>
      <w:pPr>
        <w:spacing w:after="0" w:line="266" w:lineRule="exact"/>
        <w:rPr>
          <w:sz w:val="20"/>
          <w:szCs w:val="20"/>
          <w:color w:val="auto"/>
        </w:rPr>
      </w:pPr>
    </w:p>
    <w:p>
      <w:pPr>
        <w:jc w:val="both"/>
        <w:ind w:right="220"/>
        <w:spacing w:after="0" w:line="236"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Commitee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the commitee whose members are the Company’s Chief People Ofcer, the Company’s Chief Financial Ofcer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and the Company’s General Counsel; provided that, if any Commitee member must recuse themselves with respect to a claim, the Company’s Chief Executve Ofcer shall serve as the alternate member.</w:t>
      </w:r>
    </w:p>
    <w:p>
      <w:pPr>
        <w:spacing w:after="0" w:line="279"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Company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Mister Car Wash, Inc., and, following a Change in Control, a Successor that agrees to assume all of the terms and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provisions of this Plan or a Successor which otherwise becomes bound by operaton of law to this Plan.</w:t>
      </w:r>
    </w:p>
    <w:p>
      <w:pPr>
        <w:spacing w:after="0" w:line="266" w:lineRule="exact"/>
        <w:rPr>
          <w:sz w:val="20"/>
          <w:szCs w:val="20"/>
          <w:color w:val="auto"/>
        </w:rPr>
      </w:pPr>
    </w:p>
    <w:p>
      <w:pPr>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Company Group</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the group consistng of the Company and each present or future parent and subsidiary corporaton or other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business entty thereof.</w:t>
      </w:r>
    </w:p>
    <w:p>
      <w:pPr>
        <w:spacing w:after="0" w:line="266" w:lineRule="exact"/>
        <w:rPr>
          <w:sz w:val="20"/>
          <w:szCs w:val="20"/>
          <w:color w:val="auto"/>
        </w:rPr>
      </w:pPr>
    </w:p>
    <w:p>
      <w:pPr>
        <w:ind w:right="200"/>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Disability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that the Partcipant has become enttled to receive benefts under an applicable Company long-term disability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plan or, if no such plan covers the Partcipant, that the Commitee has made a good faith determinaton that the Partcipant has become physically or mentally incapacitated or disabled such that the Partcipant is unable to perform for the Company substantally the same services as the Partcipant performed prior to incurring such incapacity or disability, and such incapacity or disability exists for an aggregate of four (4) calendar months in any twelve (12) month period. In connecton with making such determinaton, the Company, at its opton and expense, shall be enttled to select and retain a physician to confrm the existence of such incapacity or disability, and the determinaton made by such physician shall be binding on the partes for the purposes of this Plan.</w:t>
      </w:r>
    </w:p>
    <w:p>
      <w:pPr>
        <w:spacing w:after="0" w:line="200" w:lineRule="exact"/>
        <w:rPr>
          <w:sz w:val="20"/>
          <w:szCs w:val="20"/>
          <w:color w:val="auto"/>
        </w:rPr>
      </w:pPr>
    </w:p>
    <w:p>
      <w:pPr>
        <w:spacing w:after="0" w:line="305"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Equity Award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a Company equity-based award granted under any equity-based incentve plan of the Company, including,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but not limited to, the Company’s 2021 Incentve Award Plan, as may be amended from tme to tme.</w:t>
      </w:r>
    </w:p>
    <w:p>
      <w:pPr>
        <w:spacing w:after="0" w:line="266"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Good Reason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the occurrence of any of the following conditons without the Partcipant’s consent unless the Company fully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corrects the circumstances consttutng Good Reason on or prior to the applicable cure period noted below:</w:t>
      </w:r>
    </w:p>
    <w:p>
      <w:pPr>
        <w:spacing w:after="0" w:line="10" w:lineRule="exact"/>
        <w:rPr>
          <w:sz w:val="20"/>
          <w:szCs w:val="20"/>
          <w:color w:val="auto"/>
        </w:rPr>
      </w:pPr>
    </w:p>
    <w:p>
      <w:pPr>
        <w:ind w:left="740" w:right="120" w:hanging="378"/>
        <w:spacing w:after="0" w:line="236" w:lineRule="auto"/>
        <w:tabs>
          <w:tab w:leader="none" w:pos="740"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a material diminuton in the Partcipant’s positon, authority, dutes or responsibilites, excluding for this purpose any isolated, insubstantal or inadvertent actons not taken in bad faith and which are remedied by the Company promptly afer receipt of notce thereof given by the Partcipant; or</w:t>
      </w:r>
    </w:p>
    <w:p>
      <w:pPr>
        <w:spacing w:after="0" w:line="197" w:lineRule="exact"/>
        <w:rPr>
          <w:rFonts w:ascii="Calibri" w:cs="Calibri" w:eastAsia="Calibri" w:hAnsi="Calibri"/>
          <w:sz w:val="20"/>
          <w:szCs w:val="20"/>
          <w:color w:val="auto"/>
        </w:rPr>
      </w:pPr>
    </w:p>
    <w:p>
      <w:pPr>
        <w:ind w:left="720" w:right="700" w:hanging="358"/>
        <w:spacing w:after="0" w:line="236" w:lineRule="auto"/>
        <w:tabs>
          <w:tab w:leader="none" w:pos="720" w:val="left"/>
        </w:tabs>
        <w:numPr>
          <w:ilvl w:val="0"/>
          <w:numId w:val="29"/>
        </w:numPr>
        <w:rPr>
          <w:rFonts w:ascii="Calibri" w:cs="Calibri" w:eastAsia="Calibri" w:hAnsi="Calibri"/>
          <w:sz w:val="20"/>
          <w:szCs w:val="20"/>
          <w:color w:val="auto"/>
        </w:rPr>
      </w:pPr>
      <w:r>
        <w:rPr>
          <w:rFonts w:ascii="Calibri" w:cs="Calibri" w:eastAsia="Calibri" w:hAnsi="Calibri"/>
          <w:sz w:val="20"/>
          <w:szCs w:val="20"/>
          <w:color w:val="auto"/>
        </w:rPr>
        <w:t>a material reducton in the Partcipant’s base salary, as the same may be increased from tme to tme (other than in connecton with across-the-board base salary reductons of all or substantally all similarly situated employees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779780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440" w:right="439" w:bottom="1440" w:gutter="0" w:footer="0" w:header="0"/>
        </w:sectPr>
      </w:pPr>
    </w:p>
    <w:bookmarkStart w:id="91" w:name="page92"/>
    <w:bookmarkEnd w:id="91"/>
    <w:p>
      <w:pPr>
        <w:spacing w:after="0" w:line="200" w:lineRule="exact"/>
        <w:rPr>
          <w:sz w:val="20"/>
          <w:szCs w:val="20"/>
          <w:color w:val="auto"/>
        </w:rPr>
      </w:pPr>
    </w:p>
    <w:p>
      <w:pPr>
        <w:spacing w:after="0" w:line="231" w:lineRule="exact"/>
        <w:rPr>
          <w:sz w:val="20"/>
          <w:szCs w:val="20"/>
          <w:color w:val="auto"/>
        </w:rPr>
      </w:pPr>
    </w:p>
    <w:p>
      <w:pPr>
        <w:ind w:left="740" w:hanging="358"/>
        <w:spacing w:after="0" w:line="234" w:lineRule="auto"/>
        <w:tabs>
          <w:tab w:leader="none" w:pos="74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a material change in the geographic locaton of the Partcipant’s principal locaton as of the date hereof, which shall, in any event, include only a relocaton of more than ffy (50) miles from such principal locaton.</w:t>
      </w:r>
    </w:p>
    <w:p>
      <w:pPr>
        <w:spacing w:after="0" w:line="108"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Notwithstanding the foregoing, the Partcipant will not be deemed to have resigned for Good Reason unless</w:t>
      </w:r>
    </w:p>
    <w:p>
      <w:pPr>
        <w:spacing w:after="0" w:line="9" w:lineRule="exact"/>
        <w:rPr>
          <w:sz w:val="20"/>
          <w:szCs w:val="20"/>
          <w:color w:val="auto"/>
        </w:rPr>
      </w:pPr>
    </w:p>
    <w:p>
      <w:pPr>
        <w:jc w:val="both"/>
        <w:ind w:right="80" w:firstLine="749"/>
        <w:spacing w:after="0" w:line="236" w:lineRule="auto"/>
        <w:rPr>
          <w:sz w:val="20"/>
          <w:szCs w:val="20"/>
          <w:color w:val="auto"/>
        </w:rPr>
      </w:pPr>
      <w:r>
        <w:rPr>
          <w:rFonts w:ascii="Calibri" w:cs="Calibri" w:eastAsia="Calibri" w:hAnsi="Calibri"/>
          <w:sz w:val="20"/>
          <w:szCs w:val="20"/>
          <w:color w:val="auto"/>
        </w:rPr>
        <w:t>(1)the Partcipant provides the Company with writen notce setng forth in reasonable detail the facts and circumstances claimed by the Partcipant to consttute Good Reason within thirty (30) days afer the date of the occurrence of any event that the Partcipant knows or should reasonably have known to consttute Good Reason,</w:t>
      </w:r>
    </w:p>
    <w:p>
      <w:pPr>
        <w:ind w:left="760"/>
        <w:spacing w:after="0"/>
        <w:rPr>
          <w:sz w:val="20"/>
          <w:szCs w:val="20"/>
          <w:color w:val="auto"/>
        </w:rPr>
      </w:pPr>
      <w:r>
        <w:rPr>
          <w:rFonts w:ascii="Calibri" w:cs="Calibri" w:eastAsia="Calibri" w:hAnsi="Calibri"/>
          <w:sz w:val="20"/>
          <w:szCs w:val="20"/>
          <w:color w:val="auto"/>
        </w:rPr>
        <w:t>(2)the Company fails to cure such acts or omissions within thirty (30) days following its receipt of such notce, and</w:t>
      </w:r>
    </w:p>
    <w:p>
      <w:pPr>
        <w:spacing w:after="0" w:line="8" w:lineRule="exact"/>
        <w:rPr>
          <w:sz w:val="20"/>
          <w:szCs w:val="20"/>
          <w:color w:val="auto"/>
        </w:rPr>
      </w:pPr>
    </w:p>
    <w:p>
      <w:pPr>
        <w:ind w:right="620" w:firstLine="749"/>
        <w:spacing w:after="0" w:line="234" w:lineRule="auto"/>
        <w:rPr>
          <w:sz w:val="20"/>
          <w:szCs w:val="20"/>
          <w:color w:val="auto"/>
        </w:rPr>
      </w:pPr>
      <w:r>
        <w:rPr>
          <w:rFonts w:ascii="Calibri" w:cs="Calibri" w:eastAsia="Calibri" w:hAnsi="Calibri"/>
          <w:sz w:val="20"/>
          <w:szCs w:val="20"/>
          <w:color w:val="auto"/>
        </w:rPr>
        <w:t>(3)the efectve date of the Partcipant’s terminaton for Good Reason occurs no later than thirty (30) days afer the expiraton of the Company’s cure period.</w:t>
      </w: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Partcipant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each individual who listed on</w:t>
      </w:r>
      <w:r>
        <w:rPr>
          <w:rFonts w:ascii="Calibri" w:cs="Calibri" w:eastAsia="Calibri" w:hAnsi="Calibri"/>
          <w:sz w:val="20"/>
          <w:szCs w:val="20"/>
          <w:i w:val="1"/>
          <w:iCs w:val="1"/>
          <w:color w:val="auto"/>
        </w:rPr>
        <w:t xml:space="preserve"> </w:t>
      </w:r>
      <w:r>
        <w:rPr>
          <w:rFonts w:ascii="Calibri" w:cs="Calibri" w:eastAsia="Calibri" w:hAnsi="Calibri"/>
          <w:sz w:val="20"/>
          <w:szCs w:val="20"/>
          <w:u w:val="single" w:color="auto"/>
          <w:color w:val="auto"/>
        </w:rPr>
        <w:t>Appendix B</w:t>
      </w:r>
      <w:r>
        <w:rPr>
          <w:rFonts w:ascii="Calibri" w:cs="Calibri" w:eastAsia="Calibri" w:hAnsi="Calibri"/>
          <w:sz w:val="20"/>
          <w:szCs w:val="20"/>
          <w:color w:val="auto"/>
        </w:rPr>
        <w:t>.</w:t>
      </w:r>
    </w:p>
    <w:p>
      <w:pPr>
        <w:spacing w:after="0" w:line="292" w:lineRule="exact"/>
        <w:rPr>
          <w:sz w:val="20"/>
          <w:szCs w:val="20"/>
          <w:color w:val="auto"/>
        </w:rPr>
      </w:pPr>
    </w:p>
    <w:p>
      <w:pPr>
        <w:ind w:left="20" w:right="2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Protecton Period</w:t>
      </w:r>
      <w:r>
        <w:rPr>
          <w:rFonts w:ascii="Calibri" w:cs="Calibri" w:eastAsia="Calibri" w:hAnsi="Calibri"/>
          <w:sz w:val="20"/>
          <w:szCs w:val="20"/>
          <w:color w:val="auto"/>
        </w:rPr>
        <w:t>” means the period beginning six (6) months prior to the date of the consummaton of the Change in Control and ending on the twenty-four (24)-month anniversary of such Change in Control.</w:t>
      </w:r>
    </w:p>
    <w:p>
      <w:pPr>
        <w:spacing w:after="0" w:line="266" w:lineRule="exact"/>
        <w:rPr>
          <w:sz w:val="20"/>
          <w:szCs w:val="20"/>
          <w:color w:val="auto"/>
        </w:rPr>
      </w:pPr>
    </w:p>
    <w:p>
      <w:pPr>
        <w:ind w:left="20" w:right="40"/>
        <w:spacing w:after="0" w:line="236"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Release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a general release of all known and unknown claims against the Company and its afliates and their stockholders,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directors, ofcers, employees, agents, successors and assigns in the Company’s then-applicable form (which, for the avoidance of doubt, will not contain any restrictve covenants that are in excess of those to which the applicable Partcipant was subject as of his or her Terminaton of Employment).</w:t>
      </w:r>
    </w:p>
    <w:p>
      <w:pPr>
        <w:spacing w:after="0" w:line="282" w:lineRule="exact"/>
        <w:rPr>
          <w:sz w:val="20"/>
          <w:szCs w:val="20"/>
          <w:color w:val="auto"/>
        </w:rPr>
      </w:pPr>
    </w:p>
    <w:p>
      <w:pPr>
        <w:ind w:left="20" w:right="4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Release Deadline</w:t>
      </w:r>
      <w:r>
        <w:rPr>
          <w:rFonts w:ascii="Calibri" w:cs="Calibri" w:eastAsia="Calibri" w:hAnsi="Calibri"/>
          <w:sz w:val="20"/>
          <w:szCs w:val="20"/>
          <w:color w:val="auto"/>
        </w:rPr>
        <w:t>” means the date which is twenty-one (21) days following the Partcipant’s Terminaton of Employment (or forty-fve (45) days if necessary to comply with applicable law).</w:t>
      </w:r>
    </w:p>
    <w:p>
      <w:pPr>
        <w:spacing w:after="0" w:line="257"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Secton 409A</w:t>
      </w:r>
      <w:r>
        <w:rPr>
          <w:rFonts w:ascii="Calibri" w:cs="Calibri" w:eastAsia="Calibri" w:hAnsi="Calibri"/>
          <w:sz w:val="20"/>
          <w:szCs w:val="20"/>
          <w:color w:val="auto"/>
        </w:rPr>
        <w:t>” means Secton 409A of the Code and the Treasury Regulatons promulgated thereunder.</w:t>
      </w:r>
    </w:p>
    <w:p>
      <w:pPr>
        <w:spacing w:after="0" w:line="282" w:lineRule="exact"/>
        <w:rPr>
          <w:sz w:val="20"/>
          <w:szCs w:val="20"/>
          <w:color w:val="auto"/>
        </w:rPr>
      </w:pPr>
    </w:p>
    <w:p>
      <w:pPr>
        <w:ind w:left="20"/>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Separaton from Service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a “separaton from service” as defned in Secton 409A.</w:t>
      </w:r>
    </w:p>
    <w:p>
      <w:pPr>
        <w:spacing w:after="0" w:line="292" w:lineRule="exact"/>
        <w:rPr>
          <w:sz w:val="20"/>
          <w:szCs w:val="20"/>
          <w:color w:val="auto"/>
        </w:rPr>
      </w:pPr>
    </w:p>
    <w:p>
      <w:pPr>
        <w:ind w:left="20" w:right="140" w:hanging="1"/>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Severance Payment</w:t>
      </w:r>
      <w:r>
        <w:rPr>
          <w:rFonts w:ascii="Calibri" w:cs="Calibri" w:eastAsia="Calibri" w:hAnsi="Calibri"/>
          <w:sz w:val="20"/>
          <w:szCs w:val="20"/>
          <w:color w:val="auto"/>
        </w:rPr>
        <w:t>” means, with respect to any Partcipant, (A) if such Partcipant is the Company’s Chief Executve Ofcer, 1.5x the Partcipant’s Base Salary Rate, (B) if such Partcipant is the Company’s Chief Financial Ofcer, 1.5x the Partcipant’s Base Salary Rate and (C) with respect to any other Partcipant Chief People Ofcer, Chief Operatng Ofcer, Chief Innovaton Ofcer and the General Counsel, 1x the Partcipant’s Base Salary Rate.</w:t>
      </w:r>
    </w:p>
    <w:p>
      <w:pPr>
        <w:spacing w:after="0" w:line="191" w:lineRule="exact"/>
        <w:rPr>
          <w:sz w:val="20"/>
          <w:szCs w:val="20"/>
          <w:color w:val="auto"/>
        </w:rPr>
      </w:pPr>
    </w:p>
    <w:p>
      <w:pPr>
        <w:ind w:left="20"/>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Severance Period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shall, with respect to any Partcipant, commence upon such Partcipant’s Terminaton of Employment and end</w:t>
      </w:r>
    </w:p>
    <w:p>
      <w:pPr>
        <w:ind w:left="300" w:hanging="288"/>
        <w:spacing w:after="0" w:line="238" w:lineRule="auto"/>
        <w:tabs>
          <w:tab w:leader="none" w:pos="30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if such Partcipant is the Company’s Chief Executve Ofcer or Chief Financial Ofcer, afer a period of eighteen (18) months and</w:t>
      </w:r>
    </w:p>
    <w:p>
      <w:pPr>
        <w:ind w:left="300" w:hanging="288"/>
        <w:spacing w:after="0" w:line="238" w:lineRule="auto"/>
        <w:tabs>
          <w:tab w:leader="none" w:pos="30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with respect to any other Partcipant, afer a period of twelve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925830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440" w:right="619" w:bottom="1440" w:gutter="0" w:footer="0" w:header="0"/>
        </w:sectPr>
      </w:pPr>
    </w:p>
    <w:bookmarkStart w:id="92" w:name="page93"/>
    <w:bookmarkEnd w:id="92"/>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Specifed Employee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a specifed employee of the Company as defned in Secton 409A.</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Successor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means any successor in interest to substantally all of the business and/or assets of the Company.</w:t>
      </w:r>
    </w:p>
    <w:p>
      <w:pPr>
        <w:spacing w:after="0" w:line="279"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Terminaton of Employment</w:t>
      </w:r>
      <w:r>
        <w:rPr>
          <w:rFonts w:ascii="Calibri" w:cs="Calibri" w:eastAsia="Calibri" w:hAnsi="Calibri"/>
          <w:sz w:val="20"/>
          <w:szCs w:val="20"/>
          <w:color w:val="auto"/>
        </w:rPr>
        <w:t>” means the terminaton of the applicable Partcipant’s employment with, or performance of services for,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780415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60" w:top="1440" w:right="69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2"/>
          <w:szCs w:val="22"/>
          <w:u w:val="single" w:color="auto"/>
          <w:color w:val="auto"/>
        </w:rPr>
        <w:t>Appendix B</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60" w:type="dxa"/>
            <w:vAlign w:val="bottom"/>
            <w:tcBorders>
              <w:right w:val="single" w:sz="8" w:color="auto"/>
            </w:tcBorders>
          </w:tcPr>
          <w:p>
            <w:pPr>
              <w:spacing w:after="0"/>
              <w:rPr>
                <w:sz w:val="24"/>
                <w:szCs w:val="24"/>
                <w:color w:val="auto"/>
              </w:rPr>
            </w:pPr>
          </w:p>
        </w:tc>
        <w:tc>
          <w:tcPr>
            <w:tcW w:w="3060" w:type="dxa"/>
            <w:vAlign w:val="bottom"/>
            <w:tcBorders>
              <w:top w:val="single" w:sz="8" w:color="auto"/>
              <w:right w:val="single" w:sz="8" w:color="auto"/>
            </w:tcBorders>
            <w:shd w:val="clear" w:color="auto" w:fill="B4C5E7"/>
          </w:tcPr>
          <w:p>
            <w:pPr>
              <w:ind w:left="20"/>
              <w:spacing w:after="0"/>
              <w:rPr>
                <w:sz w:val="20"/>
                <w:szCs w:val="20"/>
                <w:color w:val="auto"/>
              </w:rPr>
            </w:pPr>
            <w:r>
              <w:rPr>
                <w:rFonts w:ascii="Calibri" w:cs="Calibri" w:eastAsia="Calibri" w:hAnsi="Calibri"/>
                <w:sz w:val="22"/>
                <w:szCs w:val="22"/>
                <w:b w:val="1"/>
                <w:bCs w:val="1"/>
                <w:color w:val="auto"/>
              </w:rPr>
              <w:t>Partcipant</w:t>
            </w:r>
          </w:p>
        </w:tc>
        <w:tc>
          <w:tcPr>
            <w:tcW w:w="2600" w:type="dxa"/>
            <w:vAlign w:val="bottom"/>
            <w:tcBorders>
              <w:top w:val="single" w:sz="8" w:color="auto"/>
              <w:right w:val="single" w:sz="8" w:color="auto"/>
            </w:tcBorders>
            <w:shd w:val="clear" w:color="auto" w:fill="B4C5E7"/>
          </w:tcPr>
          <w:p>
            <w:pPr>
              <w:ind w:left="80"/>
              <w:spacing w:after="0"/>
              <w:rPr>
                <w:sz w:val="20"/>
                <w:szCs w:val="20"/>
                <w:color w:val="auto"/>
              </w:rPr>
            </w:pPr>
            <w:r>
              <w:rPr>
                <w:rFonts w:ascii="Calibri" w:cs="Calibri" w:eastAsia="Calibri" w:hAnsi="Calibri"/>
                <w:sz w:val="22"/>
                <w:szCs w:val="22"/>
                <w:b w:val="1"/>
                <w:bCs w:val="1"/>
                <w:color w:val="auto"/>
              </w:rPr>
              <w:t>CIC Severance Multplier</w:t>
            </w:r>
          </w:p>
        </w:tc>
        <w:tc>
          <w:tcPr>
            <w:tcW w:w="2600" w:type="dxa"/>
            <w:vAlign w:val="bottom"/>
            <w:tcBorders>
              <w:top w:val="single" w:sz="8" w:color="auto"/>
              <w:right w:val="single" w:sz="8" w:color="auto"/>
            </w:tcBorders>
            <w:shd w:val="clear" w:color="auto" w:fill="B4C5E7"/>
          </w:tcPr>
          <w:p>
            <w:pPr>
              <w:ind w:left="40"/>
              <w:spacing w:after="0"/>
              <w:rPr>
                <w:sz w:val="20"/>
                <w:szCs w:val="20"/>
                <w:color w:val="auto"/>
              </w:rPr>
            </w:pPr>
            <w:r>
              <w:rPr>
                <w:rFonts w:ascii="Calibri" w:cs="Calibri" w:eastAsia="Calibri" w:hAnsi="Calibri"/>
                <w:sz w:val="22"/>
                <w:szCs w:val="22"/>
                <w:b w:val="1"/>
                <w:bCs w:val="1"/>
                <w:color w:val="auto"/>
              </w:rPr>
              <w:t>Non-CIC Severance</w:t>
            </w:r>
          </w:p>
        </w:tc>
        <w:tc>
          <w:tcPr>
            <w:tcW w:w="2620" w:type="dxa"/>
            <w:vAlign w:val="bottom"/>
            <w:tcBorders>
              <w:top w:val="single" w:sz="8" w:color="auto"/>
              <w:right w:val="single" w:sz="8" w:color="auto"/>
            </w:tcBorders>
            <w:shd w:val="clear" w:color="auto" w:fill="B4C5E7"/>
          </w:tcPr>
          <w:p>
            <w:pPr>
              <w:ind w:left="180"/>
              <w:spacing w:after="0"/>
              <w:rPr>
                <w:sz w:val="20"/>
                <w:szCs w:val="20"/>
                <w:color w:val="auto"/>
              </w:rPr>
            </w:pPr>
            <w:r>
              <w:rPr>
                <w:rFonts w:ascii="Calibri" w:cs="Calibri" w:eastAsia="Calibri" w:hAnsi="Calibri"/>
                <w:sz w:val="22"/>
                <w:szCs w:val="22"/>
                <w:b w:val="1"/>
                <w:bCs w:val="1"/>
                <w:color w:val="auto"/>
              </w:rPr>
              <w:t>Benefts Contnuaton</w:t>
            </w:r>
          </w:p>
        </w:tc>
        <w:tc>
          <w:tcPr>
            <w:tcW w:w="200" w:type="dxa"/>
            <w:vAlign w:val="bottom"/>
          </w:tcPr>
          <w:p>
            <w:pPr>
              <w:spacing w:after="0"/>
              <w:rPr>
                <w:sz w:val="24"/>
                <w:szCs w:val="24"/>
                <w:color w:val="auto"/>
              </w:rPr>
            </w:pPr>
          </w:p>
        </w:tc>
      </w:tr>
      <w:tr>
        <w:trPr>
          <w:trHeight w:val="301"/>
        </w:trPr>
        <w:tc>
          <w:tcPr>
            <w:tcW w:w="160" w:type="dxa"/>
            <w:vAlign w:val="bottom"/>
            <w:tcBorders>
              <w:right w:val="single" w:sz="8" w:color="auto"/>
            </w:tcBorders>
          </w:tcPr>
          <w:p>
            <w:pPr>
              <w:spacing w:after="0"/>
              <w:rPr>
                <w:sz w:val="24"/>
                <w:szCs w:val="24"/>
                <w:color w:val="auto"/>
              </w:rPr>
            </w:pPr>
          </w:p>
        </w:tc>
        <w:tc>
          <w:tcPr>
            <w:tcW w:w="3060" w:type="dxa"/>
            <w:vAlign w:val="bottom"/>
            <w:tcBorders>
              <w:bottom w:val="single" w:sz="8" w:color="B4C5E7"/>
              <w:right w:val="single" w:sz="8" w:color="auto"/>
            </w:tcBorders>
            <w:shd w:val="clear" w:color="auto" w:fill="B4C5E7"/>
          </w:tcPr>
          <w:p>
            <w:pPr>
              <w:spacing w:after="0"/>
              <w:rPr>
                <w:sz w:val="24"/>
                <w:szCs w:val="24"/>
                <w:color w:val="auto"/>
              </w:rPr>
            </w:pPr>
          </w:p>
        </w:tc>
        <w:tc>
          <w:tcPr>
            <w:tcW w:w="2600" w:type="dxa"/>
            <w:vAlign w:val="bottom"/>
            <w:tcBorders>
              <w:bottom w:val="single" w:sz="8" w:color="B4C5E7"/>
              <w:right w:val="single" w:sz="8" w:color="auto"/>
            </w:tcBorders>
            <w:shd w:val="clear" w:color="auto" w:fill="B4C5E7"/>
          </w:tcPr>
          <w:p>
            <w:pPr>
              <w:spacing w:after="0"/>
              <w:rPr>
                <w:sz w:val="24"/>
                <w:szCs w:val="24"/>
                <w:color w:val="auto"/>
              </w:rPr>
            </w:pPr>
          </w:p>
        </w:tc>
        <w:tc>
          <w:tcPr>
            <w:tcW w:w="2600" w:type="dxa"/>
            <w:vAlign w:val="bottom"/>
            <w:tcBorders>
              <w:bottom w:val="single" w:sz="8" w:color="B4C5E7"/>
              <w:right w:val="single" w:sz="8" w:color="auto"/>
            </w:tcBorders>
            <w:shd w:val="clear" w:color="auto" w:fill="B4C5E7"/>
          </w:tcPr>
          <w:p>
            <w:pPr>
              <w:ind w:left="160"/>
              <w:spacing w:after="0" w:line="259" w:lineRule="exact"/>
              <w:rPr>
                <w:sz w:val="20"/>
                <w:szCs w:val="20"/>
                <w:color w:val="auto"/>
              </w:rPr>
            </w:pPr>
            <w:r>
              <w:rPr>
                <w:rFonts w:ascii="Calibri" w:cs="Calibri" w:eastAsia="Calibri" w:hAnsi="Calibri"/>
                <w:sz w:val="22"/>
                <w:szCs w:val="22"/>
                <w:b w:val="1"/>
                <w:bCs w:val="1"/>
                <w:color w:val="auto"/>
              </w:rPr>
              <w:t>Multplier</w:t>
            </w:r>
          </w:p>
        </w:tc>
        <w:tc>
          <w:tcPr>
            <w:tcW w:w="2620" w:type="dxa"/>
            <w:vAlign w:val="bottom"/>
            <w:tcBorders>
              <w:bottom w:val="single" w:sz="8" w:color="B4C5E7"/>
              <w:right w:val="single" w:sz="8" w:color="auto"/>
            </w:tcBorders>
            <w:shd w:val="clear" w:color="auto" w:fill="B4C5E7"/>
          </w:tcPr>
          <w:p>
            <w:pPr>
              <w:spacing w:after="0"/>
              <w:rPr>
                <w:sz w:val="24"/>
                <w:szCs w:val="24"/>
                <w:color w:val="auto"/>
              </w:rPr>
            </w:pPr>
          </w:p>
        </w:tc>
        <w:tc>
          <w:tcPr>
            <w:tcW w:w="200" w:type="dxa"/>
            <w:vAlign w:val="bottom"/>
          </w:tcPr>
          <w:p>
            <w:pPr>
              <w:spacing w:after="0"/>
              <w:rPr>
                <w:sz w:val="24"/>
                <w:szCs w:val="24"/>
                <w:color w:val="auto"/>
              </w:rPr>
            </w:pPr>
          </w:p>
        </w:tc>
      </w:tr>
      <w:tr>
        <w:trPr>
          <w:trHeight w:val="321"/>
        </w:trPr>
        <w:tc>
          <w:tcPr>
            <w:tcW w:w="160" w:type="dxa"/>
            <w:vAlign w:val="bottom"/>
            <w:tcBorders>
              <w:right w:val="single" w:sz="8" w:color="auto"/>
            </w:tcBorders>
          </w:tcPr>
          <w:p>
            <w:pPr>
              <w:spacing w:after="0"/>
              <w:rPr>
                <w:sz w:val="24"/>
                <w:szCs w:val="24"/>
                <w:color w:val="auto"/>
              </w:rPr>
            </w:pPr>
          </w:p>
        </w:tc>
        <w:tc>
          <w:tcPr>
            <w:tcW w:w="3060" w:type="dxa"/>
            <w:vAlign w:val="bottom"/>
            <w:tcBorders>
              <w:top w:val="single" w:sz="8" w:color="auto"/>
              <w:right w:val="single" w:sz="8" w:color="auto"/>
            </w:tcBorders>
          </w:tcPr>
          <w:p>
            <w:pPr>
              <w:ind w:left="20"/>
              <w:spacing w:after="0"/>
              <w:rPr>
                <w:sz w:val="20"/>
                <w:szCs w:val="20"/>
                <w:color w:val="auto"/>
              </w:rPr>
            </w:pPr>
            <w:r>
              <w:rPr>
                <w:rFonts w:ascii="Calibri" w:cs="Calibri" w:eastAsia="Calibri" w:hAnsi="Calibri"/>
                <w:sz w:val="22"/>
                <w:szCs w:val="22"/>
                <w:color w:val="auto"/>
              </w:rPr>
              <w:t>John Lai</w:t>
            </w:r>
          </w:p>
        </w:tc>
        <w:tc>
          <w:tcPr>
            <w:tcW w:w="2600" w:type="dxa"/>
            <w:vAlign w:val="bottom"/>
            <w:tcBorders>
              <w:top w:val="single" w:sz="8" w:color="auto"/>
              <w:right w:val="single" w:sz="8" w:color="auto"/>
            </w:tcBorders>
          </w:tcPr>
          <w:p>
            <w:pPr>
              <w:spacing w:after="0"/>
              <w:rPr>
                <w:sz w:val="20"/>
                <w:szCs w:val="20"/>
                <w:color w:val="auto"/>
              </w:rPr>
            </w:pPr>
            <w:r>
              <w:rPr>
                <w:rFonts w:ascii="Calibri" w:cs="Calibri" w:eastAsia="Calibri" w:hAnsi="Calibri"/>
                <w:sz w:val="22"/>
                <w:szCs w:val="22"/>
                <w:color w:val="auto"/>
              </w:rPr>
              <w:t>2</w:t>
            </w:r>
          </w:p>
        </w:tc>
        <w:tc>
          <w:tcPr>
            <w:tcW w:w="2600" w:type="dxa"/>
            <w:vAlign w:val="bottom"/>
            <w:tcBorders>
              <w:top w:val="single" w:sz="8" w:color="auto"/>
              <w:right w:val="single" w:sz="8" w:color="auto"/>
            </w:tcBorders>
          </w:tcPr>
          <w:p>
            <w:pPr>
              <w:spacing w:after="0"/>
              <w:rPr>
                <w:sz w:val="20"/>
                <w:szCs w:val="20"/>
                <w:color w:val="auto"/>
              </w:rPr>
            </w:pPr>
            <w:r>
              <w:rPr>
                <w:rFonts w:ascii="Calibri" w:cs="Calibri" w:eastAsia="Calibri" w:hAnsi="Calibri"/>
                <w:sz w:val="22"/>
                <w:szCs w:val="22"/>
                <w:color w:val="auto"/>
              </w:rPr>
              <w:t>1.5x</w:t>
            </w:r>
          </w:p>
        </w:tc>
        <w:tc>
          <w:tcPr>
            <w:tcW w:w="2620" w:type="dxa"/>
            <w:vAlign w:val="bottom"/>
            <w:tcBorders>
              <w:top w:val="single" w:sz="8" w:color="auto"/>
              <w:right w:val="single" w:sz="8" w:color="auto"/>
            </w:tcBorders>
          </w:tcPr>
          <w:p>
            <w:pPr>
              <w:ind w:left="20"/>
              <w:spacing w:after="0"/>
              <w:rPr>
                <w:sz w:val="20"/>
                <w:szCs w:val="20"/>
                <w:color w:val="auto"/>
              </w:rPr>
            </w:pPr>
            <w:r>
              <w:rPr>
                <w:rFonts w:ascii="Calibri" w:cs="Calibri" w:eastAsia="Calibri" w:hAnsi="Calibri"/>
                <w:sz w:val="22"/>
                <w:szCs w:val="22"/>
                <w:color w:val="auto"/>
              </w:rPr>
              <w:t>18 months</w:t>
            </w:r>
          </w:p>
        </w:tc>
        <w:tc>
          <w:tcPr>
            <w:tcW w:w="200" w:type="dxa"/>
            <w:vAlign w:val="bottom"/>
          </w:tcPr>
          <w:p>
            <w:pPr>
              <w:spacing w:after="0"/>
              <w:rPr>
                <w:sz w:val="24"/>
                <w:szCs w:val="24"/>
                <w:color w:val="auto"/>
              </w:rPr>
            </w:pPr>
          </w:p>
        </w:tc>
      </w:tr>
      <w:tr>
        <w:trPr>
          <w:trHeight w:val="27"/>
        </w:trPr>
        <w:tc>
          <w:tcPr>
            <w:tcW w:w="1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318"/>
        </w:trPr>
        <w:tc>
          <w:tcPr>
            <w:tcW w:w="16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Jedidiah Gold</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1.5</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1.5x</w:t>
            </w:r>
          </w:p>
        </w:tc>
        <w:tc>
          <w:tcPr>
            <w:tcW w:w="262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18 months</w:t>
            </w:r>
          </w:p>
        </w:tc>
        <w:tc>
          <w:tcPr>
            <w:tcW w:w="200" w:type="dxa"/>
            <w:vAlign w:val="bottom"/>
          </w:tcPr>
          <w:p>
            <w:pPr>
              <w:spacing w:after="0"/>
              <w:rPr>
                <w:sz w:val="24"/>
                <w:szCs w:val="24"/>
                <w:color w:val="auto"/>
              </w:rPr>
            </w:pPr>
          </w:p>
        </w:tc>
      </w:tr>
      <w:tr>
        <w:trPr>
          <w:trHeight w:val="27"/>
        </w:trPr>
        <w:tc>
          <w:tcPr>
            <w:tcW w:w="1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316"/>
        </w:trPr>
        <w:tc>
          <w:tcPr>
            <w:tcW w:w="16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Mayra Chimient</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1.5</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1x</w:t>
            </w:r>
          </w:p>
        </w:tc>
        <w:tc>
          <w:tcPr>
            <w:tcW w:w="262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12 months</w:t>
            </w:r>
          </w:p>
        </w:tc>
        <w:tc>
          <w:tcPr>
            <w:tcW w:w="200" w:type="dxa"/>
            <w:vAlign w:val="bottom"/>
          </w:tcPr>
          <w:p>
            <w:pPr>
              <w:spacing w:after="0"/>
              <w:rPr>
                <w:sz w:val="24"/>
                <w:szCs w:val="24"/>
                <w:color w:val="auto"/>
              </w:rPr>
            </w:pPr>
          </w:p>
        </w:tc>
      </w:tr>
      <w:tr>
        <w:trPr>
          <w:trHeight w:val="29"/>
        </w:trPr>
        <w:tc>
          <w:tcPr>
            <w:tcW w:w="1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304"/>
        </w:trPr>
        <w:tc>
          <w:tcPr>
            <w:tcW w:w="16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Markus Hartmann</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1.5</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1x</w:t>
            </w:r>
          </w:p>
        </w:tc>
        <w:tc>
          <w:tcPr>
            <w:tcW w:w="262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12 months</w:t>
            </w:r>
          </w:p>
        </w:tc>
        <w:tc>
          <w:tcPr>
            <w:tcW w:w="200" w:type="dxa"/>
            <w:vAlign w:val="bottom"/>
          </w:tcPr>
          <w:p>
            <w:pPr>
              <w:spacing w:after="0"/>
              <w:rPr>
                <w:sz w:val="24"/>
                <w:szCs w:val="24"/>
                <w:color w:val="auto"/>
              </w:rPr>
            </w:pPr>
          </w:p>
        </w:tc>
      </w:tr>
      <w:tr>
        <w:trPr>
          <w:trHeight w:val="40"/>
        </w:trPr>
        <w:tc>
          <w:tcPr>
            <w:tcW w:w="160" w:type="dxa"/>
            <w:vAlign w:val="bottom"/>
            <w:tcBorders>
              <w:right w:val="single" w:sz="8" w:color="auto"/>
            </w:tcBorders>
          </w:tcPr>
          <w:p>
            <w:pPr>
              <w:spacing w:after="0"/>
              <w:rPr>
                <w:sz w:val="3"/>
                <w:szCs w:val="3"/>
                <w:color w:val="auto"/>
              </w:rPr>
            </w:pPr>
          </w:p>
        </w:tc>
        <w:tc>
          <w:tcPr>
            <w:tcW w:w="30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00" w:type="dxa"/>
            <w:vAlign w:val="bottom"/>
          </w:tcPr>
          <w:p>
            <w:pPr>
              <w:spacing w:after="0"/>
              <w:rPr>
                <w:sz w:val="3"/>
                <w:szCs w:val="3"/>
                <w:color w:val="auto"/>
              </w:rPr>
            </w:pPr>
          </w:p>
        </w:tc>
      </w:tr>
      <w:tr>
        <w:trPr>
          <w:trHeight w:val="318"/>
        </w:trPr>
        <w:tc>
          <w:tcPr>
            <w:tcW w:w="16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Joe Matheny</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1.5</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1x</w:t>
            </w:r>
          </w:p>
        </w:tc>
        <w:tc>
          <w:tcPr>
            <w:tcW w:w="262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12 months</w:t>
            </w:r>
          </w:p>
        </w:tc>
        <w:tc>
          <w:tcPr>
            <w:tcW w:w="200" w:type="dxa"/>
            <w:vAlign w:val="bottom"/>
          </w:tcPr>
          <w:p>
            <w:pPr>
              <w:spacing w:after="0"/>
              <w:rPr>
                <w:sz w:val="24"/>
                <w:szCs w:val="24"/>
                <w:color w:val="auto"/>
              </w:rPr>
            </w:pPr>
          </w:p>
        </w:tc>
      </w:tr>
      <w:tr>
        <w:trPr>
          <w:trHeight w:val="27"/>
        </w:trPr>
        <w:tc>
          <w:tcPr>
            <w:tcW w:w="1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315"/>
        </w:trPr>
        <w:tc>
          <w:tcPr>
            <w:tcW w:w="16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Mary Porter</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1.5</w:t>
            </w:r>
          </w:p>
        </w:tc>
        <w:tc>
          <w:tcPr>
            <w:tcW w:w="2600" w:type="dxa"/>
            <w:vAlign w:val="bottom"/>
            <w:tcBorders>
              <w:right w:val="single" w:sz="8" w:color="auto"/>
            </w:tcBorders>
          </w:tcPr>
          <w:p>
            <w:pPr>
              <w:spacing w:after="0"/>
              <w:rPr>
                <w:sz w:val="20"/>
                <w:szCs w:val="20"/>
                <w:color w:val="auto"/>
              </w:rPr>
            </w:pPr>
            <w:r>
              <w:rPr>
                <w:rFonts w:ascii="Calibri" w:cs="Calibri" w:eastAsia="Calibri" w:hAnsi="Calibri"/>
                <w:sz w:val="22"/>
                <w:szCs w:val="22"/>
                <w:color w:val="auto"/>
              </w:rPr>
              <w:t>1x</w:t>
            </w:r>
          </w:p>
        </w:tc>
        <w:tc>
          <w:tcPr>
            <w:tcW w:w="2620" w:type="dxa"/>
            <w:vAlign w:val="bottom"/>
            <w:tcBorders>
              <w:right w:val="single" w:sz="8" w:color="auto"/>
            </w:tcBorders>
          </w:tcPr>
          <w:p>
            <w:pPr>
              <w:ind w:left="20"/>
              <w:spacing w:after="0"/>
              <w:rPr>
                <w:sz w:val="20"/>
                <w:szCs w:val="20"/>
                <w:color w:val="auto"/>
              </w:rPr>
            </w:pPr>
            <w:r>
              <w:rPr>
                <w:rFonts w:ascii="Calibri" w:cs="Calibri" w:eastAsia="Calibri" w:hAnsi="Calibri"/>
                <w:sz w:val="22"/>
                <w:szCs w:val="22"/>
                <w:color w:val="auto"/>
              </w:rPr>
              <w:t>12 months</w:t>
            </w:r>
          </w:p>
        </w:tc>
        <w:tc>
          <w:tcPr>
            <w:tcW w:w="200" w:type="dxa"/>
            <w:vAlign w:val="bottom"/>
          </w:tcPr>
          <w:p>
            <w:pPr>
              <w:spacing w:after="0"/>
              <w:rPr>
                <w:sz w:val="24"/>
                <w:szCs w:val="24"/>
                <w:color w:val="auto"/>
              </w:rPr>
            </w:pPr>
          </w:p>
        </w:tc>
      </w:tr>
      <w:tr>
        <w:trPr>
          <w:trHeight w:val="29"/>
        </w:trPr>
        <w:tc>
          <w:tcPr>
            <w:tcW w:w="160" w:type="dxa"/>
            <w:vAlign w:val="bottom"/>
            <w:tcBorders>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431"/>
        </w:trPr>
        <w:tc>
          <w:tcPr>
            <w:tcW w:w="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514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t>MISTER CAR WASH,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Mister Car Wash,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2021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stock option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described in this Stock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The Option is subject to the terms and conditions of the Plan and the Stock Option Agreement attached hereto as Exhibit A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both of which are incorporated into this Grant Notice by reference. Unless otherwise defined herein, the terms defined in the Plan shall have the same defined meaning in this Grant Notice and the Agreement.</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Shares Subject to the Option:</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Final Expiration Date:</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ectPr>
          <w:pgSz w:w="11900" w:h="16838" w:orient="portrait"/>
          <w:cols w:equalWidth="0" w:num="1">
            <w:col w:w="11240"/>
          </w:cols>
          <w:pgMar w:left="320" w:top="1098" w:right="339" w:bottom="1440" w:gutter="0" w:footer="0" w:header="0"/>
        </w:sectPr>
      </w:pP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 in individual agreements]</w:t>
      </w:r>
    </w:p>
    <w:p>
      <w:pPr>
        <w:spacing w:after="0" w:line="87" w:lineRule="exact"/>
        <w:rPr>
          <w:sz w:val="20"/>
          <w:szCs w:val="20"/>
          <w:color w:val="auto"/>
        </w:rPr>
      </w:pPr>
    </w:p>
    <w:p>
      <w:pPr>
        <w:sectPr>
          <w:pgSz w:w="11900" w:h="16838" w:orient="portrait"/>
          <w:cols w:equalWidth="0" w:num="2">
            <w:col w:w="3780" w:space="720"/>
            <w:col w:w="6740"/>
          </w:cols>
          <w:pgMar w:left="320" w:top="1098" w:right="339" w:bottom="1440" w:gutter="0" w:footer="0" w:header="0"/>
          <w:type w:val="continuous"/>
        </w:sectPr>
      </w:pP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Type of Option</w:t>
      </w:r>
    </w:p>
    <w:p>
      <w:pPr>
        <w:spacing w:after="0" w:line="20" w:lineRule="exact"/>
        <w:rPr>
          <w:sz w:val="20"/>
          <w:szCs w:val="20"/>
          <w:color w:val="auto"/>
        </w:rPr>
      </w:pPr>
      <w:r>
        <w:rPr>
          <w:sz w:val="20"/>
          <w:szCs w:val="20"/>
          <w:color w:val="auto"/>
        </w:rPr>
        <w:br w:type="column"/>
      </w:r>
    </w:p>
    <w:p>
      <w:pPr>
        <w:ind w:firstLine="256"/>
        <w:spacing w:after="0" w:line="268" w:lineRule="exact"/>
        <w:rPr>
          <w:sz w:val="20"/>
          <w:szCs w:val="20"/>
          <w:color w:val="auto"/>
        </w:rPr>
      </w:pPr>
      <w:r>
        <w:rPr>
          <w:rFonts w:ascii="Times New Roman" w:cs="Times New Roman" w:eastAsia="Times New Roman" w:hAnsi="Times New Roman"/>
          <w:sz w:val="20"/>
          <w:szCs w:val="20"/>
          <w:color w:val="auto"/>
        </w:rPr>
        <w:t xml:space="preserve">MACROBUTTON CheckBoxToggle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Incentive Stock MACROBUTTON CheckBoxToggle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Non-Qualified Stock Option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499" w:lineRule="exact"/>
        <w:rPr>
          <w:sz w:val="20"/>
          <w:szCs w:val="20"/>
          <w:color w:val="auto"/>
        </w:rPr>
      </w:pPr>
    </w:p>
    <w:p>
      <w:pPr>
        <w:sectPr>
          <w:pgSz w:w="11900" w:h="16838" w:orient="portrait"/>
          <w:cols w:equalWidth="0" w:num="3">
            <w:col w:w="3780" w:space="720"/>
            <w:col w:w="5820" w:space="260"/>
            <w:col w:w="660"/>
          </w:cols>
          <w:pgMar w:left="320" w:top="1098" w:right="339" w:bottom="1440" w:gutter="0" w:footer="0" w:header="0"/>
          <w:type w:val="continuous"/>
        </w:sectPr>
      </w:pPr>
    </w:p>
    <w:p>
      <w:pPr>
        <w:spacing w:after="0" w:line="29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or relating to the Option.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MISTER CAR WASH, INC.</w:t>
            </w: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783"/>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102"/>
        </w:trPr>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Print Name:</w:t>
            </w:r>
          </w:p>
        </w:tc>
        <w:tc>
          <w:tcPr>
            <w:tcW w:w="4060" w:type="dxa"/>
            <w:vAlign w:val="bottom"/>
            <w:tcBorders>
              <w:bottom w:val="single" w:sz="8" w:color="auto"/>
            </w:tcBorders>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Print Name:</w:t>
            </w:r>
          </w:p>
        </w:tc>
        <w:tc>
          <w:tcPr>
            <w:tcW w:w="4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56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6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1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9"/>
        </w:trPr>
        <w:tc>
          <w:tcPr>
            <w:tcW w:w="15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STOCK OPTION GRANT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an Option under the Plan to purchase the number of Shares set forth in the Grant Notice.</w:t>
      </w:r>
    </w:p>
    <w:p>
      <w:pPr>
        <w:spacing w:after="0" w:line="15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 Notice. For purposes of this Agreement,</w:t>
      </w:r>
    </w:p>
    <w:p>
      <w:pPr>
        <w:spacing w:after="0" w:line="159" w:lineRule="exact"/>
        <w:rPr>
          <w:sz w:val="20"/>
          <w:szCs w:val="20"/>
          <w:color w:val="auto"/>
        </w:rPr>
      </w:pPr>
    </w:p>
    <w:p>
      <w:pPr>
        <w:jc w:val="both"/>
        <w:ind w:firstLine="1123"/>
        <w:spacing w:after="0" w:line="241"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shall mean a Participating Company having “Cause” to terminate the Participant’s employment as defined in any employment agreement between the Participant and a Participating Company or in the Executive Severance Plan if the Participant participates in such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absence of an agreement containing such a definition, a Participating Company shall have “Cause” to terminate the Participant’s employment upon: (i) commission of, conviction of, or entry of a plea by the Participant of </w:t>
      </w:r>
      <w:r>
        <w:rPr>
          <w:rFonts w:ascii="Times New Roman" w:cs="Times New Roman" w:eastAsia="Times New Roman" w:hAnsi="Times New Roman"/>
          <w:sz w:val="20"/>
          <w:szCs w:val="20"/>
          <w:i w:val="1"/>
          <w:iCs w:val="1"/>
          <w:color w:val="auto"/>
        </w:rPr>
        <w:t>nolo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contendere </w:t>
      </w:r>
      <w:r>
        <w:rPr>
          <w:rFonts w:ascii="Times New Roman" w:cs="Times New Roman" w:eastAsia="Times New Roman" w:hAnsi="Times New Roman"/>
          <w:sz w:val="20"/>
          <w:szCs w:val="20"/>
          <w:color w:val="auto"/>
        </w:rPr>
        <w:t>to a felony that is materially detrimental to a Participating Company, its reputation, or its respective stockholders; (ii)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malfeasance, willful or gross misconduct, or willful dishonesty of the Participant that materially and adversely affects the business or affairs of a Participating Company, its reputation, or its respective stockholders; (iii) conviction of or entry of a plea by the Participant of </w:t>
      </w:r>
      <w:r>
        <w:rPr>
          <w:rFonts w:ascii="Times New Roman" w:cs="Times New Roman" w:eastAsia="Times New Roman" w:hAnsi="Times New Roman"/>
          <w:sz w:val="20"/>
          <w:szCs w:val="20"/>
          <w:i w:val="1"/>
          <w:iCs w:val="1"/>
          <w:color w:val="auto"/>
        </w:rPr>
        <w:t>nolo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contendere </w:t>
      </w:r>
      <w:r>
        <w:rPr>
          <w:rFonts w:ascii="Times New Roman" w:cs="Times New Roman" w:eastAsia="Times New Roman" w:hAnsi="Times New Roman"/>
          <w:sz w:val="20"/>
          <w:szCs w:val="20"/>
          <w:color w:val="auto"/>
        </w:rPr>
        <w:t>to a crime involving fraud; (iv) material violation by the Participant of the ethics/policy code of a Participating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breach of duty of loyalty to a Participating Company; (v) willful failure by the Participant to perform his duties and responsibilities hereunder or under any employment agreement between the Participant and a Participating Company; (vi) inappropriate use or disclosure by the Participant of any proprietary information of a Participating Company in violation of any employment agreement, stockholders agreement or any other written agreement between the Participant and a Participating Company that adversely affects the business or the affairs of a Participating Company in a material way; or (vii) material breach by the Participant not caused by a Participating Company of any terms and conditions of any employment agreement, stockholders agreement or any other written agreement between the Participant and a Participating Company.</w:t>
      </w:r>
    </w:p>
    <w:p>
      <w:pPr>
        <w:spacing w:after="0" w:line="194"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20"/>
          <w:szCs w:val="20"/>
          <w:color w:val="auto"/>
        </w:rPr>
        <w:t>(b)</w:t>
        <w:tab/>
        <w:t>“</w:t>
      </w:r>
      <w:r>
        <w:rPr>
          <w:rFonts w:ascii="Times New Roman" w:cs="Times New Roman" w:eastAsia="Times New Roman" w:hAnsi="Times New Roman"/>
          <w:sz w:val="20"/>
          <w:szCs w:val="20"/>
          <w:u w:val="single" w:color="auto"/>
          <w:color w:val="auto"/>
        </w:rPr>
        <w:t>Cessation Date</w:t>
      </w:r>
      <w:r>
        <w:rPr>
          <w:rFonts w:ascii="Times New Roman" w:cs="Times New Roman" w:eastAsia="Times New Roman" w:hAnsi="Times New Roman"/>
          <w:sz w:val="20"/>
          <w:szCs w:val="20"/>
          <w:color w:val="auto"/>
        </w:rPr>
        <w:t>” shall mean the date of Participant’s Termination of Service (regardless of the reason for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w:t>
      </w:r>
    </w:p>
    <w:p>
      <w:pPr>
        <w:spacing w:after="0" w:line="207" w:lineRule="exact"/>
        <w:rPr>
          <w:sz w:val="20"/>
          <w:szCs w:val="20"/>
          <w:color w:val="auto"/>
        </w:rPr>
      </w:pPr>
    </w:p>
    <w:p>
      <w:pPr>
        <w:jc w:val="both"/>
        <w:ind w:firstLine="1123"/>
        <w:spacing w:after="0" w:line="269" w:lineRule="auto"/>
        <w:rPr>
          <w:sz w:val="20"/>
          <w:szCs w:val="20"/>
          <w:color w:val="auto"/>
        </w:rPr>
      </w:pPr>
      <w:r>
        <w:rPr>
          <w:rFonts w:ascii="Times New Roman" w:cs="Times New Roman" w:eastAsia="Times New Roman" w:hAnsi="Times New Roman"/>
          <w:sz w:val="20"/>
          <w:szCs w:val="20"/>
          <w:color w:val="auto"/>
        </w:rPr>
        <w:t>(c) “</w:t>
      </w:r>
      <w:r>
        <w:rPr>
          <w:rFonts w:ascii="Times New Roman" w:cs="Times New Roman" w:eastAsia="Times New Roman" w:hAnsi="Times New Roman"/>
          <w:sz w:val="20"/>
          <w:szCs w:val="20"/>
          <w:u w:val="single" w:color="auto"/>
          <w:color w:val="auto"/>
        </w:rPr>
        <w:t>CIC Qualifying Termination</w:t>
      </w:r>
      <w:r>
        <w:rPr>
          <w:rFonts w:ascii="Times New Roman" w:cs="Times New Roman" w:eastAsia="Times New Roman" w:hAnsi="Times New Roman"/>
          <w:sz w:val="20"/>
          <w:szCs w:val="20"/>
          <w:color w:val="auto"/>
        </w:rPr>
        <w:t>” shall mean Termination of Service of Participant by any Participating Company without Cause [or by Participant for Good Reason]</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 xml:space="preserve"> during the twenty-four (24) month period immediately following a Change in Control.</w:t>
      </w:r>
    </w:p>
    <w:p>
      <w:pPr>
        <w:spacing w:after="0" w:line="173" w:lineRule="exact"/>
        <w:rPr>
          <w:sz w:val="20"/>
          <w:szCs w:val="20"/>
          <w:color w:val="auto"/>
        </w:rPr>
      </w:pPr>
    </w:p>
    <w:p>
      <w:pPr>
        <w:jc w:val="both"/>
        <w:ind w:firstLine="1123"/>
        <w:spacing w:after="0" w:line="295" w:lineRule="auto"/>
        <w:rPr>
          <w:sz w:val="20"/>
          <w:szCs w:val="20"/>
          <w:color w:val="auto"/>
        </w:rPr>
      </w:pPr>
      <w:r>
        <w:rPr>
          <w:rFonts w:ascii="Times New Roman" w:cs="Times New Roman" w:eastAsia="Times New Roman" w:hAnsi="Times New Roman"/>
          <w:sz w:val="19"/>
          <w:szCs w:val="19"/>
          <w:color w:val="auto"/>
        </w:rPr>
        <w:t>(d) “</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shall mean any business competing with any business the Company then engages in or engaged in at any time during Participant’s employment with the Company (“Restricted Area” as specified in the “Restrictive Covenants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1688465" cy="50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Note to Draft: Include for participants receiving Good Reason protection.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6" w:name="page97"/>
    <w:bookmarkEnd w:id="96"/>
    <w:p>
      <w:pPr>
        <w:spacing w:after="0" w:line="203" w:lineRule="exact"/>
        <w:rPr>
          <w:sz w:val="20"/>
          <w:szCs w:val="20"/>
          <w:color w:val="auto"/>
        </w:rPr>
      </w:pPr>
    </w:p>
    <w:p>
      <w:pPr>
        <w:ind w:left="1140"/>
        <w:spacing w:after="0"/>
        <w:tabs>
          <w:tab w:leader="none" w:pos="1520" w:val="left"/>
        </w:tabs>
        <w:rPr>
          <w:sz w:val="20"/>
          <w:szCs w:val="20"/>
          <w:color w:val="auto"/>
        </w:rPr>
      </w:pPr>
      <w:r>
        <w:rPr>
          <w:rFonts w:ascii="Times New Roman" w:cs="Times New Roman" w:eastAsia="Times New Roman" w:hAnsi="Times New Roman"/>
          <w:sz w:val="20"/>
          <w:szCs w:val="20"/>
          <w:color w:val="auto"/>
        </w:rPr>
        <w:t>(e)</w:t>
        <w:tab/>
        <w:t>“</w:t>
      </w:r>
      <w:r>
        <w:rPr>
          <w:rFonts w:ascii="Times New Roman" w:cs="Times New Roman" w:eastAsia="Times New Roman" w:hAnsi="Times New Roman"/>
          <w:sz w:val="20"/>
          <w:szCs w:val="20"/>
          <w:u w:val="single" w:color="auto"/>
          <w:color w:val="auto"/>
        </w:rPr>
        <w:t>Executive Severance Plan</w:t>
      </w:r>
      <w:r>
        <w:rPr>
          <w:rFonts w:ascii="Times New Roman" w:cs="Times New Roman" w:eastAsia="Times New Roman" w:hAnsi="Times New Roman"/>
          <w:sz w:val="20"/>
          <w:szCs w:val="20"/>
          <w:color w:val="auto"/>
        </w:rPr>
        <w:t>” shall mean the Mister Car Wash, Inc. Executive Severance Plan, as amended from time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7" w:lineRule="exact"/>
        <w:rPr>
          <w:sz w:val="20"/>
          <w:szCs w:val="20"/>
          <w:color w:val="auto"/>
        </w:rPr>
      </w:pPr>
    </w:p>
    <w:p>
      <w:pPr>
        <w:jc w:val="both"/>
        <w:ind w:firstLine="1131"/>
        <w:spacing w:after="0" w:line="241" w:lineRule="auto"/>
        <w:tabs>
          <w:tab w:leader="none" w:pos="152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a Participant having “Good Reason” to terminate the Participant’s employment as defined in any employment agreement between the Participant and a Participating Company or in the Executive Severance Plan if the Participant participates in such plan; provided that, in the absence of an agreement containing such a definition, a Participant shall have “Good Reason” to terminate the Participant’s employment upon any of the following circumstances: (i) a material diminution in the Participant’s position, authority, duties or responsibilities, excluding for this purpose any isolated, insubstantial or inadvertent actions not taken in bad faith and which are remedied by the Company promptly after receipt of notice thereof given by the Participant; (ii) a material reduction in the Participant’s base salary, as the same may be increased from time to time (other than in connection with across-the-board base salary reductions of all or substantially all similarly situated employees of the Company); (iii) a material change in the geographic location of the Participant’s principal location as of the date hereof, which shall, in any event, include only a relocation of more than fifty (50) miles from such principal location. Notwithstanding the foregoing, the Participant will not be deemed to have resigned for Good Reason unless (x) the Participant provides the Company with written notice setting forth in reasonable detail the facts and circumstances claimed by the Participant to constitute Good Reason within thirty (30) days after the date of the occurrence of any event that the Participant knows or should reasonably have known to constitute Good Reason, (y) the Company fails to cure such acts or omissions within thirty (30) days following its receipt of such notice, and (z) the effective date of the Participant’s termination for Good Reason occurs no later than thirty (30) days after the expiration of the Company’s cure period.]</w:t>
      </w:r>
      <w:r>
        <w:rPr>
          <w:rFonts w:ascii="Times New Roman" w:cs="Times New Roman" w:eastAsia="Times New Roman" w:hAnsi="Times New Roman"/>
          <w:sz w:val="13"/>
          <w:szCs w:val="13"/>
          <w:color w:val="auto"/>
        </w:rPr>
        <w:t>2</w:t>
      </w:r>
    </w:p>
    <w:p>
      <w:pPr>
        <w:spacing w:after="0" w:line="207" w:lineRule="exact"/>
        <w:rPr>
          <w:rFonts w:ascii="Times New Roman" w:cs="Times New Roman" w:eastAsia="Times New Roman" w:hAnsi="Times New Roman"/>
          <w:sz w:val="20"/>
          <w:szCs w:val="20"/>
          <w:color w:val="auto"/>
        </w:rPr>
      </w:pPr>
    </w:p>
    <w:p>
      <w:pPr>
        <w:ind w:left="1580" w:hanging="449"/>
        <w:spacing w:after="0"/>
        <w:tabs>
          <w:tab w:leader="none" w:pos="1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Company</w:t>
      </w:r>
      <w:r>
        <w:rPr>
          <w:rFonts w:ascii="Times New Roman" w:cs="Times New Roman" w:eastAsia="Times New Roman" w:hAnsi="Times New Roman"/>
          <w:sz w:val="20"/>
          <w:szCs w:val="20"/>
          <w:color w:val="auto"/>
        </w:rPr>
        <w:t>” shall mean the Company or any of its Subsidiaries.</w:t>
      </w:r>
    </w:p>
    <w:p>
      <w:pPr>
        <w:spacing w:after="0" w:line="229" w:lineRule="exact"/>
        <w:rPr>
          <w:rFonts w:ascii="Times New Roman" w:cs="Times New Roman" w:eastAsia="Times New Roman" w:hAnsi="Times New Roman"/>
          <w:sz w:val="20"/>
          <w:szCs w:val="20"/>
          <w:color w:val="auto"/>
        </w:rPr>
      </w:pPr>
    </w:p>
    <w:p>
      <w:pPr>
        <w:ind w:firstLine="1131"/>
        <w:spacing w:after="0" w:line="269" w:lineRule="auto"/>
        <w:tabs>
          <w:tab w:leader="none" w:pos="160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shall mean the period of a Participant’s service with the Participating Company plus the “Post-Employment Period” applicable to the Participant’s position as set forth below in the “Restrictive Covenants Table.”</w:t>
      </w:r>
    </w:p>
    <w:p>
      <w:pPr>
        <w:spacing w:after="0" w:line="172" w:lineRule="exact"/>
        <w:rPr>
          <w:rFonts w:ascii="Times New Roman" w:cs="Times New Roman" w:eastAsia="Times New Roman" w:hAnsi="Times New Roman"/>
          <w:sz w:val="20"/>
          <w:szCs w:val="20"/>
          <w:color w:val="auto"/>
        </w:rPr>
      </w:pPr>
    </w:p>
    <w:p>
      <w:pPr>
        <w:ind w:firstLine="1131"/>
        <w:spacing w:after="0" w:line="269" w:lineRule="auto"/>
        <w:tabs>
          <w:tab w:leader="none" w:pos="152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be “</w:t>
      </w:r>
      <w:r>
        <w:rPr>
          <w:rFonts w:ascii="Times New Roman" w:cs="Times New Roman" w:eastAsia="Times New Roman" w:hAnsi="Times New Roman"/>
          <w:sz w:val="20"/>
          <w:szCs w:val="20"/>
          <w:u w:val="single" w:color="auto"/>
          <w:color w:val="auto"/>
        </w:rPr>
        <w:t>Retirement Eligible</w:t>
      </w:r>
      <w:r>
        <w:rPr>
          <w:rFonts w:ascii="Times New Roman" w:cs="Times New Roman" w:eastAsia="Times New Roman" w:hAnsi="Times New Roman"/>
          <w:sz w:val="20"/>
          <w:szCs w:val="20"/>
          <w:color w:val="auto"/>
        </w:rPr>
        <w:t>” at any time when he or she (i) is age sixty (60) or older; and (ii) has been actively employed in continuous employment with or service to any Participating Company for at least five (5) years.</w:t>
      </w:r>
    </w:p>
    <w:p>
      <w:pPr>
        <w:spacing w:after="0" w:line="172" w:lineRule="exact"/>
        <w:rPr>
          <w:rFonts w:ascii="Times New Roman" w:cs="Times New Roman" w:eastAsia="Times New Roman" w:hAnsi="Times New Roman"/>
          <w:sz w:val="20"/>
          <w:szCs w:val="20"/>
          <w:color w:val="auto"/>
        </w:rPr>
      </w:pPr>
    </w:p>
    <w:p>
      <w:pPr>
        <w:ind w:firstLine="1131"/>
        <w:spacing w:after="0" w:line="269" w:lineRule="auto"/>
        <w:tabs>
          <w:tab w:leader="none" w:pos="152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Notice Date</w:t>
      </w:r>
      <w:r>
        <w:rPr>
          <w:rFonts w:ascii="Times New Roman" w:cs="Times New Roman" w:eastAsia="Times New Roman" w:hAnsi="Times New Roman"/>
          <w:sz w:val="20"/>
          <w:szCs w:val="20"/>
          <w:color w:val="auto"/>
        </w:rPr>
        <w:t>” shall mean the date of the Company’s receipt of a written notice of Termination of Service by Participant without Good Reason at a time when Participant is Retirement Eligible.</w:t>
      </w:r>
    </w:p>
    <w:p>
      <w:pPr>
        <w:spacing w:after="0" w:line="172"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Notice Period</w:t>
      </w:r>
      <w:r>
        <w:rPr>
          <w:rFonts w:ascii="Times New Roman" w:cs="Times New Roman" w:eastAsia="Times New Roman" w:hAnsi="Times New Roman"/>
          <w:sz w:val="20"/>
          <w:szCs w:val="20"/>
          <w:color w:val="auto"/>
        </w:rPr>
        <w:t>” shall mean the six (6)-month period immediately following the Retirement Notice Date.</w:t>
      </w:r>
    </w:p>
    <w:p>
      <w:pPr>
        <w:spacing w:after="0" w:line="229"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2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Qualifying Termination</w:t>
      </w:r>
      <w:r>
        <w:rPr>
          <w:rFonts w:ascii="Times New Roman" w:cs="Times New Roman" w:eastAsia="Times New Roman" w:hAnsi="Times New Roman"/>
          <w:sz w:val="20"/>
          <w:szCs w:val="20"/>
          <w:color w:val="auto"/>
        </w:rPr>
        <w:t>” shall mean a Termination of Service by Participant without Good Reason following the Retirement Notice Period, provided that Participant remains in active employment with or service to a Participating Company in good standing (as determined by the Administrator) as of immediately prior to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1688465" cy="50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50"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Draft: Include for participants receiving Good Reason protection.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1055370</wp:posOffset>
            </wp:positionV>
            <wp:extent cx="7136130" cy="407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36130" cy="40703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Restrictive Covenants Table</w:t>
      </w:r>
    </w:p>
    <w:p>
      <w:pPr>
        <w:sectPr>
          <w:pgSz w:w="11900" w:h="16838" w:orient="portrait"/>
          <w:cols w:equalWidth="0" w:num="1">
            <w:col w:w="11240"/>
          </w:cols>
          <w:pgMar w:left="320" w:top="1440" w:right="339" w:bottom="1440" w:gutter="0" w:footer="0" w:header="0"/>
        </w:sectPr>
      </w:pP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4020" w:type="dxa"/>
            <w:vAlign w:val="bottom"/>
            <w:tcBorders>
              <w:top w:val="single" w:sz="8" w:color="auto"/>
              <w:left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20"/>
                <w:szCs w:val="20"/>
                <w:b w:val="1"/>
                <w:bCs w:val="1"/>
                <w:color w:val="FFFFFF"/>
              </w:rPr>
              <w:t>Positions Included</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Group</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Restricted Area</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Post-Employment</w:t>
            </w:r>
          </w:p>
        </w:tc>
      </w:tr>
      <w:tr>
        <w:trPr>
          <w:trHeight w:val="256"/>
        </w:trPr>
        <w:tc>
          <w:tcPr>
            <w:tcW w:w="4020" w:type="dxa"/>
            <w:vAlign w:val="bottom"/>
            <w:tcBorders>
              <w:left w:val="single" w:sz="8" w:color="auto"/>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r>
      <w:tr>
        <w:trPr>
          <w:trHeight w:val="250"/>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Tier I</w:t>
            </w: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r>
        <w:trPr>
          <w:trHeight w:val="258"/>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CEO</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3"/>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CFO</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4"/>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GC/COO/CPO/SVP</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3"/>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VP</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6"/>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Tier II</w:t>
            </w:r>
          </w:p>
        </w:tc>
        <w:tc>
          <w:tcPr>
            <w:tcW w:w="116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tcPr>
          <w:p>
            <w:pPr>
              <w:spacing w:after="0"/>
              <w:rPr>
                <w:sz w:val="23"/>
                <w:szCs w:val="23"/>
                <w:color w:val="auto"/>
              </w:rPr>
            </w:pPr>
          </w:p>
        </w:tc>
        <w:tc>
          <w:tcPr>
            <w:tcW w:w="2200" w:type="dxa"/>
            <w:vAlign w:val="bottom"/>
            <w:tcBorders>
              <w:bottom w:val="single" w:sz="8" w:color="auto"/>
              <w:right w:val="single" w:sz="8" w:color="auto"/>
            </w:tcBorders>
          </w:tcPr>
          <w:p>
            <w:pPr>
              <w:spacing w:after="0"/>
              <w:rPr>
                <w:sz w:val="23"/>
                <w:szCs w:val="23"/>
                <w:color w:val="auto"/>
              </w:rPr>
            </w:pPr>
          </w:p>
        </w:tc>
      </w:tr>
      <w:tr>
        <w:trPr>
          <w:trHeight w:val="261"/>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HQ Sr. Director, Director of Operations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06"/>
        </w:trPr>
        <w:tc>
          <w:tcPr>
            <w:tcW w:w="4020" w:type="dxa"/>
            <w:vAlign w:val="bottom"/>
            <w:tcBorders>
              <w:left w:val="single" w:sz="8" w:color="auto"/>
              <w:right w:val="single" w:sz="8" w:color="auto"/>
            </w:tcBorders>
          </w:tcPr>
          <w:p>
            <w:pPr>
              <w:ind w:left="120"/>
              <w:spacing w:after="0" w:line="206" w:lineRule="exact"/>
              <w:rPr>
                <w:sz w:val="20"/>
                <w:szCs w:val="20"/>
                <w:color w:val="auto"/>
              </w:rPr>
            </w:pPr>
            <w:r>
              <w:rPr>
                <w:rFonts w:ascii="Times New Roman" w:cs="Times New Roman" w:eastAsia="Times New Roman" w:hAnsi="Times New Roman"/>
                <w:sz w:val="20"/>
                <w:szCs w:val="20"/>
                <w:color w:val="auto"/>
              </w:rPr>
              <w:t>HQ Director</w:t>
            </w:r>
          </w:p>
        </w:tc>
        <w:tc>
          <w:tcPr>
            <w:tcW w:w="11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6</w:t>
            </w:r>
          </w:p>
        </w:tc>
        <w:tc>
          <w:tcPr>
            <w:tcW w:w="38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States in which Participating Company</w:t>
            </w:r>
          </w:p>
        </w:tc>
        <w:tc>
          <w:tcPr>
            <w:tcW w:w="22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color w:val="auto"/>
                <w:w w:val="97"/>
              </w:rPr>
              <w:t>18 months</w:t>
            </w:r>
          </w:p>
        </w:tc>
      </w:tr>
      <w:tr>
        <w:trPr>
          <w:trHeight w:val="252"/>
        </w:trPr>
        <w:tc>
          <w:tcPr>
            <w:tcW w:w="4020" w:type="dxa"/>
            <w:vAlign w:val="bottom"/>
            <w:tcBorders>
              <w:left w:val="single" w:sz="8" w:color="auto"/>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operates</w:t>
            </w:r>
          </w:p>
        </w:tc>
        <w:tc>
          <w:tcPr>
            <w:tcW w:w="2200" w:type="dxa"/>
            <w:vAlign w:val="bottom"/>
            <w:tcBorders>
              <w:bottom w:val="single" w:sz="8" w:color="auto"/>
              <w:right w:val="single" w:sz="8" w:color="auto"/>
            </w:tcBorders>
          </w:tcPr>
          <w:p>
            <w:pPr>
              <w:spacing w:after="0"/>
              <w:rPr>
                <w:sz w:val="21"/>
                <w:szCs w:val="21"/>
                <w:color w:val="auto"/>
              </w:rPr>
            </w:pPr>
          </w:p>
        </w:tc>
      </w:tr>
      <w:tr>
        <w:trPr>
          <w:trHeight w:val="200"/>
        </w:trPr>
        <w:tc>
          <w:tcPr>
            <w:tcW w:w="402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Regional Manager, Division Maintenance</w:t>
            </w:r>
          </w:p>
        </w:tc>
        <w:tc>
          <w:tcPr>
            <w:tcW w:w="11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7</w:t>
            </w:r>
          </w:p>
        </w:tc>
        <w:tc>
          <w:tcPr>
            <w:tcW w:w="38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Within 75 mi of stores Participant oversees</w:t>
            </w:r>
          </w:p>
        </w:tc>
        <w:tc>
          <w:tcPr>
            <w:tcW w:w="2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12 months</w:t>
            </w:r>
          </w:p>
        </w:tc>
      </w:tr>
      <w:tr>
        <w:trPr>
          <w:trHeight w:val="252"/>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Manager, Construction/Real Estate Manager</w:t>
            </w: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r>
        <w:trPr>
          <w:trHeight w:val="260"/>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Tier III</w:t>
            </w:r>
          </w:p>
        </w:tc>
        <w:tc>
          <w:tcPr>
            <w:tcW w:w="116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r>
      <w:tr>
        <w:trPr>
          <w:trHeight w:val="204"/>
        </w:trPr>
        <w:tc>
          <w:tcPr>
            <w:tcW w:w="402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0"/>
                <w:szCs w:val="20"/>
                <w:color w:val="auto"/>
              </w:rPr>
              <w:t>HQ Sr. Manager, New Build Install Manager,</w:t>
            </w:r>
          </w:p>
        </w:tc>
        <w:tc>
          <w:tcPr>
            <w:tcW w:w="116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8</w:t>
            </w:r>
          </w:p>
        </w:tc>
        <w:tc>
          <w:tcPr>
            <w:tcW w:w="386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Within 75 mi of Participant residence</w:t>
            </w:r>
          </w:p>
        </w:tc>
        <w:tc>
          <w:tcPr>
            <w:tcW w:w="22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7"/>
              </w:rPr>
              <w:t>12 months</w:t>
            </w:r>
          </w:p>
        </w:tc>
      </w:tr>
      <w:tr>
        <w:trPr>
          <w:trHeight w:val="252"/>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Regional Training Manager</w:t>
            </w: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r>
        <w:trPr>
          <w:trHeight w:val="200"/>
        </w:trPr>
        <w:tc>
          <w:tcPr>
            <w:tcW w:w="402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District Manager, General Manager,</w:t>
            </w:r>
          </w:p>
        </w:tc>
        <w:tc>
          <w:tcPr>
            <w:tcW w:w="11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9</w:t>
            </w:r>
          </w:p>
        </w:tc>
        <w:tc>
          <w:tcPr>
            <w:tcW w:w="38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Within 50 mi of Participant residence</w:t>
            </w:r>
          </w:p>
        </w:tc>
        <w:tc>
          <w:tcPr>
            <w:tcW w:w="2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12 months</w:t>
            </w:r>
          </w:p>
        </w:tc>
      </w:tr>
      <w:tr>
        <w:trPr>
          <w:trHeight w:val="225"/>
        </w:trPr>
        <w:tc>
          <w:tcPr>
            <w:tcW w:w="4020" w:type="dxa"/>
            <w:vAlign w:val="bottom"/>
            <w:tcBorders>
              <w:left w:val="single" w:sz="8" w:color="auto"/>
              <w:right w:val="single" w:sz="8" w:color="auto"/>
            </w:tcBorders>
          </w:tcPr>
          <w:p>
            <w:pPr>
              <w:ind w:left="120"/>
              <w:spacing w:after="0" w:line="226" w:lineRule="exact"/>
              <w:rPr>
                <w:sz w:val="20"/>
                <w:szCs w:val="20"/>
                <w:color w:val="auto"/>
              </w:rPr>
            </w:pPr>
            <w:r>
              <w:rPr>
                <w:rFonts w:ascii="Times New Roman" w:cs="Times New Roman" w:eastAsia="Times New Roman" w:hAnsi="Times New Roman"/>
                <w:sz w:val="20"/>
                <w:szCs w:val="20"/>
                <w:color w:val="auto"/>
              </w:rPr>
              <w:t>Maintenance Manager, HQ Manager, HQ</w:t>
            </w:r>
          </w:p>
        </w:tc>
        <w:tc>
          <w:tcPr>
            <w:tcW w:w="116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r>
      <w:tr>
        <w:trPr>
          <w:trHeight w:val="256"/>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xml:space="preserve">Professional </w:t>
            </w:r>
            <w:r>
              <w:rPr>
                <w:rFonts w:ascii="Times New Roman" w:cs="Times New Roman" w:eastAsia="Times New Roman" w:hAnsi="Times New Roman"/>
                <w:sz w:val="20"/>
                <w:szCs w:val="20"/>
                <w:i w:val="1"/>
                <w:iCs w:val="1"/>
                <w:color w:val="auto"/>
              </w:rPr>
              <w:t>(P3 and P4)</w:t>
            </w:r>
          </w:p>
        </w:tc>
        <w:tc>
          <w:tcPr>
            <w:tcW w:w="116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2.1Grant of Option</w:t>
      </w:r>
      <w:r>
        <w:rPr>
          <w:rFonts w:ascii="Times New Roman" w:cs="Times New Roman" w:eastAsia="Times New Roman" w:hAnsi="Times New Roman"/>
          <w:sz w:val="20"/>
          <w:szCs w:val="20"/>
          <w:color w:val="auto"/>
        </w:rPr>
        <w:t>. In consideration of Participant’s past and/or continued employment with or service to a Participating Company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the Participant the Option to purchase any part or all of an aggregate number of Shares set forth in the Grant Notice, upon the terms and conditions set forth in the Grant Notice, the Plan and this Agreement, subject to adjustment as provided in Section 12.2 of the Plan.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2.2Exercise Price</w:t>
      </w:r>
      <w:r>
        <w:rPr>
          <w:rFonts w:ascii="Times New Roman" w:cs="Times New Roman" w:eastAsia="Times New Roman" w:hAnsi="Times New Roman"/>
          <w:sz w:val="20"/>
          <w:szCs w:val="20"/>
          <w:color w:val="auto"/>
        </w:rPr>
        <w:t>. The exercise price per Share of the Shares subject to the Option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shall be as set forth in the Grant Notice.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2.3 Consideration to the Company</w:t>
      </w:r>
      <w:r>
        <w:rPr>
          <w:rFonts w:ascii="Times New Roman" w:cs="Times New Roman" w:eastAsia="Times New Roman" w:hAnsi="Times New Roman"/>
          <w:sz w:val="20"/>
          <w:szCs w:val="20"/>
          <w:color w:val="auto"/>
        </w:rPr>
        <w:t>. In consideration of the grant of the Option by the Company, Participant agrees to render faithful and efficient services to any Participating Company.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2.4 Acceptance Period</w:t>
      </w:r>
      <w:r>
        <w:rPr>
          <w:rFonts w:ascii="Times New Roman" w:cs="Times New Roman" w:eastAsia="Times New Roman" w:hAnsi="Times New Roman"/>
          <w:sz w:val="20"/>
          <w:szCs w:val="20"/>
          <w:color w:val="auto"/>
        </w:rPr>
        <w:t>. The Participant acknowledges and agrees that as per the provisions of the Plan, the Award Agreement must be accepted within a sixty-day period from the Grant Date. Failure to accept the Award Agreement within this designated Acceptance Period shall result in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8" w:name="page99"/>
    <w:bookmarkEnd w:id="98"/>
    <w:p>
      <w:pPr>
        <w:spacing w:after="0" w:line="269" w:lineRule="auto"/>
        <w:rPr>
          <w:sz w:val="20"/>
          <w:szCs w:val="20"/>
          <w:color w:val="auto"/>
        </w:rPr>
      </w:pPr>
      <w:r>
        <w:rPr>
          <w:rFonts w:ascii="Times New Roman" w:cs="Times New Roman" w:eastAsia="Times New Roman" w:hAnsi="Times New Roman"/>
          <w:sz w:val="20"/>
          <w:szCs w:val="20"/>
          <w:color w:val="auto"/>
        </w:rPr>
        <w:t>forfeiture of the unaccepted Award, and any Shares (as defined in the Plan) associated with said Award shall subsequently become available for future grants of Awards under the Plan, as per the provisions outlined in Section 3.1(b) of the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3.1Commencement of Exercisability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54" w:lineRule="auto"/>
        <w:tabs>
          <w:tab w:leader="none" w:pos="203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Participant’s continued employment with or service to a Participating Company on each applicable vesting date and subject to </w:t>
      </w:r>
      <w:r>
        <w:rPr>
          <w:rFonts w:ascii="Times New Roman" w:cs="Times New Roman" w:eastAsia="Times New Roman" w:hAnsi="Times New Roman"/>
          <w:sz w:val="20"/>
          <w:szCs w:val="20"/>
          <w:u w:val="single" w:color="auto"/>
          <w:color w:val="auto"/>
        </w:rPr>
        <w:t>Sections 3.1(b)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hereof, the Option shall become vested and exercisable in such amounts and at such times as are set forth in the Grant Notice.</w:t>
      </w:r>
    </w:p>
    <w:p>
      <w:pPr>
        <w:spacing w:after="0" w:line="188" w:lineRule="exact"/>
        <w:rPr>
          <w:sz w:val="20"/>
          <w:szCs w:val="20"/>
          <w:color w:val="auto"/>
        </w:rPr>
      </w:pPr>
    </w:p>
    <w:p>
      <w:pPr>
        <w:jc w:val="both"/>
        <w:ind w:left="2260" w:hanging="755"/>
        <w:spacing w:after="0"/>
        <w:tabs>
          <w:tab w:leader="none" w:pos="22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 xml:space="preserve">Notwithstanding the Grant Notice or the provisions of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 in the event of a CIC Qualifying Termination, the Option shall become vested and exercisable in full on the date of such CIC Qualifying Termination, (ii) upon the </w:t>
      </w:r>
      <w:r>
        <w:rPr>
          <w:rFonts w:ascii="Times New Roman" w:cs="Times New Roman" w:eastAsia="Times New Roman" w:hAnsi="Times New Roman"/>
          <w:sz w:val="17"/>
          <w:szCs w:val="17"/>
          <w:color w:val="auto"/>
        </w:rPr>
        <w:t>occurrence</w:t>
      </w:r>
      <w:r>
        <w:rPr>
          <w:rFonts w:ascii="Times New Roman" w:cs="Times New Roman" w:eastAsia="Times New Roman" w:hAnsi="Times New Roman"/>
          <w:sz w:val="20"/>
          <w:szCs w:val="20"/>
          <w:color w:val="auto"/>
        </w:rPr>
        <w:t xml:space="preserve"> of the Cessation Date by reason of Participant’s Termination of Service due to death or Disability, the Option shall become vested and exercisable in full upon such Cessation Date, or (iii) in the event of a Retirement Qualifying Termination, the Option that would have become vested and exercisable within 12 months following the Retirement Notice Date shall become vested and exercisable upon the date of such Retirement Qualifying Termination.</w:t>
      </w:r>
    </w:p>
    <w:p>
      <w:pPr>
        <w:spacing w:after="0" w:line="190" w:lineRule="exact"/>
        <w:rPr>
          <w:sz w:val="20"/>
          <w:szCs w:val="20"/>
          <w:color w:val="auto"/>
        </w:rPr>
      </w:pPr>
    </w:p>
    <w:p>
      <w:pPr>
        <w:jc w:val="both"/>
        <w:ind w:firstLine="1505"/>
        <w:spacing w:after="0" w:line="249" w:lineRule="auto"/>
        <w:tabs>
          <w:tab w:leader="none" w:pos="203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xml:space="preserve"> and unless otherwise determined by the Administrator or as set forth in a written agreement between Participant and the Company, any portion of the Option that has not become vested and exercisable on or prior to the Cessation Date (including, without limitation, pursuant to any employment or similar agreement by and between Participant and the Company) shall be forfeited on the Cessation Date and shall not thereafter become vested or exercisable.</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3.2Duration of Exercisability</w:t>
      </w:r>
      <w:r>
        <w:rPr>
          <w:rFonts w:ascii="Times New Roman" w:cs="Times New Roman" w:eastAsia="Times New Roman" w:hAnsi="Times New Roman"/>
          <w:sz w:val="20"/>
          <w:szCs w:val="20"/>
          <w:color w:val="auto"/>
        </w:rPr>
        <w:t xml:space="preserve">. The installments provided for in the vesting schedule set forth in the Grant Notice are cumulative. Each such installment that becomes vested and exercisable pursuant to the vesting schedule set forth in the Grant Notice shall remain vested and exercisable until it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Once the Option becomes unexercisable, it shall be forfeited immediately.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3.3Expiration of Option</w:t>
      </w:r>
      <w:r>
        <w:rPr>
          <w:rFonts w:ascii="Times New Roman" w:cs="Times New Roman" w:eastAsia="Times New Roman" w:hAnsi="Times New Roman"/>
          <w:sz w:val="20"/>
          <w:szCs w:val="20"/>
          <w:color w:val="auto"/>
        </w:rPr>
        <w:t>. The Option may not be exercised to any extent by anyone after the first to occur of the following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events:</w:t>
      </w:r>
    </w:p>
    <w:p>
      <w:pPr>
        <w:spacing w:after="0" w:line="190" w:lineRule="exact"/>
        <w:rPr>
          <w:sz w:val="20"/>
          <w:szCs w:val="20"/>
          <w:color w:val="auto"/>
        </w:rPr>
      </w:pPr>
    </w:p>
    <w:p>
      <w:pPr>
        <w:ind w:firstLine="1505"/>
        <w:spacing w:after="0" w:line="273" w:lineRule="auto"/>
        <w:tabs>
          <w:tab w:leader="none" w:pos="20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expiration date set forth in the Grant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expiration date shall not be later than the tenth (10th) anniversary of the Grant Date;</w:t>
      </w:r>
    </w:p>
    <w:p>
      <w:pPr>
        <w:spacing w:after="0" w:line="15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ninetieth (90th) day following the Cessation Date by reason of Participant’s Termination of Service for any reason other than due to death, Disability, a Retirement Qualifying Termination or by a Participating Company for Cause;</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immediately upon the Cessation Date by reason of Participant’s Termination of Service by a Participating Company for Cause;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ind w:right="140" w:firstLine="1153"/>
        <w:spacing w:after="0" w:line="269" w:lineRule="auto"/>
        <w:tabs>
          <w:tab w:leader="none" w:pos="15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twenty-four (24) months from the Cessation Date by reason of Participant’s Termination of Employment due to death or Disability or due to Participant’s Retirement Qualifying Termination.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3.4Tax Withholding</w:t>
      </w:r>
      <w:r>
        <w:rPr>
          <w:rFonts w:ascii="Times New Roman" w:cs="Times New Roman" w:eastAsia="Times New Roman" w:hAnsi="Times New Roman"/>
          <w:sz w:val="20"/>
          <w:szCs w:val="20"/>
          <w:color w:val="auto"/>
        </w:rPr>
        <w:t>. Notwithstanding any other provision of this Agreement:</w:t>
      </w:r>
    </w:p>
    <w:p>
      <w:pPr>
        <w:spacing w:after="0" w:line="216" w:lineRule="exact"/>
        <w:rPr>
          <w:sz w:val="20"/>
          <w:szCs w:val="20"/>
          <w:color w:val="auto"/>
        </w:rPr>
      </w:pPr>
    </w:p>
    <w:p>
      <w:pPr>
        <w:jc w:val="both"/>
        <w:ind w:firstLine="1505"/>
        <w:spacing w:after="0" w:line="246"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required by Applicable Law to be withheld with respect to any taxable event arising pursuant to this Agreement. The Participating Companies may withhold, or Participant may make such payment in one or more of the forms specified below:</w:t>
      </w:r>
    </w:p>
    <w:p>
      <w:pPr>
        <w:spacing w:after="0" w:line="184"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made payable to the Participating Company with respect to which the withholding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 arises;</w:t>
      </w:r>
    </w:p>
    <w:p>
      <w:pPr>
        <w:spacing w:after="0" w:line="193"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1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(iii)with respect to any withholding taxes arising in connection with the exercise of the Option, with the consent of the Administrator, by requesting that the Participating Companies withhold a net number of vested Shares otherwise issuable upon the exercise of the Option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8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(iv)with respect to any withholding taxes arising in connection with the exercise of the Option, 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85" w:lineRule="exact"/>
        <w:rPr>
          <w:sz w:val="20"/>
          <w:szCs w:val="20"/>
          <w:color w:val="auto"/>
        </w:rPr>
      </w:pPr>
    </w:p>
    <w:p>
      <w:pPr>
        <w:jc w:val="both"/>
        <w:ind w:firstLine="2254"/>
        <w:spacing w:after="0" w:line="245" w:lineRule="auto"/>
        <w:tabs>
          <w:tab w:leader="none" w:pos="254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exercise of the Option, through the delivery of a notice that Participant has placed a market sell order with a broker acceptable to the Company with respect to Shares then issuable to Participant pursuant to the Option, and that the broker has been directed to pay a sufficient portion of the net proceeds of the sale to the Participating Company with respect to which the withholding obligation arises in satisfaction of such withholding taxes; provided that payment of such proceeds is then made to the applicable Participating Company at such time as may be required by the Administrator, but in any event not later than the settlement of such sale; or</w:t>
      </w:r>
    </w:p>
    <w:p>
      <w:pPr>
        <w:spacing w:after="0" w:line="1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(vi)in any combination of the foregoing.</w:t>
      </w:r>
    </w:p>
    <w:p>
      <w:pPr>
        <w:spacing w:after="0" w:line="216" w:lineRule="exact"/>
        <w:rPr>
          <w:sz w:val="20"/>
          <w:szCs w:val="20"/>
          <w:color w:val="auto"/>
        </w:rPr>
      </w:pPr>
    </w:p>
    <w:p>
      <w:pPr>
        <w:jc w:val="both"/>
        <w:ind w:firstLine="1505"/>
        <w:spacing w:after="0" w:line="260" w:lineRule="auto"/>
        <w:tabs>
          <w:tab w:leader="none" w:pos="2036"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withholding taxes arising in connection with the Option, in the event Participant fails to provide timely payment of all sums required pursuant to </w:t>
      </w:r>
      <w:r>
        <w:rPr>
          <w:rFonts w:ascii="Times New Roman" w:cs="Times New Roman" w:eastAsia="Times New Roman" w:hAnsi="Times New Roman"/>
          <w:sz w:val="19"/>
          <w:szCs w:val="19"/>
          <w:u w:val="single" w:color="auto"/>
          <w:color w:val="auto"/>
        </w:rPr>
        <w:t>Section 3.4(a)</w:t>
      </w:r>
      <w:r>
        <w:rPr>
          <w:rFonts w:ascii="Times New Roman" w:cs="Times New Roman" w:eastAsia="Times New Roman" w:hAnsi="Times New Roman"/>
          <w:sz w:val="19"/>
          <w:szCs w:val="19"/>
          <w:color w:val="auto"/>
        </w:rPr>
        <w:t xml:space="preserve">, the Company shall have the right and option, but not the obligation, to treat such failure as an election by Participant to satisfy all or any portion of Participant’s required payment obligation pursuant to </w:t>
      </w:r>
      <w:r>
        <w:rPr>
          <w:rFonts w:ascii="Times New Roman" w:cs="Times New Roman" w:eastAsia="Times New Roman" w:hAnsi="Times New Roman"/>
          <w:sz w:val="19"/>
          <w:szCs w:val="19"/>
          <w:u w:val="single" w:color="auto"/>
          <w:color w:val="auto"/>
        </w:rPr>
        <w:t>Section 3.4(a)</w:t>
      </w:r>
    </w:p>
    <w:p>
      <w:pPr>
        <w:ind w:left="300" w:hanging="292"/>
        <w:spacing w:after="0"/>
        <w:tabs>
          <w:tab w:leader="none" w:pos="300" w:val="left"/>
        </w:tabs>
        <w:numPr>
          <w:ilvl w:val="0"/>
          <w:numId w:val="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Section 3.4(a)(iii)</w:t>
      </w:r>
      <w:r>
        <w:rPr>
          <w:rFonts w:ascii="Times New Roman" w:cs="Times New Roman" w:eastAsia="Times New Roman" w:hAnsi="Times New Roman"/>
          <w:sz w:val="20"/>
          <w:szCs w:val="20"/>
          <w:color w:val="auto"/>
        </w:rPr>
        <w:t xml:space="preserve"> above, or any combination of the foregoing as the Company may determine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46" w:lineRule="auto"/>
        <w:rPr>
          <w:sz w:val="20"/>
          <w:szCs w:val="20"/>
          <w:color w:val="auto"/>
        </w:rPr>
      </w:pPr>
      <w:r>
        <w:rPr>
          <w:rFonts w:ascii="Times New Roman" w:cs="Times New Roman" w:eastAsia="Times New Roman" w:hAnsi="Times New Roman"/>
          <w:sz w:val="20"/>
          <w:szCs w:val="20"/>
          <w:color w:val="auto"/>
        </w:rPr>
        <w:t>to be appropriate. The Company shall not be obligated to deliver any certificate representing Shares issuable with respect to the exercise of the Option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185" w:lineRule="exact"/>
        <w:rPr>
          <w:sz w:val="20"/>
          <w:szCs w:val="20"/>
          <w:color w:val="auto"/>
        </w:rPr>
      </w:pPr>
    </w:p>
    <w:p>
      <w:pPr>
        <w:jc w:val="both"/>
        <w:ind w:firstLine="1505"/>
        <w:spacing w:after="0" w:line="243"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Option will be satisfied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3.4(a)(iii)</w:t>
      </w:r>
      <w:r>
        <w:rPr>
          <w:rFonts w:ascii="Times New Roman" w:cs="Times New Roman" w:eastAsia="Times New Roman" w:hAnsi="Times New Roman"/>
          <w:sz w:val="20"/>
          <w:szCs w:val="20"/>
          <w:color w:val="auto"/>
        </w:rPr>
        <w:t xml:space="preserve">, then the Company may elect to instruct any brokerage firm determined acceptable to the Company for such purpose to sell on Participant’s behalf a whole number of Shares from those Shares then issuable upon the exercise of the Option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Option constitutes Participant’s instruction and authorization to the Company and such brokerage firm to complete the transactions described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3.4(c)</w:t>
      </w:r>
      <w:r>
        <w:rPr>
          <w:rFonts w:ascii="Times New Roman" w:cs="Times New Roman" w:eastAsia="Times New Roman" w:hAnsi="Times New Roman"/>
          <w:sz w:val="20"/>
          <w:szCs w:val="20"/>
          <w:color w:val="auto"/>
        </w:rPr>
        <w:t xml:space="preserve">, including the transactions described in the previous sentence, as applicable. The Company may refuse to issue any Shares to Participant until the foregoing tax withholding obligations are satisfied, provided that no payment shall be delayed under this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if such delay will result in a violation of Section 409A.</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Option, regardless of any action any Participating Company takes with respect to any tax withholding obligations that arise in connection with the Option. No Participating Company makes any representation or undertaking regarding the treatment of any tax withholding in connection with the awarding, vesting or exercise of the Option or the subsequent sale of Shares. The Participating Companies do not commit and are under no obligation to structure the Option to reduce or eliminate Participant’s tax liability.</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3.5</w:t>
      </w:r>
      <w:r>
        <w:rPr>
          <w:sz w:val="20"/>
          <w:szCs w:val="20"/>
          <w:color w:val="auto"/>
        </w:rPr>
        <w:tab/>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505"/>
        <w:spacing w:after="0" w:line="241"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of a Change in Control, unless the Administrator elects to (i) terminate the Option in exchange for cash, rights or property, or (ii) cause the Option to become fully exercisable and no longer subject to any forfeiture restrictions prior to the consummation of a Change in Control, pursuant to Section 12.2 of the Plan, (A) such Option (other than any portion subject to performance-based vesting, if any) shall continue in effect or be assumed or an equivalent Award (which may include, without limitation, an Award settled in cash) substituted by the successor corporation or a parent or subsidiary of the successor corporation and (B) the portion of such Option subject to performance-based vesting, if any, shall vest at either (as the Administrator may determine) (i) the target level of performance, pro-rated based on the period elapsed between the beginning of the applicable Performance Period and the date of the Change in Control, or (ii) the actual performance level as of the date of the Change in Control (as determined by the Administrator) with respect to all open Performance Periods.</w:t>
      </w:r>
    </w:p>
    <w:p>
      <w:pPr>
        <w:spacing w:after="0" w:line="206" w:lineRule="exact"/>
        <w:rPr>
          <w:rFonts w:ascii="Times New Roman" w:cs="Times New Roman" w:eastAsia="Times New Roman" w:hAnsi="Times New Roman"/>
          <w:sz w:val="22"/>
          <w:szCs w:val="22"/>
          <w:color w:val="auto"/>
        </w:rPr>
      </w:pPr>
    </w:p>
    <w:p>
      <w:pPr>
        <w:jc w:val="both"/>
        <w:ind w:firstLine="1505"/>
        <w:spacing w:after="0"/>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that the successor corporation in a Change in Control refuses to assume or substitute for the Option (other than any portion subject to performance-based vesting, if any), the Administrator may cause (i) any or all of such Option (or portion thereof) to terminate in exchange for cash, rights or other property pursuant to Section 12.2(b)(i) of the Plan or (ii) any or all of such Option (or portion thereof) to become fully exercisable immediately prior to the consummation of such transaction and all forfeiture restrictions on any or all of such Option to lapse. If any such Option is exercisable in lieu of assumption or substitution in the event of a Change in Control, the Administrator shall notify the Participant that such Option shall be fully exercisable for a period of fifteen (15) days from the date of such notice, contingent upon the occurrence of the Change in Control, and such Option shall terminate upon the expiration of such period.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ind w:firstLine="1505"/>
        <w:spacing w:after="0"/>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the purposes of this Agreement, the Option shall be considered assumed if, following the Change in Control, the Option confers the right to purchase or receive, for each Share subject to the Option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Option, for each Share subject to the Option, to be solely common stock of the successor corporation or its parent equal in fair market value to the per-share consideration received by holders of Common Stock in the Change in Control.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4.1Person Eligible to Exercise</w:t>
      </w:r>
      <w:r>
        <w:rPr>
          <w:rFonts w:ascii="Times New Roman" w:cs="Times New Roman" w:eastAsia="Times New Roman" w:hAnsi="Times New Roman"/>
          <w:sz w:val="20"/>
          <w:szCs w:val="20"/>
          <w:color w:val="auto"/>
        </w:rPr>
        <w:t xml:space="preserve">. During the lifetime of Participant, only Participant may exercise the Option or any portion thereof. After the death of Participant, any exercisable portion of the Option may, prior to the time when the Option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be exercised by Participant’s personal representative or by any Person empowered to do so under the deceased Participant’s will or under the then Applicable Laws of descent and distribution.</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4.2 Partial Exercise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any exercisable portion of the Option or the entire Option, if then wholly exercisable, may be exercised in whole or in part at any time prior to the time when the Option or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4.3Manner of Exercise</w:t>
      </w:r>
      <w:r>
        <w:rPr>
          <w:rFonts w:ascii="Times New Roman" w:cs="Times New Roman" w:eastAsia="Times New Roman" w:hAnsi="Times New Roman"/>
          <w:sz w:val="20"/>
          <w:szCs w:val="20"/>
          <w:color w:val="auto"/>
        </w:rPr>
        <w:t xml:space="preserve">. The Option, or any exercisable portion thereof, may be exercised solely by delivery to the Secretary of the Company (or any third-party administrator or other Person designated by the Company), during regular business hours, of all of the following prior to the time when the Option or such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74" w:lineRule="exact"/>
        <w:rPr>
          <w:sz w:val="20"/>
          <w:szCs w:val="20"/>
          <w:color w:val="auto"/>
        </w:rPr>
      </w:pPr>
    </w:p>
    <w:p>
      <w:pPr>
        <w:ind w:firstLine="1505"/>
        <w:spacing w:after="0" w:line="269" w:lineRule="auto"/>
        <w:tabs>
          <w:tab w:leader="none" w:pos="20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Administrator, stating that the Option or portion thereof is thereby exercised, such notice complying with all applicable rules established by the Administrator;</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the Company of full payment for the Shares with respect to which the Option or portion thereof is exercised, in such form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that is acceptable to the Administrator;</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any applicable withholding tax in accordance with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effect compliance with Applicable Law; and</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Option or portion thereof shall be exercised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by any Person or Persons other than Participant, appropriate proof of the right of such Person or Persons to exercise the Option.</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02" w:name="page103"/>
    <w:bookmarkEnd w:id="102"/>
    <w:p>
      <w:pPr>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4.4Method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 Participant:</w:t>
      </w:r>
    </w:p>
    <w:p>
      <w:pPr>
        <w:spacing w:after="0" w:line="159" w:lineRule="exact"/>
        <w:rPr>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Administrator, surrender of vested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the delivery of a notice that Participant has placed a market sell order with a broker acceptable to the Company with respect to Shares then issuable upon exercise of the Option, and that the broker has been directed to pay a sufficient portion of the net proceeds of the sale to the Company in satisfaction of the Exercise Price;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Company at such time as may be required by the Administrator, but in any event not later than the settlement of such sale; or</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of legal consideration acceptable to the Administrator.</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4.5Conditions to Issuance of Shares</w:t>
      </w:r>
      <w:r>
        <w:rPr>
          <w:rFonts w:ascii="Times New Roman" w:cs="Times New Roman" w:eastAsia="Times New Roman" w:hAnsi="Times New Roman"/>
          <w:sz w:val="20"/>
          <w:szCs w:val="20"/>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and (e) the receipt of full payment of any applicable withholding tax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by the Participating Company with respect to which the applicable withholding obligation arises.</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4.6Rights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Section 12.2 of the Plan.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5.1 Restrictive Covenants</w:t>
      </w:r>
      <w:r>
        <w:rPr>
          <w:rFonts w:ascii="Times New Roman" w:cs="Times New Roman" w:eastAsia="Times New Roman" w:hAnsi="Times New Roman"/>
          <w:sz w:val="20"/>
          <w:szCs w:val="20"/>
          <w:color w:val="auto"/>
        </w:rPr>
        <w:t xml:space="preserve">. In consideration of the benefits being provided to Participant pursuant to this Agreement, Participant agrees to be bound by the restrictive covenants contained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1505"/>
        <w:spacing w:after="0" w:line="241" w:lineRule="auto"/>
        <w:tabs>
          <w:tab w:leader="none" w:pos="203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Participant agrees that Participant shall not use for Participant’s own purpose or for the benefit of any person or entity including, without limitation, a Competing Business other than a Participating Company or its respective shareholders or affiliates, nor shall Participant otherwise disclose to any individual or entity at any time while Participant is employed by a Participating Company or thereafter any Proprietary Information (as defined below) of the Company unless such disclosure (i) has been authorized by the Board; (ii) is reasonably required within the course and scope of Participant’s employment with the Company; or (iii) is required by law, a court of competent jurisdiction or a governmental or regulatory agency. “</w:t>
      </w: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xml:space="preserve">” shall mean (A) the name or address of any customer, supplier or parent or subsidiary entity of a Participating Company or any information concerning the transactions or relations of any customer, supplier or parent or subsidiary entity of a Participating Company or any of its shareholders; (B) any information concerning any product, service, technology or procedure offered or used by a Participating Company, or under development by or being considered for use by a Participating Company; (C) any information relating to marketing or pricing plans or methods, capital structure, or any business or strategic plans of a Participating Company; (D) any inventions, innovations, trade secrets, patents and processes in any way relating, directly or indirectly, to a Participating Company’s business developed by Participant alone or in conjunction with others; and (E) any other information which the Board has determined by resolution and communicated to Participant in writing to be proprietary information for purposes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“Proprietary Information” shall not include any information that is or becomes generally known to the public other than through actions of Participant in violation of the restrictive covenants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any Similar Covenants (as defined below).</w:t>
      </w:r>
    </w:p>
    <w:p>
      <w:pPr>
        <w:spacing w:after="0" w:line="189" w:lineRule="exact"/>
        <w:rPr>
          <w:sz w:val="20"/>
          <w:szCs w:val="20"/>
          <w:color w:val="auto"/>
        </w:rPr>
      </w:pPr>
    </w:p>
    <w:p>
      <w:pPr>
        <w:ind w:left="2540" w:right="580" w:hanging="12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THE FOLLOWING RESTRICTIVE COVENANTS CONTAINED IN SECTION 5.1 (b) DO NOT APPLY TO EMPLOYEES IN THE FOLLOWING STATES: CA, CO, MN AND OK</w:t>
      </w:r>
    </w:p>
    <w:p>
      <w:pPr>
        <w:spacing w:after="0" w:line="156" w:lineRule="exact"/>
        <w:rPr>
          <w:sz w:val="20"/>
          <w:szCs w:val="20"/>
          <w:color w:val="auto"/>
        </w:rPr>
      </w:pPr>
    </w:p>
    <w:p>
      <w:pPr>
        <w:jc w:val="both"/>
        <w:ind w:firstLine="1505"/>
        <w:spacing w:after="0" w:line="244"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Participant acknowledges that during Participant’s employment with a Participating Company Participant will become familiar with Proprietary Information and that Participant’s services will be of special, unique and extraordinary value to the Participating Company. Therefore, Participant agrees that during the Restricted Period, Participant shall not directly or indirectly own, manage, control, participate in, consult with, render services for, or in any manner engage in any business with a Competing Business. Nothing herein shall prohibit Participant from being a passive owner of not more than two percent (2%) of the outstanding equity of any entity which is publicly traded or a mutual investment fund so long as Participant has no direct or indirect active participation in the business of such entity.</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During the Restricted Period, Participant shall not directly or indirectly (i) induce or attempt to induce any employee of a Participating Company to terminate such employment, or in any way interfere with the employee relationship between a Participating Company and any such employee; (ii) hire any person who is, or, at any time during the twelve (12)-month period immediately prior to the date of Participant’s Termination of Service, was, an employee of a Participating Company; or (iii) induce or attempt to induce any person having a business relationship with a Participating Company to cease doing business with the Participating Company or interfere materially with the relationship between any such person and the Participating Company.</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Participant agrees not to disparage any Participating Company, any of its products or practices, any of its directors, officers, agents, representatives, employees, or affiliates, either orally or in writing, at any time; provided that Participant shall not be required to make any untruthful statement or to violate any law.</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Surrender of Records</w:t>
      </w:r>
      <w:r>
        <w:rPr>
          <w:rFonts w:ascii="Times New Roman" w:cs="Times New Roman" w:eastAsia="Times New Roman" w:hAnsi="Times New Roman"/>
          <w:sz w:val="20"/>
          <w:szCs w:val="20"/>
          <w:color w:val="auto"/>
        </w:rPr>
        <w:t>. Participant agrees that, upon Participant’s Termination of Service and at any other time requested by the Administrator, Participant shall not retain and shall promptly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20"/>
          <w:szCs w:val="20"/>
          <w:color w:val="auto"/>
        </w:rPr>
        <w:t>surrender to the Company or, with the Company’s prior consent, delete or destroy all correspondence, memoranda, files, manuals, financial, operating or marketing records, magnetic tape, or electronic or other media of any kind which may be in Participant’s possession or under Participant’s control or accessible to Participant which contain any Proprietary Information.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5.2Enforcement</w:t>
      </w:r>
      <w:r>
        <w:rPr>
          <w:rFonts w:ascii="Times New Roman" w:cs="Times New Roman" w:eastAsia="Times New Roman" w:hAnsi="Times New Roman"/>
          <w:sz w:val="19"/>
          <w:szCs w:val="19"/>
          <w:color w:val="auto"/>
        </w:rPr>
        <w:t xml:space="preserve">. Unless otherwise set forth above, the parties hereto agree that the time, duration, and area for which the covenants set forth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are to be effective are 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will be deemed to be a series of separate covenants, one for each and every county, parish and similar subdivision of each and every state of the United States of America (and each and every subdivision of each other geographical area in which a Participating Company then engages in business or engaged in business at any time during Participant’s employment with a Participating Company). Participant agrees that damages are an inadequate remedy for any breach of the covenants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and that the Company will, whether or not it is pursuing any potential remedies at law, be entitled to equitable relief in the form of preliminary and permanent injunctions without bond or other security upon any actual or threatened breach of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Unless otherwise set forth above, Participant acknowledges and agrees that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 is ancillary to a valid employment relationship with the Company or any other Participating Company, (b) is reasonably necessary to protect a Participating Company’s legitimate business interest (including, without limitation, the Participating Company’s customer relationships and Proprietary Information), and (c) does not unreasonably restrict Participant’s right to work in his or her chosen profession. Notwithstanding anything to the contrary, nothing herein is intended to or will prohibit Participant from filing a charge with, reporting possible violations of law or regulation to, participating in any investigation by, cooperating with, or communicating directly with, or providing information in confidence to, any governmental entity or making other disclosures that are protected under the whistleblower provisions of applicable law or regulation. For the avoidance of doubt, Participant shall remain obligated to comply with any similar confidentiality, return of property, non-competition, non-solicitation, non-disparagement, or intellectual property covenant that runs in favor of the Company and by which Participant is bound, the terms of which are incorporated herein by reference (collectively, “</w:t>
      </w:r>
      <w:r>
        <w:rPr>
          <w:rFonts w:ascii="Times New Roman" w:cs="Times New Roman" w:eastAsia="Times New Roman" w:hAnsi="Times New Roman"/>
          <w:sz w:val="19"/>
          <w:szCs w:val="19"/>
          <w:u w:val="single" w:color="auto"/>
          <w:color w:val="auto"/>
        </w:rPr>
        <w:t>Similar Covenants</w:t>
      </w:r>
      <w:r>
        <w:rPr>
          <w:rFonts w:ascii="Times New Roman" w:cs="Times New Roman" w:eastAsia="Times New Roman" w:hAnsi="Times New Roman"/>
          <w:sz w:val="19"/>
          <w:szCs w:val="19"/>
          <w:color w:val="auto"/>
        </w:rPr>
        <w:t xml:space="preserve">”), in addition to the covenants set forth in this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and nothing herein shall supersede or amend any Similar Covenants unless otherwise prohibited by law.</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6.1Administration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6.2Whole Shares</w:t>
      </w:r>
      <w:r>
        <w:rPr>
          <w:rFonts w:ascii="Times New Roman" w:cs="Times New Roman" w:eastAsia="Times New Roman" w:hAnsi="Times New Roman"/>
          <w:sz w:val="20"/>
          <w:szCs w:val="20"/>
          <w:color w:val="auto"/>
        </w:rPr>
        <w:t>. The Option may only be exercised for whole Shares.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6.3Option Not Transferable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the Option may not be sold, pledged, assigned, or transferred in any manner other than by will or the laws of descent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43" w:lineRule="auto"/>
        <w:rPr>
          <w:sz w:val="20"/>
          <w:szCs w:val="20"/>
          <w:color w:val="auto"/>
        </w:rPr>
      </w:pPr>
      <w:r>
        <w:rPr>
          <w:rFonts w:ascii="Times New Roman" w:cs="Times New Roman" w:eastAsia="Times New Roman" w:hAnsi="Times New Roman"/>
          <w:sz w:val="20"/>
          <w:szCs w:val="20"/>
          <w:color w:val="auto"/>
        </w:rPr>
        <w:t>distribution, unless and until the Shares underlying the Option have been issued, and all restrictions applicable to such Shares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if the Option is a Non-Qualified Stock Option, it may be transferred to Permitted Transferees pursuant to any conditions and procedures the Administrator may require.</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6.4Adjustments</w:t>
      </w:r>
      <w:r>
        <w:rPr>
          <w:rFonts w:ascii="Times New Roman" w:cs="Times New Roman" w:eastAsia="Times New Roman" w:hAnsi="Times New Roman"/>
          <w:sz w:val="20"/>
          <w:szCs w:val="20"/>
          <w:color w:val="auto"/>
        </w:rPr>
        <w:t>. The Administrator may accelerate the vesting of all or a portion of the Option in such circumstances as it, in its sole discretion, may determine. Participant acknowledges that the Option is subject to adjustment, modification and termination in certain events as provided in this Agreement and the Plan, including Section 12.2 of the Plan.</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6.5Notices</w:t>
      </w:r>
      <w:r>
        <w:rPr>
          <w:rFonts w:ascii="Times New Roman" w:cs="Times New Roman" w:eastAsia="Times New Roman" w:hAnsi="Times New Roman"/>
          <w:sz w:val="20"/>
          <w:szCs w:val="20"/>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email or physical address reflected on the Company’s records. By a notice given pursuant to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either party may hereafter designate a different address for notices to be given to that party. Any notice shall be deemed duly given when sent via email (to Participant only) or when sent by certified mail (return receipt requested) and deposited (with postage prepaid) in a post office or branch post office regularly maintained by the United States Postal Service.</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6.6Titles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9"/>
          <w:szCs w:val="19"/>
          <w:u w:val="single" w:color="auto"/>
          <w:color w:val="auto"/>
        </w:rPr>
        <w:t>Section 6.7Governing Law</w:t>
      </w:r>
      <w:r>
        <w:rPr>
          <w:rFonts w:ascii="Times New Roman" w:cs="Times New Roman" w:eastAsia="Times New Roman" w:hAnsi="Times New Roman"/>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3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6.8 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the Grant Notice and this Agreement shall be deemed amended to the extent necessary to conform to Applicable Law.</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6.9Amendment,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adversely affect the Option in any material respect without the prior written consent of Participant.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6.10Successors and Assigns</w:t>
      </w:r>
      <w:r>
        <w:rPr>
          <w:rFonts w:ascii="Times New Roman" w:cs="Times New Roman" w:eastAsia="Times New Roman" w:hAnsi="Times New Roman"/>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and the Plan,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69" w:lineRule="auto"/>
        <w:rPr>
          <w:sz w:val="20"/>
          <w:szCs w:val="20"/>
          <w:color w:val="auto"/>
        </w:rPr>
      </w:pPr>
      <w:r>
        <w:rPr>
          <w:rFonts w:ascii="Times New Roman" w:cs="Times New Roman" w:eastAsia="Times New Roman" w:hAnsi="Times New Roman"/>
          <w:sz w:val="20"/>
          <w:szCs w:val="20"/>
          <w:color w:val="auto"/>
        </w:rPr>
        <w:t>this Agreement shall be binding upon and inure to the benefit of the heirs, legatees, legal representatives, successors and assigns of the parties hereto.</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6.11Limitations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6.12Not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(i) expressly provided otherwise in a written agreement between a Participating Company and Participant or (ii) where such provisions are not consistent with applicable foreign or local laws, in which case such applicable foreign or local laws shall control.</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6.13Entire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6.14Section 409A</w:t>
      </w:r>
      <w:r>
        <w:rPr>
          <w:rFonts w:ascii="Times New Roman" w:cs="Times New Roman" w:eastAsia="Times New Roman" w:hAnsi="Times New Roman"/>
          <w:sz w:val="20"/>
          <w:szCs w:val="20"/>
          <w:color w:val="auto"/>
        </w:rPr>
        <w:t>. This Option is not intended to constitute “nonqualified deferred compensation” within the meaning of Section 409A. However, notwithstanding any other provision of the Plan, the Grant Notice or this Agreement, if at any time the Administrator determines that this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Option either to be exempt from the application of Section 409A or to comply with the requirements of Section 409A.</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6.15Agreement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6.16Limitation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 to receive Shares as a general unsecured creditor with respect to the Option, as and when exercised pursuant to the terms hereof.</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6.17Counterparts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6.18Broker-Assisted Sales</w:t>
      </w:r>
      <w:r>
        <w:rPr>
          <w:rFonts w:ascii="Times New Roman" w:cs="Times New Roman" w:eastAsia="Times New Roman" w:hAnsi="Times New Roman"/>
          <w:sz w:val="20"/>
          <w:szCs w:val="20"/>
          <w:color w:val="auto"/>
        </w:rPr>
        <w:t xml:space="preserve">. In the event of any broker-assisted sale of Shares in connection with the payment of withholding taxes as provided in </w:t>
      </w:r>
      <w:r>
        <w:rPr>
          <w:rFonts w:ascii="Times New Roman" w:cs="Times New Roman" w:eastAsia="Times New Roman" w:hAnsi="Times New Roman"/>
          <w:sz w:val="20"/>
          <w:szCs w:val="20"/>
          <w:u w:val="single" w:color="auto"/>
          <w:color w:val="auto"/>
        </w:rPr>
        <w:t>Section 3.4(a)(v)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or the payment of the Exercise Price as provided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(a) any Shares to be sold through a broker-assisted sale will be sold on the day the tax withholding obligation or exercise of the Option, as applicable, occurs or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Participating Company with respect to which the withholding obligation arises an amount in cash sufficient to satisfy any remaining portion of the applicable Participating Company’s withholding obligation.</w:t>
      </w:r>
    </w:p>
    <w:p>
      <w:pPr>
        <w:spacing w:after="0" w:line="19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6.19 Incentive Stock Options</w:t>
      </w:r>
      <w:r>
        <w:rPr>
          <w:rFonts w:ascii="Times New Roman" w:cs="Times New Roman" w:eastAsia="Times New Roman" w:hAnsi="Times New Roman"/>
          <w:sz w:val="20"/>
          <w:szCs w:val="20"/>
          <w:color w:val="auto"/>
        </w:rPr>
        <w:t>. Participant acknowledges that to the extent the aggregate Fair Market Value of Shares (determined as of the time the option with respect to the Shares is granted) with respect to which Incentive Stock Options, including this Option (if applicable), are exercisable for the first time by Participant during any calendar year exceeds $100,000 or if for any other reason such Incentive Stock Options do not qualify or cease to qualify for treatment as “incentive stock options” under Section 422 of the Code, such Incentive Stock Options shall be treated as Non-Qualified Stock Options. Participant further acknowledges that the rule set forth in the preceding sentence shall be applied by taking the Option and other stock options into account in the order in which they were granted, as determined under Section 422(d) of the Code and the Treasury Regulations thereunder. Participant also acknowledges that an Incentive Stock Option exercised more than three (3) months after Participant’s Termination of Service, other than by reason of death or disability, will be taxed as a Non-Qualified Stock Option.</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6.20Notification of Disposition</w:t>
      </w:r>
      <w:r>
        <w:rPr>
          <w:rFonts w:ascii="Times New Roman" w:cs="Times New Roman" w:eastAsia="Times New Roman" w:hAnsi="Times New Roman"/>
          <w:sz w:val="20"/>
          <w:szCs w:val="20"/>
          <w:color w:val="auto"/>
        </w:rPr>
        <w:t>. If this Option is designated as an Incentive Stock Option, Participant shall give prompt written notice to the Company of any disposition or other transfer of any Shares acquired under this Agreement if such disposition or transfer is made (a) within two (2) years from the Grant Date or (b) within one (1)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In the event Participant engages in fraud, intentional misconduct and/or actions leading to material reputational harm to the Company, the Administrator may, in its sole discretion, require the Participant to forfeit, disgorge, return to the Company or adjust any vested Options and/or the Shares issuable hereunder, including any amounts or profits realized by Participant in connection with such Options or the sale of Shares issuable hereunder. Notwithstanding anything to the contrary, neither this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 xml:space="preserve"> nor Section 10.5 of the Plan are intended to limit any clawback or recoupment policy in effect on the Grant Date or as may be adopted or maintained by the Company from time to time, including to the extent required in order to comply with Applicable Law, including the Dodd-Frank Wall Street Reform and Consumer Protection Act and any rules or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514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MISTER CAR WASH,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of Mister Car Wash,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Company hereby grants to the participant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both of which are incorporated into this Grant Notice by reference.</w:t>
      </w: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Number of Restricted Stock Units:</w:t>
      </w:r>
    </w:p>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108" w:lineRule="exact"/>
        <w:rPr>
          <w:sz w:val="20"/>
          <w:szCs w:val="20"/>
          <w:color w:val="auto"/>
        </w:rPr>
      </w:pPr>
    </w:p>
    <w:p>
      <w:pPr>
        <w:ind w:left="100"/>
        <w:spacing w:after="0"/>
        <w:tabs>
          <w:tab w:leader="none" w:pos="326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[To be specified in individual agreements]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[Withholding Tax Election: </w:t>
      </w:r>
      <w:r>
        <w:rPr>
          <w:rFonts w:ascii="Times New Roman" w:cs="Times New Roman" w:eastAsia="Times New Roman" w:hAnsi="Times New Roman"/>
          <w:sz w:val="19"/>
          <w:szCs w:val="19"/>
          <w:color w:val="auto"/>
        </w:rPr>
        <w:t>By accepting this Award electronically through the Plan service provider’s online grant acceptance policy,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understands and agrees that as a condition of the grant of the RSUs hereunder, Participant is required to, and hereby affirmatively elects to (the “</w:t>
      </w:r>
      <w:r>
        <w:rPr>
          <w:rFonts w:ascii="Times New Roman" w:cs="Times New Roman" w:eastAsia="Times New Roman" w:hAnsi="Times New Roman"/>
          <w:sz w:val="19"/>
          <w:szCs w:val="19"/>
          <w:u w:val="single" w:color="auto"/>
          <w:color w:val="auto"/>
        </w:rPr>
        <w:t>Sell to Cover Election</w:t>
      </w:r>
      <w:r>
        <w:rPr>
          <w:rFonts w:ascii="Times New Roman" w:cs="Times New Roman" w:eastAsia="Times New Roman" w:hAnsi="Times New Roman"/>
          <w:sz w:val="19"/>
          <w:szCs w:val="19"/>
          <w:color w:val="auto"/>
        </w:rPr>
        <w:t xml:space="preserve">”), (1) sell that number of Shares determined in accordance with Section 2.5 of the Agreement as may be necessary to satisfy the minimum applicable statutory withholding obligations with respect to any taxable event arising in connection with the RSUs </w:t>
      </w:r>
      <w:r>
        <w:rPr>
          <w:rFonts w:ascii="Times New Roman" w:cs="Times New Roman" w:eastAsia="Times New Roman" w:hAnsi="Times New Roman"/>
          <w:sz w:val="19"/>
          <w:szCs w:val="19"/>
          <w:u w:val="single" w:color="auto"/>
          <w:color w:val="auto"/>
        </w:rPr>
        <w:t>and</w:t>
      </w:r>
      <w:r>
        <w:rPr>
          <w:rFonts w:ascii="Times New Roman" w:cs="Times New Roman" w:eastAsia="Times New Roman" w:hAnsi="Times New Roman"/>
          <w:sz w:val="19"/>
          <w:szCs w:val="19"/>
          <w:color w:val="auto"/>
        </w:rPr>
        <w:t xml:space="preserve"> similarly sell such number of Shares as may be necessary to satisfy the minimum applicable statutory withholding obligations with respect to any other awards of restricted stock units granted to Participant under the Plan or any other equity incentive plans of the Company, and (2) to allow the Agent (as defined in the Agreement) to remit the cash proceeds of such sale(s) to the Company. Furthermore, Participant directs the Company to make a cash payment equal to the required tax withholding from the cash proceeds of such sale(s) directly to the appropriate taxing authorities. </w:t>
      </w:r>
      <w:r>
        <w:rPr>
          <w:rFonts w:ascii="Times New Roman" w:cs="Times New Roman" w:eastAsia="Times New Roman" w:hAnsi="Times New Roman"/>
          <w:sz w:val="19"/>
          <w:szCs w:val="19"/>
          <w:b w:val="1"/>
          <w:bCs w:val="1"/>
          <w:color w:val="auto"/>
        </w:rPr>
        <w:t>Participant has carefully reviewed Section 2.5 of the Agreement and Participant hereby represents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and warrants that on the date hereof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Securities Exchange Act of 1934, as amended (the “</w:t>
      </w:r>
      <w:r>
        <w:rPr>
          <w:rFonts w:ascii="Times New Roman" w:cs="Times New Roman" w:eastAsia="Times New Roman" w:hAnsi="Times New Roman"/>
          <w:sz w:val="19"/>
          <w:szCs w:val="19"/>
          <w:b w:val="1"/>
          <w:bCs w:val="1"/>
          <w:u w:val="single" w:color="auto"/>
          <w:color w:val="auto"/>
        </w:rPr>
        <w:t>Exchange Act</w:t>
      </w:r>
      <w:r>
        <w:rPr>
          <w:rFonts w:ascii="Times New Roman" w:cs="Times New Roman" w:eastAsia="Times New Roman" w:hAnsi="Times New Roman"/>
          <w:sz w:val="19"/>
          <w:szCs w:val="19"/>
          <w:b w:val="1"/>
          <w:bCs w:val="1"/>
          <w:color w:val="auto"/>
        </w:rPr>
        <w:t>”). It is Participant’s intent that this election to “sell to cover” comply with the requirements of Rule 10b5-1(c)(1)(i)(B) under the Exchange Act and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interpreted to comply with the requirements of Rule 10b5-1(c) under the Exchange Act.]</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1688465" cy="50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86" w:lineRule="exact"/>
        <w:rPr>
          <w:sz w:val="20"/>
          <w:szCs w:val="20"/>
          <w:color w:val="auto"/>
        </w:rPr>
      </w:pPr>
    </w:p>
    <w:p>
      <w:pPr>
        <w:ind w:left="120" w:hanging="112"/>
        <w:spacing w:after="0"/>
        <w:tabs>
          <w:tab w:leader="none" w:pos="12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Note to Draft: Include for mandatory sell-to-cover election.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46"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or relating to the RSUs.</w:t>
      </w: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6060" w:val="left"/>
        </w:tabs>
        <w:rPr>
          <w:sz w:val="20"/>
          <w:szCs w:val="20"/>
          <w:color w:val="auto"/>
        </w:rPr>
      </w:pPr>
      <w:r>
        <w:rPr>
          <w:rFonts w:ascii="Times New Roman" w:cs="Times New Roman" w:eastAsia="Times New Roman" w:hAnsi="Times New Roman"/>
          <w:sz w:val="20"/>
          <w:szCs w:val="20"/>
          <w:b w:val="1"/>
          <w:bCs w:val="1"/>
          <w:color w:val="auto"/>
        </w:rPr>
        <w:t>MISTER CAR WASH, INC.</w:t>
      </w:r>
      <w:r>
        <w:rPr>
          <w:sz w:val="20"/>
          <w:szCs w:val="20"/>
          <w:color w:val="auto"/>
        </w:rPr>
        <w:tab/>
      </w:r>
      <w:r>
        <w:rPr>
          <w:rFonts w:ascii="Times New Roman" w:cs="Times New Roman" w:eastAsia="Times New Roman" w:hAnsi="Times New Roman"/>
          <w:sz w:val="19"/>
          <w:szCs w:val="19"/>
          <w:b w:val="1"/>
          <w:bCs w:val="1"/>
          <w:color w:val="auto"/>
        </w:rPr>
        <w:t>PARTICIPANT</w:t>
      </w:r>
    </w:p>
    <w:p>
      <w:pPr>
        <w:sectPr>
          <w:pgSz w:w="11900" w:h="16838" w:orient="portrait"/>
          <w:cols w:equalWidth="0" w:num="1">
            <w:col w:w="11200"/>
          </w:cols>
          <w:pgMar w:left="320" w:top="14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173" w:lineRule="exact"/>
        <w:rPr>
          <w:sz w:val="20"/>
          <w:szCs w:val="20"/>
          <w:color w:val="auto"/>
        </w:rPr>
      </w:pPr>
    </w:p>
    <w:p>
      <w:pPr>
        <w:sectPr>
          <w:pgSz w:w="11900" w:h="16838" w:orient="portrait"/>
          <w:cols w:equalWidth="0" w:num="2">
            <w:col w:w="5400" w:space="720"/>
            <w:col w:w="5080"/>
          </w:cols>
          <w:pgMar w:left="320" w:top="1413"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Print Name:</w:t>
      </w:r>
    </w:p>
    <w:p>
      <w:pPr>
        <w:spacing w:after="0" w:line="173" w:lineRule="exact"/>
        <w:rPr>
          <w:sz w:val="20"/>
          <w:szCs w:val="20"/>
          <w:color w:val="auto"/>
        </w:rPr>
      </w:pPr>
    </w:p>
    <w:p>
      <w:pPr>
        <w:sectPr>
          <w:pgSz w:w="11900" w:h="16838" w:orient="portrait"/>
          <w:cols w:equalWidth="0" w:num="2">
            <w:col w:w="5400" w:space="720"/>
            <w:col w:w="5080"/>
          </w:cols>
          <w:pgMar w:left="320" w:top="1413"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16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9"/>
          <w:szCs w:val="19"/>
          <w:color w:val="auto"/>
        </w:rPr>
        <w:t>Address:</w:t>
      </w:r>
    </w:p>
    <w:p>
      <w:pPr>
        <w:sectPr>
          <w:pgSz w:w="11900" w:h="16838" w:orient="portrait"/>
          <w:cols w:equalWidth="0" w:num="1">
            <w:col w:w="11200"/>
          </w:cols>
          <w:pgMar w:left="320" w:top="141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TO RESTRICTED STOCK UNIT GRANT NOTICE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Participant the number of RSUs set forth in the Grant Notice.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1.1Defined Terms</w:t>
      </w:r>
      <w:r>
        <w:rPr>
          <w:rFonts w:ascii="Times New Roman" w:cs="Times New Roman" w:eastAsia="Times New Roman" w:hAnsi="Times New Roman"/>
          <w:sz w:val="20"/>
          <w:szCs w:val="20"/>
          <w:color w:val="auto"/>
        </w:rPr>
        <w:t>. Capitalized terms not specifically defined herein shall have the meanings specified in the Plan or the Grant Notice.</w:t>
      </w:r>
    </w:p>
    <w:p>
      <w:pPr>
        <w:spacing w:after="0" w:line="182" w:lineRule="exact"/>
        <w:rPr>
          <w:sz w:val="20"/>
          <w:szCs w:val="20"/>
          <w:color w:val="auto"/>
        </w:rPr>
      </w:pPr>
    </w:p>
    <w:p>
      <w:pPr>
        <w:jc w:val="both"/>
        <w:ind w:firstLine="1131"/>
        <w:spacing w:after="0" w:line="241" w:lineRule="auto"/>
        <w:tabs>
          <w:tab w:leader="none" w:pos="152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shall mean a Participating Company having “Cause” to terminate the Participant’s employment as defined in any employment agreement between the Participant and a Participating Company or in the Executive Severance Plan if the Participant participates in such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absence of an agreement containing such a definition, a Participating Company shall have “Cause” to terminate the Participant’s employment upon: (i) commission of, conviction of, or entry of a plea by the Participant of </w:t>
      </w:r>
      <w:r>
        <w:rPr>
          <w:rFonts w:ascii="Times New Roman" w:cs="Times New Roman" w:eastAsia="Times New Roman" w:hAnsi="Times New Roman"/>
          <w:sz w:val="20"/>
          <w:szCs w:val="20"/>
          <w:i w:val="1"/>
          <w:iCs w:val="1"/>
          <w:color w:val="auto"/>
        </w:rPr>
        <w:t>nolo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contendere </w:t>
      </w:r>
      <w:r>
        <w:rPr>
          <w:rFonts w:ascii="Times New Roman" w:cs="Times New Roman" w:eastAsia="Times New Roman" w:hAnsi="Times New Roman"/>
          <w:sz w:val="20"/>
          <w:szCs w:val="20"/>
          <w:color w:val="auto"/>
        </w:rPr>
        <w:t>to a felony that is materially detrimental to a Participating Company, its reputation, or its respective stockholders; (ii)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malfeasance, willful or gross misconduct, or willful dishonesty of the Participant that materially and adversely affects the business or affairs of a Participating Company, its reputation, or its respective stockholders; (iii) conviction of or entry of a plea by the Participant of </w:t>
      </w:r>
      <w:r>
        <w:rPr>
          <w:rFonts w:ascii="Times New Roman" w:cs="Times New Roman" w:eastAsia="Times New Roman" w:hAnsi="Times New Roman"/>
          <w:sz w:val="20"/>
          <w:szCs w:val="20"/>
          <w:i w:val="1"/>
          <w:iCs w:val="1"/>
          <w:color w:val="auto"/>
        </w:rPr>
        <w:t>nolo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contendere </w:t>
      </w:r>
      <w:r>
        <w:rPr>
          <w:rFonts w:ascii="Times New Roman" w:cs="Times New Roman" w:eastAsia="Times New Roman" w:hAnsi="Times New Roman"/>
          <w:sz w:val="20"/>
          <w:szCs w:val="20"/>
          <w:color w:val="auto"/>
        </w:rPr>
        <w:t>to a crime involving fraud; (iv) material violation by the Participant of the ethics/policy code of a Participating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breach of duty of loyalty to a Participating Company; (v) willful failure by the Participant to perform his duties and responsibilities hereunder or under any employment agreement between the Participant and a Participating Company; (vi) inappropriate use or disclosure by the Participant of any proprietary information of a Participating Company in violation of any employment agreement, stockholders agreement or any other written agreement between the Participant and a Participating Company that adversely affects the business or the affairs of a Participating Company in a material way; or (vii) material breach by the Participant not caused by a Participating Company of any terms and conditions of any employment agreement, stockholders agreement or any other written agreement between the Participant and a Participating Company.</w:t>
      </w:r>
    </w:p>
    <w:p>
      <w:pPr>
        <w:spacing w:after="0" w:line="194"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Cessation Date</w:t>
      </w:r>
      <w:r>
        <w:rPr>
          <w:rFonts w:ascii="Times New Roman" w:cs="Times New Roman" w:eastAsia="Times New Roman" w:hAnsi="Times New Roman"/>
          <w:sz w:val="20"/>
          <w:szCs w:val="20"/>
          <w:color w:val="auto"/>
        </w:rPr>
        <w:t>” shall mean the date of Participant’s Termination of Service (regardless of the reason for such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w:t>
      </w:r>
    </w:p>
    <w:p>
      <w:pPr>
        <w:spacing w:after="0" w:line="207" w:lineRule="exact"/>
        <w:rPr>
          <w:rFonts w:ascii="Times New Roman" w:cs="Times New Roman" w:eastAsia="Times New Roman" w:hAnsi="Times New Roman"/>
          <w:sz w:val="20"/>
          <w:szCs w:val="20"/>
          <w:color w:val="auto"/>
        </w:rPr>
      </w:pPr>
    </w:p>
    <w:p>
      <w:pPr>
        <w:ind w:firstLine="1131"/>
        <w:spacing w:after="0" w:line="269" w:lineRule="auto"/>
        <w:tabs>
          <w:tab w:leader="none" w:pos="152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CIC Qualifying Termination</w:t>
      </w:r>
      <w:r>
        <w:rPr>
          <w:rFonts w:ascii="Times New Roman" w:cs="Times New Roman" w:eastAsia="Times New Roman" w:hAnsi="Times New Roman"/>
          <w:sz w:val="20"/>
          <w:szCs w:val="20"/>
          <w:color w:val="auto"/>
        </w:rPr>
        <w:t>” shall mean Termination of Service of Participant by any Participating Company without Cause [or by Participant for Good Reason]</w:t>
      </w:r>
      <w:r>
        <w:rPr>
          <w:rFonts w:ascii="Times New Roman" w:cs="Times New Roman" w:eastAsia="Times New Roman" w:hAnsi="Times New Roman"/>
          <w:sz w:val="13"/>
          <w:szCs w:val="13"/>
          <w:color w:val="auto"/>
        </w:rPr>
        <w:t>2</w:t>
      </w:r>
      <w:r>
        <w:rPr>
          <w:rFonts w:ascii="Times New Roman" w:cs="Times New Roman" w:eastAsia="Times New Roman" w:hAnsi="Times New Roman"/>
          <w:sz w:val="20"/>
          <w:szCs w:val="20"/>
          <w:color w:val="auto"/>
        </w:rPr>
        <w:t xml:space="preserve"> during the twenty-four (24) month period immediately following a Change in Control.</w:t>
      </w:r>
    </w:p>
    <w:p>
      <w:pPr>
        <w:spacing w:after="0" w:line="172" w:lineRule="exact"/>
        <w:rPr>
          <w:rFonts w:ascii="Times New Roman" w:cs="Times New Roman" w:eastAsia="Times New Roman" w:hAnsi="Times New Roman"/>
          <w:sz w:val="20"/>
          <w:szCs w:val="20"/>
          <w:color w:val="auto"/>
        </w:rPr>
      </w:pPr>
    </w:p>
    <w:p>
      <w:pPr>
        <w:ind w:firstLine="1131"/>
        <w:spacing w:after="0" w:line="295" w:lineRule="auto"/>
        <w:tabs>
          <w:tab w:leader="none" w:pos="1527"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Competing Business</w:t>
      </w:r>
      <w:r>
        <w:rPr>
          <w:rFonts w:ascii="Times New Roman" w:cs="Times New Roman" w:eastAsia="Times New Roman" w:hAnsi="Times New Roman"/>
          <w:sz w:val="19"/>
          <w:szCs w:val="19"/>
          <w:color w:val="auto"/>
        </w:rPr>
        <w:t>” shall mean any business competing with any business the Company then engages in or engaged in at any time during Participant’s employment with the Company (“Restricted Area” as specified in the “Restrictive Covenants Table” below).</w:t>
      </w:r>
    </w:p>
    <w:p>
      <w:pPr>
        <w:spacing w:after="0" w:line="151" w:lineRule="exact"/>
        <w:rPr>
          <w:rFonts w:ascii="Times New Roman" w:cs="Times New Roman" w:eastAsia="Times New Roman" w:hAnsi="Times New Roman"/>
          <w:sz w:val="19"/>
          <w:szCs w:val="19"/>
          <w:color w:val="auto"/>
        </w:rPr>
      </w:pPr>
    </w:p>
    <w:p>
      <w:pPr>
        <w:ind w:left="1540" w:hanging="409"/>
        <w:spacing w:after="0"/>
        <w:tabs>
          <w:tab w:leader="none" w:pos="15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Severance Plan</w:t>
      </w:r>
      <w:r>
        <w:rPr>
          <w:rFonts w:ascii="Times New Roman" w:cs="Times New Roman" w:eastAsia="Times New Roman" w:hAnsi="Times New Roman"/>
          <w:sz w:val="20"/>
          <w:szCs w:val="20"/>
          <w:color w:val="auto"/>
        </w:rPr>
        <w:t>” shall mean the Mister Car Wash, Inc. Executive Severance Plan, as amended from time 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1" w:name="page112"/>
    <w:bookmarkEnd w:id="111"/>
    <w:p>
      <w:pPr>
        <w:ind w:right="60" w:firstLine="1131"/>
        <w:spacing w:after="0" w:line="244" w:lineRule="auto"/>
        <w:tabs>
          <w:tab w:leader="none" w:pos="137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a Participant having “Good Reason” to terminate the Participant’s employment as defined in any employment agreement between the Participant and a Participating Company or in the Executive Severance Plan if the Participant participates in such plan; provided that, in the absence of an agreement containing such a definition, a Participant shall have “Good Reason” to terminate the Participant’s employment upon any of the following circumstances: (i) a material diminution in the Participant’s position, authority, duties or responsibilities, excluding for this purpose any isolated, insubstantial or inadvertent actions not taken in bad faith and which are remedied by the Company promptly after receipt of notice thereof given by the Participant; (ii) a material reduction in the Participant’s base salary, as the same may be increased from time to time (other than in connection with across-the-board base salary reductions of all or substantially all similarly situated employees of the Company); (iii) a material change in the geographic location of the Participant’s principal location as of the date hereof, which shall, in any event, include only a relocation of more than fifty (50) miles from such principal location. Notwithstanding the foregoing, the Participant will not be deemed to have resigned for Good Reason unless (x) the Participant provides the Company with written notice setting forth in reasonable detail the facts and circumstances claimed by the Participant to constitute Good Reason within thirty (30) days after the date of the occurrence of any event that the Participant knows or should reasonably have known to constitute Good Reason, (y) the Company fails to cure such acts or omissions within thirty (30) days following its receipt of such notice, and (z) the effective date of the Participant’s termination for Good Reason occurs no later than thirty (30) days after the expiration of the Company’s cure period.]</w:t>
      </w:r>
      <w:r>
        <w:rPr>
          <w:rFonts w:ascii="Times New Roman" w:cs="Times New Roman" w:eastAsia="Times New Roman" w:hAnsi="Times New Roman"/>
          <w:sz w:val="26"/>
          <w:szCs w:val="26"/>
          <w:color w:val="auto"/>
          <w:vertAlign w:val="superscript"/>
        </w:rPr>
        <w:t>2</w:t>
      </w:r>
    </w:p>
    <w:p>
      <w:pPr>
        <w:spacing w:after="0" w:line="257" w:lineRule="exact"/>
        <w:rPr>
          <w:sz w:val="20"/>
          <w:szCs w:val="20"/>
          <w:color w:val="auto"/>
        </w:rPr>
      </w:pP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Company</w:t>
      </w:r>
      <w:r>
        <w:rPr>
          <w:rFonts w:ascii="Times New Roman" w:cs="Times New Roman" w:eastAsia="Times New Roman" w:hAnsi="Times New Roman"/>
          <w:sz w:val="20"/>
          <w:szCs w:val="20"/>
          <w:color w:val="auto"/>
        </w:rPr>
        <w:t>” shall mean the Company or any of its Subsidiaries.</w:t>
      </w:r>
    </w:p>
    <w:p>
      <w:pPr>
        <w:spacing w:after="0" w:line="215" w:lineRule="exact"/>
        <w:rPr>
          <w:rFonts w:ascii="Times New Roman" w:cs="Times New Roman" w:eastAsia="Times New Roman" w:hAnsi="Times New Roman"/>
          <w:sz w:val="20"/>
          <w:szCs w:val="20"/>
          <w:color w:val="auto"/>
        </w:rPr>
      </w:pPr>
    </w:p>
    <w:p>
      <w:pPr>
        <w:ind w:firstLine="1131"/>
        <w:spacing w:after="0" w:line="269" w:lineRule="auto"/>
        <w:tabs>
          <w:tab w:leader="none" w:pos="152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shall mean the period of a Participant’s service with the Participating Company plus the “Post-Employment Period” applicable to the Participant’s position as set forth below in the “Restrictive Covenants Table.”</w:t>
      </w:r>
    </w:p>
    <w:p>
      <w:pPr>
        <w:spacing w:after="0" w:line="172" w:lineRule="exact"/>
        <w:rPr>
          <w:rFonts w:ascii="Times New Roman" w:cs="Times New Roman" w:eastAsia="Times New Roman" w:hAnsi="Times New Roman"/>
          <w:sz w:val="20"/>
          <w:szCs w:val="20"/>
          <w:color w:val="auto"/>
        </w:rPr>
      </w:pPr>
    </w:p>
    <w:p>
      <w:pPr>
        <w:ind w:firstLine="1131"/>
        <w:spacing w:after="0" w:line="269" w:lineRule="auto"/>
        <w:tabs>
          <w:tab w:leader="none" w:pos="152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shall be “</w:t>
      </w:r>
      <w:r>
        <w:rPr>
          <w:rFonts w:ascii="Times New Roman" w:cs="Times New Roman" w:eastAsia="Times New Roman" w:hAnsi="Times New Roman"/>
          <w:sz w:val="20"/>
          <w:szCs w:val="20"/>
          <w:u w:val="single" w:color="auto"/>
          <w:color w:val="auto"/>
        </w:rPr>
        <w:t>Retirement Eligible</w:t>
      </w:r>
      <w:r>
        <w:rPr>
          <w:rFonts w:ascii="Times New Roman" w:cs="Times New Roman" w:eastAsia="Times New Roman" w:hAnsi="Times New Roman"/>
          <w:sz w:val="20"/>
          <w:szCs w:val="20"/>
          <w:color w:val="auto"/>
        </w:rPr>
        <w:t>” at any time when he or she (i) is age sixty (60) or older; and (ii) has been actively employed in continuous employment with or service to any Participating Company for at least five (5) years.</w:t>
      </w:r>
    </w:p>
    <w:p>
      <w:pPr>
        <w:spacing w:after="0" w:line="159" w:lineRule="exact"/>
        <w:rPr>
          <w:rFonts w:ascii="Times New Roman" w:cs="Times New Roman" w:eastAsia="Times New Roman" w:hAnsi="Times New Roman"/>
          <w:sz w:val="20"/>
          <w:szCs w:val="20"/>
          <w:color w:val="auto"/>
        </w:rPr>
      </w:pPr>
    </w:p>
    <w:p>
      <w:pPr>
        <w:ind w:right="20" w:firstLine="1131"/>
        <w:spacing w:after="0" w:line="269" w:lineRule="auto"/>
        <w:tabs>
          <w:tab w:leader="none" w:pos="152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Notice Date</w:t>
      </w:r>
      <w:r>
        <w:rPr>
          <w:rFonts w:ascii="Times New Roman" w:cs="Times New Roman" w:eastAsia="Times New Roman" w:hAnsi="Times New Roman"/>
          <w:sz w:val="20"/>
          <w:szCs w:val="20"/>
          <w:color w:val="auto"/>
        </w:rPr>
        <w:t>” shall mean the date of the Company’s receipt of a written notice of Termination of Services by Participant without Good Reason at a time when Participant is Retirement Eligible.</w:t>
      </w:r>
    </w:p>
    <w:p>
      <w:pPr>
        <w:spacing w:after="0" w:line="159"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Notice Period</w:t>
      </w:r>
      <w:r>
        <w:rPr>
          <w:rFonts w:ascii="Times New Roman" w:cs="Times New Roman" w:eastAsia="Times New Roman" w:hAnsi="Times New Roman"/>
          <w:sz w:val="20"/>
          <w:szCs w:val="20"/>
          <w:color w:val="auto"/>
        </w:rPr>
        <w:t>” shall mean the six (6)-month period immediately following the Retirement Notice Date.</w:t>
      </w:r>
    </w:p>
    <w:p>
      <w:pPr>
        <w:spacing w:after="0" w:line="215"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2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 Qualifying Termination</w:t>
      </w:r>
      <w:r>
        <w:rPr>
          <w:rFonts w:ascii="Times New Roman" w:cs="Times New Roman" w:eastAsia="Times New Roman" w:hAnsi="Times New Roman"/>
          <w:sz w:val="20"/>
          <w:szCs w:val="20"/>
          <w:color w:val="auto"/>
        </w:rPr>
        <w:t>” shall mean a Termination of Service by Participant [without Good Reason]</w:t>
      </w:r>
      <w:r>
        <w:rPr>
          <w:rFonts w:ascii="Times New Roman" w:cs="Times New Roman" w:eastAsia="Times New Roman" w:hAnsi="Times New Roman"/>
          <w:sz w:val="13"/>
          <w:szCs w:val="13"/>
          <w:color w:val="auto"/>
        </w:rPr>
        <w:t>3</w:t>
      </w:r>
      <w:r>
        <w:rPr>
          <w:rFonts w:ascii="Times New Roman" w:cs="Times New Roman" w:eastAsia="Times New Roman" w:hAnsi="Times New Roman"/>
          <w:sz w:val="20"/>
          <w:szCs w:val="20"/>
          <w:color w:val="auto"/>
        </w:rPr>
        <w:t xml:space="preserve"> following the Retirement Notice Period, provided that Participant remains in active employment with or service to a Participating Company in good standing (as determined by the Administrator) as of immediately prior to such Termination of Service.</w:t>
      </w:r>
    </w:p>
    <w:p>
      <w:pPr>
        <w:spacing w:after="0" w:line="17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1.2Incorporation of Terms of Plan</w:t>
      </w:r>
      <w:r>
        <w:rPr>
          <w:rFonts w:ascii="Times New Roman" w:cs="Times New Roman" w:eastAsia="Times New Roman" w:hAnsi="Times New Roman"/>
          <w:sz w:val="20"/>
          <w:szCs w:val="20"/>
          <w:color w:val="auto"/>
        </w:rPr>
        <w:t>. The RSUs and the shares of Common Stock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to be issued to Participant hereunder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1688465" cy="508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49" w:lineRule="exact"/>
        <w:rPr>
          <w:sz w:val="20"/>
          <w:szCs w:val="20"/>
          <w:color w:val="auto"/>
        </w:rPr>
      </w:pPr>
    </w:p>
    <w:p>
      <w:pPr>
        <w:ind w:left="120" w:hanging="112"/>
        <w:spacing w:after="0"/>
        <w:tabs>
          <w:tab w:leader="none" w:pos="12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Note to Draft: Include for participants receiving Good Reason protection.</w:t>
      </w:r>
    </w:p>
    <w:p>
      <w:pPr>
        <w:spacing w:after="0" w:line="35" w:lineRule="exact"/>
        <w:rPr>
          <w:sz w:val="20"/>
          <w:szCs w:val="20"/>
          <w:color w:val="auto"/>
        </w:rPr>
      </w:pPr>
    </w:p>
    <w:p>
      <w:pPr>
        <w:ind w:left="120" w:hanging="112"/>
        <w:spacing w:after="0"/>
        <w:tabs>
          <w:tab w:leader="none" w:pos="120"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Draft: Include for participants receiving Good Reason protection.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spacing w:after="0" w:line="269" w:lineRule="auto"/>
        <w:rPr>
          <w:sz w:val="20"/>
          <w:szCs w:val="20"/>
          <w:color w:val="auto"/>
        </w:rPr>
      </w:pPr>
      <w:r>
        <w:rPr>
          <w:rFonts w:ascii="Times New Roman" w:cs="Times New Roman" w:eastAsia="Times New Roman" w:hAnsi="Times New Roman"/>
          <w:sz w:val="20"/>
          <w:szCs w:val="20"/>
          <w:color w:val="auto"/>
        </w:rPr>
        <w:t>in this Agreement and the Plan, which is incorporated herein by reference. In the event of any inconsistency between the Plan and this Agreement, the terms of the Plan shall control.</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1.3 Consideration to the Company</w:t>
      </w:r>
      <w:r>
        <w:rPr>
          <w:rFonts w:ascii="Times New Roman" w:cs="Times New Roman" w:eastAsia="Times New Roman" w:hAnsi="Times New Roman"/>
          <w:sz w:val="20"/>
          <w:szCs w:val="20"/>
          <w:color w:val="auto"/>
        </w:rPr>
        <w:t>. In consideration of the grant of the RSUs by the Company, Participant agrees to render faithful and efficient services to any Participating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136130" cy="407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3613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 Table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4020" w:type="dxa"/>
            <w:vAlign w:val="bottom"/>
            <w:tcBorders>
              <w:top w:val="single" w:sz="8" w:color="auto"/>
              <w:left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20"/>
                <w:szCs w:val="20"/>
                <w:b w:val="1"/>
                <w:bCs w:val="1"/>
                <w:color w:val="FFFFFF"/>
              </w:rPr>
              <w:t>Positions Included</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Group</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Restricted Area</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Post-Employment</w:t>
            </w:r>
          </w:p>
        </w:tc>
      </w:tr>
      <w:tr>
        <w:trPr>
          <w:trHeight w:val="256"/>
        </w:trPr>
        <w:tc>
          <w:tcPr>
            <w:tcW w:w="4020" w:type="dxa"/>
            <w:vAlign w:val="bottom"/>
            <w:tcBorders>
              <w:left w:val="single" w:sz="8" w:color="auto"/>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r>
      <w:tr>
        <w:trPr>
          <w:trHeight w:val="250"/>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Tier I</w:t>
            </w: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r>
        <w:trPr>
          <w:trHeight w:val="258"/>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CEO</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3"/>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CFO</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3"/>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GC/COO/CPO/SVP</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3"/>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VP</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66"/>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Tier II</w:t>
            </w:r>
          </w:p>
        </w:tc>
        <w:tc>
          <w:tcPr>
            <w:tcW w:w="1160" w:type="dxa"/>
            <w:vAlign w:val="bottom"/>
            <w:tcBorders>
              <w:bottom w:val="single" w:sz="8" w:color="auto"/>
              <w:right w:val="single" w:sz="8" w:color="auto"/>
            </w:tcBorders>
          </w:tcPr>
          <w:p>
            <w:pPr>
              <w:spacing w:after="0"/>
              <w:rPr>
                <w:sz w:val="23"/>
                <w:szCs w:val="23"/>
                <w:color w:val="auto"/>
              </w:rPr>
            </w:pPr>
          </w:p>
        </w:tc>
        <w:tc>
          <w:tcPr>
            <w:tcW w:w="3860" w:type="dxa"/>
            <w:vAlign w:val="bottom"/>
            <w:tcBorders>
              <w:bottom w:val="single" w:sz="8" w:color="auto"/>
              <w:right w:val="single" w:sz="8" w:color="auto"/>
            </w:tcBorders>
          </w:tcPr>
          <w:p>
            <w:pPr>
              <w:spacing w:after="0"/>
              <w:rPr>
                <w:sz w:val="23"/>
                <w:szCs w:val="23"/>
                <w:color w:val="auto"/>
              </w:rPr>
            </w:pPr>
          </w:p>
        </w:tc>
        <w:tc>
          <w:tcPr>
            <w:tcW w:w="2200" w:type="dxa"/>
            <w:vAlign w:val="bottom"/>
            <w:tcBorders>
              <w:bottom w:val="single" w:sz="8" w:color="auto"/>
              <w:right w:val="single" w:sz="8" w:color="auto"/>
            </w:tcBorders>
          </w:tcPr>
          <w:p>
            <w:pPr>
              <w:spacing w:after="0"/>
              <w:rPr>
                <w:sz w:val="23"/>
                <w:szCs w:val="23"/>
                <w:color w:val="auto"/>
              </w:rPr>
            </w:pPr>
          </w:p>
        </w:tc>
      </w:tr>
      <w:tr>
        <w:trPr>
          <w:trHeight w:val="262"/>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HQ Sr. Director, Director of Operations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Nationwide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 months</w:t>
            </w:r>
          </w:p>
        </w:tc>
      </w:tr>
      <w:tr>
        <w:trPr>
          <w:trHeight w:val="206"/>
        </w:trPr>
        <w:tc>
          <w:tcPr>
            <w:tcW w:w="4020" w:type="dxa"/>
            <w:vAlign w:val="bottom"/>
            <w:tcBorders>
              <w:left w:val="single" w:sz="8" w:color="auto"/>
              <w:right w:val="single" w:sz="8" w:color="auto"/>
            </w:tcBorders>
          </w:tcPr>
          <w:p>
            <w:pPr>
              <w:ind w:left="120"/>
              <w:spacing w:after="0" w:line="206" w:lineRule="exact"/>
              <w:rPr>
                <w:sz w:val="20"/>
                <w:szCs w:val="20"/>
                <w:color w:val="auto"/>
              </w:rPr>
            </w:pPr>
            <w:r>
              <w:rPr>
                <w:rFonts w:ascii="Times New Roman" w:cs="Times New Roman" w:eastAsia="Times New Roman" w:hAnsi="Times New Roman"/>
                <w:sz w:val="20"/>
                <w:szCs w:val="20"/>
                <w:color w:val="auto"/>
              </w:rPr>
              <w:t>HQ Director</w:t>
            </w:r>
          </w:p>
        </w:tc>
        <w:tc>
          <w:tcPr>
            <w:tcW w:w="11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6</w:t>
            </w:r>
          </w:p>
        </w:tc>
        <w:tc>
          <w:tcPr>
            <w:tcW w:w="38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States in which Participating Company</w:t>
            </w:r>
          </w:p>
        </w:tc>
        <w:tc>
          <w:tcPr>
            <w:tcW w:w="22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20"/>
                <w:szCs w:val="20"/>
                <w:color w:val="auto"/>
                <w:w w:val="97"/>
              </w:rPr>
              <w:t>18 months</w:t>
            </w:r>
          </w:p>
        </w:tc>
      </w:tr>
      <w:tr>
        <w:trPr>
          <w:trHeight w:val="252"/>
        </w:trPr>
        <w:tc>
          <w:tcPr>
            <w:tcW w:w="4020" w:type="dxa"/>
            <w:vAlign w:val="bottom"/>
            <w:tcBorders>
              <w:left w:val="single" w:sz="8" w:color="auto"/>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operates</w:t>
            </w:r>
          </w:p>
        </w:tc>
        <w:tc>
          <w:tcPr>
            <w:tcW w:w="2200" w:type="dxa"/>
            <w:vAlign w:val="bottom"/>
            <w:tcBorders>
              <w:bottom w:val="single" w:sz="8" w:color="auto"/>
              <w:right w:val="single" w:sz="8" w:color="auto"/>
            </w:tcBorders>
          </w:tcPr>
          <w:p>
            <w:pPr>
              <w:spacing w:after="0"/>
              <w:rPr>
                <w:sz w:val="21"/>
                <w:szCs w:val="21"/>
                <w:color w:val="auto"/>
              </w:rPr>
            </w:pPr>
          </w:p>
        </w:tc>
      </w:tr>
      <w:tr>
        <w:trPr>
          <w:trHeight w:val="200"/>
        </w:trPr>
        <w:tc>
          <w:tcPr>
            <w:tcW w:w="402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Regional Manager, Division Maintenance</w:t>
            </w:r>
          </w:p>
        </w:tc>
        <w:tc>
          <w:tcPr>
            <w:tcW w:w="11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7</w:t>
            </w:r>
          </w:p>
        </w:tc>
        <w:tc>
          <w:tcPr>
            <w:tcW w:w="38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Within 75 mi of stores Participant oversees</w:t>
            </w:r>
          </w:p>
        </w:tc>
        <w:tc>
          <w:tcPr>
            <w:tcW w:w="2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12 months</w:t>
            </w:r>
          </w:p>
        </w:tc>
      </w:tr>
      <w:tr>
        <w:trPr>
          <w:trHeight w:val="252"/>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Manager, Construction/Real Estate Manager</w:t>
            </w: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r>
        <w:trPr>
          <w:trHeight w:val="260"/>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Tier III</w:t>
            </w:r>
          </w:p>
        </w:tc>
        <w:tc>
          <w:tcPr>
            <w:tcW w:w="116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r>
      <w:tr>
        <w:trPr>
          <w:trHeight w:val="204"/>
        </w:trPr>
        <w:tc>
          <w:tcPr>
            <w:tcW w:w="402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0"/>
                <w:szCs w:val="20"/>
                <w:color w:val="auto"/>
              </w:rPr>
              <w:t>HQ Sr. Manager, New Build Install Manager,</w:t>
            </w:r>
          </w:p>
        </w:tc>
        <w:tc>
          <w:tcPr>
            <w:tcW w:w="116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8</w:t>
            </w:r>
          </w:p>
        </w:tc>
        <w:tc>
          <w:tcPr>
            <w:tcW w:w="386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Within 75 mi of Participant residence</w:t>
            </w:r>
          </w:p>
        </w:tc>
        <w:tc>
          <w:tcPr>
            <w:tcW w:w="22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7"/>
              </w:rPr>
              <w:t>12 months</w:t>
            </w:r>
          </w:p>
        </w:tc>
      </w:tr>
      <w:tr>
        <w:trPr>
          <w:trHeight w:val="252"/>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Regional Training Manager</w:t>
            </w:r>
          </w:p>
        </w:tc>
        <w:tc>
          <w:tcPr>
            <w:tcW w:w="116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r>
      <w:tr>
        <w:trPr>
          <w:trHeight w:val="200"/>
        </w:trPr>
        <w:tc>
          <w:tcPr>
            <w:tcW w:w="402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District Manager, General Manager,</w:t>
            </w:r>
          </w:p>
        </w:tc>
        <w:tc>
          <w:tcPr>
            <w:tcW w:w="11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9</w:t>
            </w:r>
          </w:p>
        </w:tc>
        <w:tc>
          <w:tcPr>
            <w:tcW w:w="38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Within 50 mi of Participant residence</w:t>
            </w:r>
          </w:p>
        </w:tc>
        <w:tc>
          <w:tcPr>
            <w:tcW w:w="22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12 months</w:t>
            </w:r>
          </w:p>
        </w:tc>
      </w:tr>
      <w:tr>
        <w:trPr>
          <w:trHeight w:val="226"/>
        </w:trPr>
        <w:tc>
          <w:tcPr>
            <w:tcW w:w="4020" w:type="dxa"/>
            <w:vAlign w:val="bottom"/>
            <w:tcBorders>
              <w:left w:val="single" w:sz="8" w:color="auto"/>
              <w:right w:val="single" w:sz="8" w:color="auto"/>
            </w:tcBorders>
          </w:tcPr>
          <w:p>
            <w:pPr>
              <w:ind w:left="120"/>
              <w:spacing w:after="0" w:line="226" w:lineRule="exact"/>
              <w:rPr>
                <w:sz w:val="20"/>
                <w:szCs w:val="20"/>
                <w:color w:val="auto"/>
              </w:rPr>
            </w:pPr>
            <w:r>
              <w:rPr>
                <w:rFonts w:ascii="Times New Roman" w:cs="Times New Roman" w:eastAsia="Times New Roman" w:hAnsi="Times New Roman"/>
                <w:sz w:val="20"/>
                <w:szCs w:val="20"/>
                <w:color w:val="auto"/>
              </w:rPr>
              <w:t>Maintenance Manager, HQ Manager, HQ</w:t>
            </w:r>
          </w:p>
        </w:tc>
        <w:tc>
          <w:tcPr>
            <w:tcW w:w="116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r>
      <w:tr>
        <w:trPr>
          <w:trHeight w:val="256"/>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 xml:space="preserve">Professional </w:t>
            </w:r>
            <w:r>
              <w:rPr>
                <w:rFonts w:ascii="Times New Roman" w:cs="Times New Roman" w:eastAsia="Times New Roman" w:hAnsi="Times New Roman"/>
                <w:sz w:val="20"/>
                <w:szCs w:val="20"/>
                <w:i w:val="1"/>
                <w:iCs w:val="1"/>
                <w:color w:val="auto"/>
              </w:rPr>
              <w:t>(P3 and P4)</w:t>
            </w:r>
          </w:p>
        </w:tc>
        <w:tc>
          <w:tcPr>
            <w:tcW w:w="1160" w:type="dxa"/>
            <w:vAlign w:val="bottom"/>
            <w:tcBorders>
              <w:bottom w:val="single" w:sz="8" w:color="auto"/>
              <w:right w:val="single" w:sz="8" w:color="auto"/>
            </w:tcBorders>
          </w:tcPr>
          <w:p>
            <w:pPr>
              <w:spacing w:after="0"/>
              <w:rPr>
                <w:sz w:val="22"/>
                <w:szCs w:val="22"/>
                <w:color w:val="auto"/>
              </w:rPr>
            </w:pPr>
          </w:p>
        </w:tc>
        <w:tc>
          <w:tcPr>
            <w:tcW w:w="3860" w:type="dxa"/>
            <w:vAlign w:val="bottom"/>
            <w:tcBorders>
              <w:bottom w:val="single" w:sz="8" w:color="auto"/>
              <w:right w:val="single" w:sz="8" w:color="auto"/>
            </w:tcBorders>
          </w:tcPr>
          <w:p>
            <w:pPr>
              <w:spacing w:after="0"/>
              <w:rPr>
                <w:sz w:val="22"/>
                <w:szCs w:val="22"/>
                <w:color w:val="auto"/>
              </w:rPr>
            </w:pPr>
          </w:p>
        </w:tc>
        <w:tc>
          <w:tcPr>
            <w:tcW w:w="22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1" w:lineRule="exact"/>
        <w:rPr>
          <w:sz w:val="20"/>
          <w:szCs w:val="20"/>
          <w:color w:val="auto"/>
        </w:rPr>
      </w:pPr>
    </w:p>
    <w:p>
      <w:pPr>
        <w:ind w:left="760" w:right="2200" w:firstLine="1445"/>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AWARD OF RESTRICTED STOCK UNITS AND DIVIDEND EQUIVALENTS </w:t>
      </w:r>
      <w:r>
        <w:rPr>
          <w:rFonts w:ascii="Times New Roman" w:cs="Times New Roman" w:eastAsia="Times New Roman" w:hAnsi="Times New Roman"/>
          <w:sz w:val="20"/>
          <w:szCs w:val="20"/>
          <w:u w:val="single" w:color="auto"/>
          <w:color w:val="auto"/>
        </w:rPr>
        <w:t>Section 2.1Award of RSUs and Dividend Equivalents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1505"/>
        <w:spacing w:after="0" w:line="249" w:lineRule="auto"/>
        <w:tabs>
          <w:tab w:leader="none" w:pos="203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any Participating Company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Grant Notice, upon the terms and conditions set forth in the Grant Notice, the Plan and this Agreement, subject to adjustments as provided in Article 12 of the Plan. Each RSU represents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54" w:lineRule="auto"/>
        <w:rPr>
          <w:sz w:val="20"/>
          <w:szCs w:val="20"/>
          <w:color w:val="auto"/>
        </w:rPr>
      </w:pPr>
      <w:r>
        <w:rPr>
          <w:rFonts w:ascii="Times New Roman" w:cs="Times New Roman" w:eastAsia="Times New Roman" w:hAnsi="Times New Roman"/>
          <w:sz w:val="20"/>
          <w:szCs w:val="20"/>
          <w:color w:val="auto"/>
        </w:rPr>
        <w:t>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74" w:lineRule="exact"/>
        <w:rPr>
          <w:sz w:val="20"/>
          <w:szCs w:val="20"/>
          <w:color w:val="auto"/>
        </w:rPr>
      </w:pPr>
    </w:p>
    <w:p>
      <w:pPr>
        <w:jc w:val="both"/>
        <w:ind w:firstLine="1505"/>
        <w:spacing w:after="0" w:line="243" w:lineRule="auto"/>
        <w:tabs>
          <w:tab w:leader="none" w:pos="20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grants to Participant an Award of Dividend Equivalents with respect to each RSU granted pursuant 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number of Shares or, at the option of the Company,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acknowledges and agrees that as per the provisions of the Plan, the Award Agreement must be accepted within a sixty-day period from the Grant Date. Failure to accept the Award Agreement within this designated Acceptance Period shall result in the forfeiture of the unaccepted Award, and any Shares (as defined in the Plan) associated with said Award shall subsequently become available for future grants of Awards under the Plan, as per the provisions outlined in Section 3.1(b) of the Plan.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2.2Vesting of RSUs and Dividend Equivalents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6"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or service to the Participating Company on each applicable vesting date and subject to the terms of this Agreement, the RSUs shall vest in such amounts and at such times as are set forth in the Grant Notice (each applicable vesting date set forth in the Grant Notice,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Each additional RSU that results from deemed reinvestments of Dividend Equivalents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hereof shall vest whenever the underlying RSU to which such additional RSU relates vests.</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that have not vested on or prior to the date on which such Termination of Service occurs, and Participant’s rights in any such RSUs and Dividend Equivalents that are not so vested shall lapse and expire.</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Grant Notice or the provisions of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(i) in the event of a CIC Qualifying Termination, the RSUs shall become vested in full on the date of such CIC Qualifying Termination, (ii) upon the occurrence of the Cessation Date by reason of Participant’s Termination of Service due to death or Disability, the RSUs shall become vested in full upon such Cessation Date, or (iii) in the event of a Retirement Qualifying Termination, the RSUs that would have vested within 12 months following the Retirement Notice Date shall become vested upon the date of such Retirement Qualifying Termination.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2.3Distribution or Payment of RSUs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1505"/>
        <w:spacing w:after="0" w:line="243"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Participant’s RSUs shall be distributed in Shares (either in book-entry form or otherwise) within sixty (60) days following the applicable Vesting Date of the applicable RSUs pursuant to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For the avoidance of doubt, Shares shall be distributed in respect of any RSUs that become vested pursuant to Section 2.2(c) on the Vesting Date(s) on which such RSUs would have vested but for Section 2.2(c).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provided further that no payment or distribution shall be delayed under this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if such delay will result in a violation of Section 409A.</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2.4Conditions to Issuance of Certificates</w:t>
      </w:r>
      <w:r>
        <w:rPr>
          <w:rFonts w:ascii="Times New Roman" w:cs="Times New Roman" w:eastAsia="Times New Roman" w:hAnsi="Times New Roman"/>
          <w:sz w:val="20"/>
          <w:szCs w:val="20"/>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withholding tax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by the Participating Company with respect to which the applicable withholding obligation arises.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2.5Tax Withholding</w:t>
      </w:r>
      <w:r>
        <w:rPr>
          <w:rFonts w:ascii="Times New Roman" w:cs="Times New Roman" w:eastAsia="Times New Roman" w:hAnsi="Times New Roman"/>
          <w:sz w:val="20"/>
          <w:szCs w:val="20"/>
          <w:color w:val="auto"/>
        </w:rPr>
        <w:t>. Notwithstanding any other provision of this Agreement:</w:t>
      </w:r>
    </w:p>
    <w:p>
      <w:pPr>
        <w:spacing w:after="0" w:line="216" w:lineRule="exact"/>
        <w:rPr>
          <w:sz w:val="20"/>
          <w:szCs w:val="20"/>
          <w:color w:val="auto"/>
        </w:rPr>
      </w:pPr>
    </w:p>
    <w:p>
      <w:pPr>
        <w:ind w:right="20" w:firstLine="1505"/>
        <w:spacing w:after="0" w:line="258" w:lineRule="auto"/>
        <w:tabs>
          <w:tab w:leader="none" w:pos="176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required by Applicable Law to be withheld with respect to any taxable event arising pursuant to this Agreement. The Participating Companies may withhold or Participant may make such payment in one or more of the forms specified below:</w:t>
      </w:r>
    </w:p>
    <w:p>
      <w:pPr>
        <w:ind w:left="2500" w:hanging="246"/>
        <w:spacing w:after="0"/>
        <w:tabs>
          <w:tab w:leader="none" w:pos="250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cash or check made payable to the Participating Company with respect to which the withholding obligation</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arises;</w:t>
      </w:r>
    </w:p>
    <w:p>
      <w:pPr>
        <w:ind w:left="2540" w:hanging="286"/>
        <w:spacing w:after="0"/>
        <w:tabs>
          <w:tab w:leader="none" w:pos="25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ind w:right="280" w:firstLine="2254"/>
        <w:spacing w:after="0" w:line="252" w:lineRule="auto"/>
        <w:tabs>
          <w:tab w:leader="none" w:pos="2592"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consent of the Administrator, by requesting that the Company withhold a net number of vested shares of Stock otherwise issuable pursuant to the RSUs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jc w:val="both"/>
        <w:ind w:firstLine="2254"/>
        <w:spacing w:after="0" w:line="242" w:lineRule="auto"/>
        <w:tabs>
          <w:tab w:leader="none" w:pos="25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Administrator, by tendering to the Company vested shares of Stock having a then current Fair Market Value not exceeding the amount necessary to satisfy the withholding obligation of the Participating Companies based on the maximum statutory withholding rates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spacing w:after="0" w:line="269" w:lineRule="auto"/>
        <w:rPr>
          <w:sz w:val="20"/>
          <w:szCs w:val="20"/>
          <w:color w:val="auto"/>
        </w:rPr>
      </w:pPr>
      <w:r>
        <w:rPr>
          <w:rFonts w:ascii="Times New Roman" w:cs="Times New Roman" w:eastAsia="Times New Roman" w:hAnsi="Times New Roman"/>
          <w:sz w:val="20"/>
          <w:szCs w:val="20"/>
          <w:color w:val="auto"/>
        </w:rPr>
        <w:t>in Participant’s applicable jurisdictions for federal, state, local and foreign income tax and payroll tax purposes that are applicable to such taxable income;</w:t>
      </w:r>
    </w:p>
    <w:p>
      <w:pPr>
        <w:spacing w:after="0" w:line="159" w:lineRule="exact"/>
        <w:rPr>
          <w:sz w:val="20"/>
          <w:szCs w:val="20"/>
          <w:color w:val="auto"/>
        </w:rPr>
      </w:pPr>
    </w:p>
    <w:p>
      <w:pPr>
        <w:jc w:val="both"/>
        <w:ind w:firstLine="2254"/>
        <w:spacing w:after="0" w:line="245" w:lineRule="auto"/>
        <w:tabs>
          <w:tab w:leader="none" w:pos="254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Participating Company with respect to which the withholding obligation arises in satisfaction of such withholding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applicable Participating Company at such time as may be required by the Administrator, but in any event not later than the settlement of such sale; or in any combination of the foregoing.</w:t>
      </w:r>
    </w:p>
    <w:p>
      <w:pPr>
        <w:spacing w:after="0" w:line="184" w:lineRule="exact"/>
        <w:rPr>
          <w:rFonts w:ascii="Times New Roman" w:cs="Times New Roman" w:eastAsia="Times New Roman" w:hAnsi="Times New Roman"/>
          <w:sz w:val="20"/>
          <w:szCs w:val="20"/>
          <w:color w:val="auto"/>
        </w:rPr>
      </w:pPr>
    </w:p>
    <w:p>
      <w:pPr>
        <w:jc w:val="both"/>
        <w:ind w:right="240" w:firstLine="1505"/>
        <w:spacing w:after="0" w:line="260" w:lineRule="auto"/>
        <w:tabs>
          <w:tab w:leader="none" w:pos="177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withholding taxes arising in connection with the RSUs, in the event Participant fails to provide timely payment of all sums required pursuant to </w:t>
      </w:r>
      <w:r>
        <w:rPr>
          <w:rFonts w:ascii="Times New Roman" w:cs="Times New Roman" w:eastAsia="Times New Roman" w:hAnsi="Times New Roman"/>
          <w:sz w:val="19"/>
          <w:szCs w:val="19"/>
          <w:u w:val="single" w:color="auto"/>
          <w:color w:val="auto"/>
        </w:rPr>
        <w:t>Section 2.5(a)</w:t>
      </w:r>
      <w:r>
        <w:rPr>
          <w:rFonts w:ascii="Times New Roman" w:cs="Times New Roman" w:eastAsia="Times New Roman" w:hAnsi="Times New Roman"/>
          <w:sz w:val="19"/>
          <w:szCs w:val="19"/>
          <w:color w:val="auto"/>
        </w:rPr>
        <w:t xml:space="preserve">, the Company shall have the right and option, but not the obligation, to (or treat such failure as an election by Participant to) satisfy all or any portion of Participant’s required payment obligation pursuant to </w:t>
      </w:r>
      <w:r>
        <w:rPr>
          <w:rFonts w:ascii="Times New Roman" w:cs="Times New Roman" w:eastAsia="Times New Roman" w:hAnsi="Times New Roman"/>
          <w:sz w:val="19"/>
          <w:szCs w:val="19"/>
          <w:u w:val="single" w:color="auto"/>
          <w:color w:val="auto"/>
        </w:rPr>
        <w:t>Section</w:t>
      </w:r>
    </w:p>
    <w:p>
      <w:pPr>
        <w:ind w:right="2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2.5(a)(ii)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2.5(a)(iii)</w:t>
      </w:r>
      <w:r>
        <w:rPr>
          <w:rFonts w:ascii="Times New Roman" w:cs="Times New Roman" w:eastAsia="Times New Roman" w:hAnsi="Times New Roman"/>
          <w:sz w:val="20"/>
          <w:szCs w:val="20"/>
          <w:color w:val="auto"/>
        </w:rPr>
        <w:t xml:space="preserve">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86" w:lineRule="exact"/>
        <w:rPr>
          <w:rFonts w:ascii="Times New Roman" w:cs="Times New Roman" w:eastAsia="Times New Roman" w:hAnsi="Times New Roman"/>
          <w:sz w:val="19"/>
          <w:szCs w:val="19"/>
          <w:color w:val="auto"/>
        </w:rPr>
      </w:pPr>
    </w:p>
    <w:p>
      <w:pPr>
        <w:ind w:right="60" w:firstLine="1505"/>
        <w:spacing w:after="0" w:line="256" w:lineRule="auto"/>
        <w:tabs>
          <w:tab w:leader="none" w:pos="176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any tax withholding obligation arising in connection with the RSUs will be satisfied under </w:t>
      </w:r>
      <w:r>
        <w:rPr>
          <w:rFonts w:ascii="Times New Roman" w:cs="Times New Roman" w:eastAsia="Times New Roman" w:hAnsi="Times New Roman"/>
          <w:sz w:val="19"/>
          <w:szCs w:val="19"/>
          <w:u w:val="single" w:color="auto"/>
          <w:color w:val="auto"/>
        </w:rPr>
        <w:t>Section 2.5(a)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Award constitutes Participant’s instruction and authorization to the Company and such brokerage firm to complete the transactions described in this </w:t>
      </w:r>
      <w:r>
        <w:rPr>
          <w:rFonts w:ascii="Times New Roman" w:cs="Times New Roman" w:eastAsia="Times New Roman" w:hAnsi="Times New Roman"/>
          <w:sz w:val="19"/>
          <w:szCs w:val="19"/>
          <w:u w:val="single" w:color="auto"/>
          <w:color w:val="auto"/>
        </w:rPr>
        <w:t>Section</w:t>
      </w:r>
    </w:p>
    <w:p>
      <w:pPr>
        <w:jc w:val="both"/>
        <w:ind w:right="10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2.5(c)</w:t>
      </w:r>
      <w:r>
        <w:rPr>
          <w:rFonts w:ascii="Times New Roman" w:cs="Times New Roman" w:eastAsia="Times New Roman" w:hAnsi="Times New Roman"/>
          <w:sz w:val="20"/>
          <w:szCs w:val="20"/>
          <w:color w:val="auto"/>
        </w:rPr>
        <w:t xml:space="preserve">, including the transactions described in the previous sentence, as applicable. The Company may refuse to issue any shares of Stock in settlement of the RSUs to Participant until the foregoing tax withholding obligations are satisfied, provided that no payment shall be delayed under this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 xml:space="preserve"> if such delay will result in a violation of Section 409A of the Code.</w:t>
      </w:r>
    </w:p>
    <w:p>
      <w:pPr>
        <w:spacing w:after="0" w:line="200"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any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r>
        <w:rPr>
          <w:rFonts w:ascii="Times New Roman" w:cs="Times New Roman" w:eastAsia="Times New Roman" w:hAnsi="Times New Roman"/>
          <w:sz w:val="13"/>
          <w:szCs w:val="13"/>
          <w:color w:val="auto"/>
        </w:rPr>
        <w:t>4</w:t>
      </w:r>
    </w:p>
    <w:p>
      <w:pPr>
        <w:spacing w:after="0" w:line="198" w:lineRule="exact"/>
        <w:rPr>
          <w:sz w:val="20"/>
          <w:szCs w:val="20"/>
          <w:color w:val="auto"/>
        </w:rPr>
      </w:pPr>
    </w:p>
    <w:p>
      <w:pPr>
        <w:jc w:val="both"/>
        <w:ind w:firstLine="1505"/>
        <w:spacing w:after="0"/>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 set forth in Section 10.2 of the Plan, the Company shall have the authority and the right to deduct or withhold, or to require Participant to remit to the Company, an amount sufficient to satisfy all applicable federal, state, local and foreign taxes required by law to be withheld with respect to any taxable event arising in connection with the RSUs. In satisfaction of such tax withholding obligations and in accordance with the Sell to Cover Election included in the Grant Notice, Participant has irrevocably elected to sell the portion of the Shares to be delivered under the RSUs necessary so as to satisfy the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1688465" cy="508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74" w:lineRule="exact"/>
        <w:rPr>
          <w:sz w:val="20"/>
          <w:szCs w:val="20"/>
          <w:color w:val="auto"/>
        </w:rPr>
      </w:pPr>
    </w:p>
    <w:p>
      <w:pPr>
        <w:ind w:left="120" w:hanging="112"/>
        <w:spacing w:after="0"/>
        <w:tabs>
          <w:tab w:leader="none" w:pos="120"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Include for standard form.</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43" w:lineRule="auto"/>
        <w:rPr>
          <w:sz w:val="20"/>
          <w:szCs w:val="20"/>
          <w:color w:val="auto"/>
        </w:rPr>
      </w:pPr>
      <w:r>
        <w:rPr>
          <w:rFonts w:ascii="Times New Roman" w:cs="Times New Roman" w:eastAsia="Times New Roman" w:hAnsi="Times New Roman"/>
          <w:sz w:val="20"/>
          <w:szCs w:val="20"/>
          <w:color w:val="auto"/>
        </w:rPr>
        <w:t>withholding obligations and shall execute any letter of instruction or agreement required by the Company’s transfer agent (together with any other party the Company determines necessary to execute the Sell to Cover Election, the “Agent”) to cause the Agent to irrevocably commit to forward the proceeds necessary to satisfy the tax withholding obligations directly to the Company and/or its affiliates. Notwithstanding any other provision of this Agreement, the Company shall not be obligated to deliver any new certificate representing Shares to Participant or Participant’s legal representative or enter such Shares in book entry form unless and until Participant or Participant’s legal representative shall have paid or otherwise satisfied in full the amount of all federal, state, local and foreign taxes applicable to the taxable income of Participant resulting from the grant or vesting of the RSUs or the issuance of Shares. In accordance with Participant’s Sell to Cover Election pursuant to the Grant Notice, Participant hereby acknowledges and agrees:</w:t>
      </w:r>
    </w:p>
    <w:p>
      <w:pPr>
        <w:spacing w:after="0" w:line="189" w:lineRule="exact"/>
        <w:rPr>
          <w:sz w:val="20"/>
          <w:szCs w:val="20"/>
          <w:color w:val="auto"/>
        </w:rPr>
      </w:pPr>
    </w:p>
    <w:p>
      <w:pPr>
        <w:jc w:val="both"/>
        <w:ind w:firstLine="2254"/>
        <w:spacing w:after="0" w:line="246" w:lineRule="auto"/>
        <w:tabs>
          <w:tab w:leader="none" w:pos="249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appoints the Agent as Participant’s agent and authorizes the Agent to (1) sell on the open market at the then prevailing market price(s), on Participant’s behalf, as soon as practicable on or after the Shares are issued upon the vesting of the RSUs,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with respect thereto and (2) apply any remaining funds to Participant’s federal tax withholding.</w:t>
      </w:r>
    </w:p>
    <w:p>
      <w:pPr>
        <w:spacing w:after="0" w:line="184" w:lineRule="exact"/>
        <w:rPr>
          <w:rFonts w:ascii="Times New Roman" w:cs="Times New Roman" w:eastAsia="Times New Roman" w:hAnsi="Times New Roman"/>
          <w:sz w:val="20"/>
          <w:szCs w:val="20"/>
          <w:color w:val="auto"/>
        </w:rPr>
      </w:pPr>
    </w:p>
    <w:p>
      <w:pPr>
        <w:ind w:firstLine="2254"/>
        <w:spacing w:after="0" w:line="269" w:lineRule="auto"/>
        <w:tabs>
          <w:tab w:leader="none" w:pos="254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authorizes the Company and the Agent to cooperate and communicate with one another to determine the number of Shares that must be sold pursuant to subsection (i) above.</w:t>
      </w:r>
    </w:p>
    <w:p>
      <w:pPr>
        <w:spacing w:after="0" w:line="159"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0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Shares as provided by subsection (i) above due to (1) a legal or contractual restriction applicable to Participant or the Agent, (2) a market disruption, or (3) rules governing order execution priority on the national exchange where the Shares may be traded.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pacing w:after="0" w:line="185"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8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regardless of any other term or condition of this Section 2.5(a),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7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5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agrees to execute and deliver to the Agent any other agreements or documents as the Agent reasonably deems necessary or appropriate to carry out the purposes and intent of this Section 2.5(a). The Agent is a third-party beneficiary of this Section 2.5(a).</w:t>
      </w:r>
    </w:p>
    <w:p>
      <w:pPr>
        <w:spacing w:after="0" w:line="174" w:lineRule="exact"/>
        <w:rPr>
          <w:rFonts w:ascii="Times New Roman" w:cs="Times New Roman" w:eastAsia="Times New Roman" w:hAnsi="Times New Roman"/>
          <w:sz w:val="20"/>
          <w:szCs w:val="20"/>
          <w:color w:val="auto"/>
        </w:rPr>
      </w:pPr>
    </w:p>
    <w:p>
      <w:pPr>
        <w:ind w:firstLine="2254"/>
        <w:spacing w:after="0" w:line="269" w:lineRule="auto"/>
        <w:tabs>
          <w:tab w:leader="none" w:pos="258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2.5(a) shall terminate not later than the date on which all tax withholding obligations arising in connection with the vesting of the Award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757"/>
        <w:spacing w:after="0" w:line="246" w:lineRule="auto"/>
        <w:tabs>
          <w:tab w:leader="none" w:pos="104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4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the Company or any other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r>
        <w:rPr>
          <w:rFonts w:ascii="Times New Roman" w:cs="Times New Roman" w:eastAsia="Times New Roman" w:hAnsi="Times New Roman"/>
          <w:sz w:val="26"/>
          <w:szCs w:val="26"/>
          <w:color w:val="auto"/>
          <w:vertAlign w:val="superscript"/>
        </w:rPr>
        <w:t>5</w:t>
      </w:r>
    </w:p>
    <w:p>
      <w:pPr>
        <w:spacing w:after="0" w:line="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2.6Rights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Section 2.7Change in Control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60" w:lineRule="auto"/>
        <w:tabs>
          <w:tab w:leader="none" w:pos="2036"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Change in Control, unless the Administrator elects to (i) terminate the RSUs in exchange for cash, rights or property, or (ii) cause the RSUs to no longer subject to any forfeiture restrictions prior to the consummation of a Change in Control, pursuant to Section 12.2 of the Plan, (A) such RSUs (other than any portion subject to performance-based vesting, if any) shall continue in effect or be assumed or an equivalent Award (which may include, without limitation, an Award settled in cash) substituted by the successor corporation or a parent or subsidiary of the successor corporation and (B) the portion of such RSUs subject to performance-based vesting, if any, shall vest at either (as the Administrator may determine) (i) the target level of performance, pro-rated based on the period elapsed between the beginning of the applicable Performance Period and the date of the Change in Control, or (ii) the actual performance level as of the date of the Change in Control (as determined by the Administrator) with respect to all open Performance Periods.</w:t>
      </w:r>
    </w:p>
    <w:p>
      <w:pPr>
        <w:spacing w:after="0" w:line="172" w:lineRule="exact"/>
        <w:rPr>
          <w:rFonts w:ascii="Times New Roman" w:cs="Times New Roman" w:eastAsia="Times New Roman" w:hAnsi="Times New Roman"/>
          <w:sz w:val="19"/>
          <w:szCs w:val="19"/>
          <w:color w:val="auto"/>
        </w:rPr>
      </w:pPr>
    </w:p>
    <w:p>
      <w:pPr>
        <w:jc w:val="both"/>
        <w:ind w:firstLine="1505"/>
        <w:spacing w:after="0" w:line="249" w:lineRule="auto"/>
        <w:tabs>
          <w:tab w:leader="none" w:pos="2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corporation in a Change in Control refuses to assume or substitute for the RSUs (other than any portion subject to performance-based vesting, if any), the Administrator may cause (i) any or all of such RSUs (or portion thereof) to terminate in exchange for cash, rights or other property pursuant to Section 12.2(b)(i) of the Plan or (ii) all forfeiture restrictions on any or all of such RSUs to lapse.</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Agreement, the RSUs shall be considered assumed if, following the Change in Control, the RSUs confer the right to purchase or receive, for each Share subject to the RSUs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1688465" cy="508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63" w:lineRule="exact"/>
        <w:rPr>
          <w:sz w:val="20"/>
          <w:szCs w:val="20"/>
          <w:color w:val="auto"/>
        </w:rPr>
      </w:pPr>
    </w:p>
    <w:p>
      <w:pPr>
        <w:ind w:left="120" w:hanging="112"/>
        <w:spacing w:after="0"/>
        <w:tabs>
          <w:tab w:leader="none" w:pos="120"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Draft: Include for mandatory sell-to-cover form.</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46" w:lineRule="auto"/>
        <w:rPr>
          <w:sz w:val="20"/>
          <w:szCs w:val="20"/>
          <w:color w:val="auto"/>
        </w:rPr>
      </w:pPr>
      <w:r>
        <w:rPr>
          <w:rFonts w:ascii="Times New Roman" w:cs="Times New Roman" w:eastAsia="Times New Roman" w:hAnsi="Times New Roman"/>
          <w:sz w:val="20"/>
          <w:szCs w:val="20"/>
          <w:color w:val="auto"/>
        </w:rPr>
        <w:t>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settlement of the RSUs, for each Share subject to the RSUs, to be solely common stock of the successor corporation or its parent equal in fair market value to the per-share consideration received by holders of Common Stock in the Change in Control.</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3.1 Restrictive Covenants</w:t>
      </w:r>
      <w:r>
        <w:rPr>
          <w:rFonts w:ascii="Times New Roman" w:cs="Times New Roman" w:eastAsia="Times New Roman" w:hAnsi="Times New Roman"/>
          <w:sz w:val="20"/>
          <w:szCs w:val="20"/>
          <w:color w:val="auto"/>
        </w:rPr>
        <w:t xml:space="preserve">. In consideration of the benefits being provided to Participant pursuant to this Agreement, Participant agrees to be bound by the restrictive covenants contained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505"/>
        <w:spacing w:after="0" w:line="241" w:lineRule="auto"/>
        <w:tabs>
          <w:tab w:leader="none" w:pos="20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Participant agrees that Participant shall not use for Participant’s own purpose or for the benefit of any person or entity (including, without limitation, a Competing Business) other than a Participating Company or its respective shareholders or affiliates, nor shall Participant otherwise disclose to any individual or entity at any time while Participant is employed by a Participating Company or thereafter any Proprietary Information (as defined below) of the Company unless such disclosure (i) has been authorized by the Board; (ii) is reasonably required within the course and scope of Participant’s employment with the Company; or (iii) is required by law, a court of competent jurisdiction or a governmental or regulatory agency. “</w:t>
      </w: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xml:space="preserve">” shall mean (A) the name or address of any customer, supplier or parent or subsidiary entity of a Participating Company or any information concerning the transactions or relations of any customer, supplier or parent or subsidiary entity of a Participating Company or any of its shareholders; (B) any information concerning any product, service, technology or procedure offered or used by a Participating Company, or under development by or being considered for use by a Participating Company; (C) any information relating to marketing or pricing plans or methods, capital structure, or any business or strategic plans of a Participating Company; (D) any inventions, innovations, trade secrets, patents and processes in any way relating, directly or indirectly, to a Participating Company’s business developed by Participant alone or in conjunction with others; and (E) any other information which the Board has determined by resolution and communicated to Participant in writing to be proprietary information for purposes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“Proprietary Information” shall not include any information that is or becomes generally known to the public other than through actions of Participant in violation of the restrictive covenants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any Similar Covenants (as defined below).</w:t>
      </w:r>
    </w:p>
    <w:p>
      <w:pPr>
        <w:spacing w:after="0" w:line="189" w:lineRule="exact"/>
        <w:rPr>
          <w:sz w:val="20"/>
          <w:szCs w:val="20"/>
          <w:color w:val="auto"/>
        </w:rPr>
      </w:pPr>
    </w:p>
    <w:p>
      <w:pPr>
        <w:ind w:left="2540" w:right="580" w:hanging="12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THE FOLLOWING RESTRICTIVE COVENANTS CONTAINED IN SECTION 5.1 (b) DO NOT APPLY TO EMPLOYEES IN THE FOLLOWING STATES: CA, CO, MN AND OK</w:t>
      </w:r>
    </w:p>
    <w:p>
      <w:pPr>
        <w:spacing w:after="0" w:line="156" w:lineRule="exact"/>
        <w:rPr>
          <w:sz w:val="20"/>
          <w:szCs w:val="20"/>
          <w:color w:val="auto"/>
        </w:rPr>
      </w:pPr>
    </w:p>
    <w:p>
      <w:pPr>
        <w:jc w:val="both"/>
        <w:ind w:firstLine="1505"/>
        <w:spacing w:after="0" w:line="244" w:lineRule="auto"/>
        <w:tabs>
          <w:tab w:leader="none" w:pos="203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Participant acknowledges that during Participant’s employment with a Participating Company Participant will become familiar with Proprietary Information and that Participant’s services will be of special, unique and extraordinary value to the Participating Company. Therefore, Participant agrees that during the Restricted Period, Participant shall not directly or indirectly own, manage, control, participate in, consult with, render services for, or in any manner engage in any business with a Competing Business. Nothing herein shall prohibit Participant from being a passive owner of not more than two percent (2%) of the outstanding equity of any entity which is publicly traded or a mutual investment fund so long as Participant has no direct or indirect active participation in the business of such entity.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1505"/>
        <w:spacing w:after="0" w:line="245" w:lineRule="auto"/>
        <w:tabs>
          <w:tab w:leader="none" w:pos="20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During the Restricted Period, Participant shall not directly or indirectly (i) induce or attempt to induce any employee of a Participating Company to terminate such employment, or in any way interfere with the employee relationship between a Participating Company and any such employee; (ii) hire any person who is, or, at any time during the twelve (12)-month period immediately prior to the date of Participant’s Termination of Service, was, an employee of a Participating Company; or (iii) induce or attempt to induce any person having a business relationship with a Participating Company to cease doing business with the Participating Company or interfere materially with the relationship between any such person and the Participating Company.</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Participant agrees not to disparage any Participating Company, any of its products or practices, any of its directors, officers, agents, representatives, employees or affiliates, either orally or in writing, at any time; provided that Participant shall not be required to make any untruthful statement or to violate any law.</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Surrender of Records</w:t>
      </w:r>
      <w:r>
        <w:rPr>
          <w:rFonts w:ascii="Times New Roman" w:cs="Times New Roman" w:eastAsia="Times New Roman" w:hAnsi="Times New Roman"/>
          <w:sz w:val="20"/>
          <w:szCs w:val="20"/>
          <w:color w:val="auto"/>
        </w:rPr>
        <w:t>. Participant agrees that, upon Participant’s Termination of Service and at any other time requested by the Administrator, Participant shall not retain and shall promptly surrender to the Company or, with the Company’s prior consent, delete or destroy all correspondence, memoranda, files, manuals, financial, operating or marketing records, magnetic tape, or electronic or other media of any kind which may be in Participant’s possession or under Participant’s control or accessible to Participant which contain any Proprietary Information.</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3.2Enforcement</w:t>
      </w:r>
      <w:r>
        <w:rPr>
          <w:rFonts w:ascii="Times New Roman" w:cs="Times New Roman" w:eastAsia="Times New Roman" w:hAnsi="Times New Roman"/>
          <w:sz w:val="19"/>
          <w:szCs w:val="19"/>
          <w:color w:val="auto"/>
        </w:rPr>
        <w:t xml:space="preserve">. Unless otherwise set forth above, the parties hereto agree that the time, duration, and area for which the covenants set forth in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are to be effective are reasonable. In the event that any court or arbitrator determines that the time period or the area, or both of them, are unreasonable and that any of the covenants are to that extent unenforceable, the parties hereto agree that such covenants will remain in full force and effect, first, for the greatest time period, and second, in the greatest geographical area that would not render them unenforceable. The parties intend that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will be deemed to be a series of separate covenants, one for each and every county, parish and similar subdivision of each and every state of the United States of America (and each and every subdivision of each other geographical area in which a Participating Company then engages in business or engaged in business at any time during Participant’s employment with a Participating Company). Participant agrees that damages are an inadequate remedy for any breach of the covenants in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that the Company will, whether or not it is pursuing any potential remedies at law, be entitled to equitable relief in the form of preliminary and permanent injunctions without bond or other security upon any actual or threatened breach of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Unless otherwise set forth above, Participant acknowledges and agrees that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 is ancillary to a valid employment relationship with the Company or any other Participating Company, (b) is reasonably necessary to protect a Participating Company’s legitimate business interest (including, without limitation, the Participating Company’s customer relationships and Proprietary Information), and (c) does not unreasonably restrict Participant’s right to work in his or her chosen profession. Notwithstanding anything to the contrary, nothing herein is intended to or will prohibit Participant from filing a charge with, reporting possible violations of law or regulation to, participating in any investigation by, cooperating with, or communicating directly with, or providing information in confidence to, any governmental entity or making other disclosures that are protected under the whistleblower provisions of applicable law or regulation. For the avoidance of doubt, Participant shall remain obligated to comply with any similar confidentiality, return of property, non-competition, non-solicitation, non-disparagement, or intellectual property covenant that runs in favor of the Company and by which Participant is bound, the terms of which are incorporated herein by reference (collectively, “</w:t>
      </w:r>
      <w:r>
        <w:rPr>
          <w:rFonts w:ascii="Times New Roman" w:cs="Times New Roman" w:eastAsia="Times New Roman" w:hAnsi="Times New Roman"/>
          <w:sz w:val="19"/>
          <w:szCs w:val="19"/>
          <w:u w:val="single" w:color="auto"/>
          <w:color w:val="auto"/>
        </w:rPr>
        <w:t>Similar Covenants</w:t>
      </w:r>
      <w:r>
        <w:rPr>
          <w:rFonts w:ascii="Times New Roman" w:cs="Times New Roman" w:eastAsia="Times New Roman" w:hAnsi="Times New Roman"/>
          <w:sz w:val="19"/>
          <w:szCs w:val="19"/>
          <w:color w:val="auto"/>
        </w:rPr>
        <w:t xml:space="preserve">”), in addition to the covenants set forth in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and nothing herein shall supersede or amend any Similar Covenants unless otherwise prohibited by law.</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jc w:val="both"/>
        <w:ind w:firstLine="749"/>
        <w:spacing w:after="0"/>
        <w:rPr>
          <w:sz w:val="20"/>
          <w:szCs w:val="20"/>
          <w:color w:val="auto"/>
        </w:rPr>
      </w:pPr>
      <w:r>
        <w:rPr>
          <w:rFonts w:ascii="Times New Roman" w:cs="Times New Roman" w:eastAsia="Times New Roman" w:hAnsi="Times New Roman"/>
          <w:sz w:val="20"/>
          <w:szCs w:val="20"/>
          <w:u w:val="single" w:color="auto"/>
          <w:color w:val="auto"/>
        </w:rPr>
        <w:t>Section 4.1Administration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4.2RSUs Not Transferable</w:t>
      </w:r>
      <w:r>
        <w:rPr>
          <w:rFonts w:ascii="Times New Roman" w:cs="Times New Roman" w:eastAsia="Times New Roman" w:hAnsi="Times New Roman"/>
          <w:sz w:val="20"/>
          <w:szCs w:val="20"/>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4.3Adjustments</w:t>
      </w:r>
      <w:r>
        <w:rPr>
          <w:rFonts w:ascii="Times New Roman" w:cs="Times New Roman" w:eastAsia="Times New Roman" w:hAnsi="Times New Roman"/>
          <w:sz w:val="20"/>
          <w:szCs w:val="20"/>
          <w:color w:val="auto"/>
        </w:rPr>
        <w:t xml:space="preserve">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12.2 of the Plan.</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4.4Notices</w:t>
      </w:r>
      <w:r>
        <w:rPr>
          <w:rFonts w:ascii="Times New Roman" w:cs="Times New Roman" w:eastAsia="Times New Roman" w:hAnsi="Times New Roman"/>
          <w:sz w:val="20"/>
          <w:szCs w:val="20"/>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email or physical address reflected on the Company’s records. By a notice given pursuant to this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either party may hereafter designate a different address for notices to be given to that party. Any notice shall be deemed duly given when sent via email (to Participant only) or when sent by certified mail (return receipt requested) and deposited (with postage prepaid) in a post office or branch post office regularly maintained by the United States Postal Service.</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4.5Titles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u w:val="single" w:color="auto"/>
          <w:color w:val="auto"/>
        </w:rPr>
        <w:t>Section 4.6Governing Law</w:t>
      </w:r>
      <w:r>
        <w:rPr>
          <w:rFonts w:ascii="Times New Roman" w:cs="Times New Roman" w:eastAsia="Times New Roman" w:hAnsi="Times New Roman"/>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3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4.7 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1" w:name="page122"/>
    <w:bookmarkEnd w:id="121"/>
    <w:p>
      <w:pPr>
        <w:jc w:val="both"/>
        <w:spacing w:after="0" w:line="269" w:lineRule="auto"/>
        <w:rPr>
          <w:sz w:val="20"/>
          <w:szCs w:val="20"/>
          <w:color w:val="auto"/>
        </w:rPr>
      </w:pPr>
      <w:r>
        <w:rPr>
          <w:rFonts w:ascii="Times New Roman" w:cs="Times New Roman" w:eastAsia="Times New Roman" w:hAnsi="Times New Roman"/>
          <w:sz w:val="20"/>
          <w:szCs w:val="20"/>
          <w:color w:val="auto"/>
        </w:rPr>
        <w:t>extent permitted by Applicable Law, the Plan, the Grant Notice and this Agreement shall be deemed amended to the extent necessary to conform to Applicable Law.</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4.8Amendment,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adversely affect the RSUs in any material respect without the prior written consent of Participant.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4.9Successors and Assigns</w:t>
      </w:r>
      <w:r>
        <w:rPr>
          <w:rFonts w:ascii="Times New Roman" w:cs="Times New Roman" w:eastAsia="Times New Roman" w:hAnsi="Times New Roman"/>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the Plan, this Agreement shall be binding upon and inure to the benefit of the heirs, legatees, legal representatives, successors and assigns of the parties hereto.</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4.10Limitations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4.11Not a Contract of Employment</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(i) expressly provided otherwise in a written agreement between a Participating Company and Participant or (ii) where such provisions are not consistent with applicable foreign or local laws, in which case such applicable foreign or local laws shall control.</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4.12Entire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notices, communications and agreements of the Company and Participant with respect to the subject matter hereof.</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4.13Section 409A</w:t>
      </w:r>
      <w:r>
        <w:rPr>
          <w:rFonts w:ascii="Times New Roman" w:cs="Times New Roman" w:eastAsia="Times New Roman" w:hAnsi="Times New Roman"/>
          <w:sz w:val="20"/>
          <w:szCs w:val="20"/>
          <w:color w:val="auto"/>
        </w:rPr>
        <w:t>. This Award is intended to be exempt from, or comply with, Section 409A and shall be interpreted accordingly. Notwithstanding any other provision of the Plan, the Grant Notice or this Agreement,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4.14Agreement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4.15Limitation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4.16Counterparts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4.17Broker-Assisted Sales</w:t>
      </w:r>
      <w:r>
        <w:rPr>
          <w:rFonts w:ascii="Times New Roman" w:cs="Times New Roman" w:eastAsia="Times New Roman" w:hAnsi="Times New Roman"/>
          <w:sz w:val="20"/>
          <w:szCs w:val="20"/>
          <w:color w:val="auto"/>
        </w:rPr>
        <w:t xml:space="preserve">. In the event of any broker-assisted sale of shares of Stock in connection with the payment of withholding taxes as provided in </w:t>
      </w:r>
      <w:r>
        <w:rPr>
          <w:rFonts w:ascii="Times New Roman" w:cs="Times New Roman" w:eastAsia="Times New Roman" w:hAnsi="Times New Roman"/>
          <w:sz w:val="20"/>
          <w:szCs w:val="20"/>
          <w:u w:val="single" w:color="auto"/>
          <w:color w:val="auto"/>
        </w:rPr>
        <w:t>Section 2.5(a)(iii)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2.5(a)(v)</w:t>
      </w:r>
      <w:r>
        <w:rPr>
          <w:rFonts w:ascii="Times New Roman" w:cs="Times New Roman" w:eastAsia="Times New Roman" w:hAnsi="Times New Roman"/>
          <w:sz w:val="20"/>
          <w:szCs w:val="20"/>
          <w:color w:val="auto"/>
        </w:rPr>
        <w:t>: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Participating Company with respect to which the withholding obligation arises an amount in cash sufficient to satisfy any remaining portion of the applicable Participating Company’s withholding obligation.</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4.18Clawback</w:t>
      </w:r>
      <w:r>
        <w:rPr>
          <w:rFonts w:ascii="Times New Roman" w:cs="Times New Roman" w:eastAsia="Times New Roman" w:hAnsi="Times New Roman"/>
          <w:sz w:val="20"/>
          <w:szCs w:val="20"/>
          <w:color w:val="auto"/>
        </w:rPr>
        <w:t>. In the event Participant engages in fraud, intentional misconduct and/or actions leading to material reputational harm to the Company, the Administrator may, in its sole discretion, require the Participant to forfeit, disgorge, return to the Company or adjust any RSUs and/or the Shares issuable hereunder, including any amounts or profits realized by Participant in connection with such RSUs or the sale of Shares issuable hereunder. Notwithstanding anything to the contrary, neither this Section 4.18 nor Section 10.5 of the Plan are intended to limit any clawback or recoupment policy in effect on the Grant Date or as may be adopted or maintained by the Company from time to time, including to the extent required in order to comply with Applicable Law, including the Dodd-Frank Wall Street Reform and Consumer Protection Act and any rules or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spacing w:after="0" w:line="16"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color w:val="auto"/>
        </w:rPr>
        <w:t>Exhibit 10.27</w:t>
      </w:r>
    </w:p>
    <w:p>
      <w:pPr>
        <w:spacing w:after="0" w:line="107"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December 16, 2024</w:t>
      </w:r>
    </w:p>
    <w:p>
      <w:pPr>
        <w:spacing w:after="0" w:line="242"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Dear Carlos,</w:t>
      </w:r>
    </w:p>
    <w:p>
      <w:pPr>
        <w:spacing w:after="0" w:line="265" w:lineRule="exact"/>
        <w:rPr>
          <w:sz w:val="20"/>
          <w:szCs w:val="20"/>
          <w:color w:val="auto"/>
        </w:rPr>
      </w:pPr>
    </w:p>
    <w:p>
      <w:pPr>
        <w:ind w:left="440" w:right="360"/>
        <w:spacing w:after="0" w:line="234" w:lineRule="auto"/>
        <w:rPr>
          <w:sz w:val="20"/>
          <w:szCs w:val="20"/>
          <w:color w:val="auto"/>
        </w:rPr>
      </w:pPr>
      <w:r>
        <w:rPr>
          <w:rFonts w:ascii="Calibri" w:cs="Calibri" w:eastAsia="Calibri" w:hAnsi="Calibri"/>
          <w:sz w:val="20"/>
          <w:szCs w:val="20"/>
          <w:color w:val="auto"/>
        </w:rPr>
        <w:t xml:space="preserve">We are pleased to ofer you employment as </w:t>
      </w:r>
      <w:r>
        <w:rPr>
          <w:rFonts w:ascii="Calibri" w:cs="Calibri" w:eastAsia="Calibri" w:hAnsi="Calibri"/>
          <w:sz w:val="20"/>
          <w:szCs w:val="20"/>
          <w:b w:val="1"/>
          <w:bCs w:val="1"/>
          <w:color w:val="auto"/>
        </w:rPr>
        <w:t>Chief Technology Ofcer</w:t>
      </w:r>
      <w:r>
        <w:rPr>
          <w:rFonts w:ascii="Calibri" w:cs="Calibri" w:eastAsia="Calibri" w:hAnsi="Calibri"/>
          <w:sz w:val="20"/>
          <w:szCs w:val="20"/>
          <w:color w:val="auto"/>
        </w:rPr>
        <w:t xml:space="preserve"> at Mister Car Wash! We look forward to a tentatve start date of January 20, 2024.</w:t>
      </w:r>
    </w:p>
    <w:p>
      <w:pPr>
        <w:spacing w:after="0" w:line="145" w:lineRule="exact"/>
        <w:rPr>
          <w:sz w:val="20"/>
          <w:szCs w:val="20"/>
          <w:color w:val="auto"/>
        </w:rPr>
      </w:pPr>
    </w:p>
    <w:p>
      <w:pPr>
        <w:ind w:left="440" w:right="220"/>
        <w:spacing w:after="0" w:line="234" w:lineRule="auto"/>
        <w:rPr>
          <w:sz w:val="20"/>
          <w:szCs w:val="20"/>
          <w:color w:val="auto"/>
        </w:rPr>
      </w:pPr>
      <w:r>
        <w:rPr>
          <w:rFonts w:ascii="Calibri" w:cs="Calibri" w:eastAsia="Calibri" w:hAnsi="Calibri"/>
          <w:sz w:val="20"/>
          <w:szCs w:val="20"/>
          <w:color w:val="auto"/>
        </w:rPr>
        <w:t xml:space="preserve">Your positon is classifed as full tme, exempt, and your salary will be </w:t>
      </w:r>
      <w:r>
        <w:rPr>
          <w:rFonts w:ascii="Calibri" w:cs="Calibri" w:eastAsia="Calibri" w:hAnsi="Calibri"/>
          <w:sz w:val="20"/>
          <w:szCs w:val="20"/>
          <w:b w:val="1"/>
          <w:bCs w:val="1"/>
          <w:color w:val="auto"/>
        </w:rPr>
        <w:t>$400,000</w:t>
      </w:r>
      <w:r>
        <w:rPr>
          <w:rFonts w:ascii="Calibri" w:cs="Calibri" w:eastAsia="Calibri" w:hAnsi="Calibri"/>
          <w:sz w:val="20"/>
          <w:szCs w:val="20"/>
          <w:color w:val="auto"/>
        </w:rPr>
        <w:t xml:space="preserve"> annually payable bi-weekly, also included in your compensaton package are the following items:</w:t>
      </w:r>
    </w:p>
    <w:p>
      <w:pPr>
        <w:spacing w:after="0" w:line="172" w:lineRule="exact"/>
        <w:rPr>
          <w:sz w:val="20"/>
          <w:szCs w:val="20"/>
          <w:color w:val="auto"/>
        </w:rPr>
      </w:pPr>
    </w:p>
    <w:p>
      <w:pPr>
        <w:jc w:val="both"/>
        <w:ind w:left="1180" w:right="460" w:hanging="354"/>
        <w:spacing w:after="0" w:line="236" w:lineRule="auto"/>
        <w:tabs>
          <w:tab w:leader="none" w:pos="1180" w:val="left"/>
        </w:tabs>
        <w:numPr>
          <w:ilvl w:val="0"/>
          <w:numId w:val="7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Bonus</w:t>
      </w:r>
      <w:r>
        <w:rPr>
          <w:rFonts w:ascii="Calibri" w:cs="Calibri" w:eastAsia="Calibri" w:hAnsi="Calibri"/>
          <w:sz w:val="20"/>
          <w:szCs w:val="20"/>
          <w:color w:val="auto"/>
        </w:rPr>
        <w:t>—You will be eligible for a target bonus of</w:t>
      </w:r>
      <w:r>
        <w:rPr>
          <w:rFonts w:ascii="Calibri" w:cs="Calibri" w:eastAsia="Calibri" w:hAnsi="Calibri"/>
          <w:sz w:val="20"/>
          <w:szCs w:val="20"/>
          <w:b w:val="1"/>
          <w:bCs w:val="1"/>
          <w:color w:val="auto"/>
        </w:rPr>
        <w:t xml:space="preserve"> 40% </w:t>
      </w:r>
      <w:r>
        <w:rPr>
          <w:rFonts w:ascii="Calibri" w:cs="Calibri" w:eastAsia="Calibri" w:hAnsi="Calibri"/>
          <w:sz w:val="20"/>
          <w:szCs w:val="20"/>
          <w:color w:val="auto"/>
        </w:rPr>
        <w:t>of your annual salary, payable afer the annual earnings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release. Note that payment of bonuses is contngent upon the company’s atainment to our fnancial plan and your contnued employment as of the payment date.</w:t>
      </w:r>
    </w:p>
    <w:p>
      <w:pPr>
        <w:spacing w:after="0" w:line="251" w:lineRule="exact"/>
        <w:rPr>
          <w:rFonts w:ascii="Times New Roman" w:cs="Times New Roman" w:eastAsia="Times New Roman" w:hAnsi="Times New Roman"/>
          <w:sz w:val="20"/>
          <w:szCs w:val="20"/>
          <w:color w:val="auto"/>
        </w:rPr>
      </w:pPr>
    </w:p>
    <w:p>
      <w:pPr>
        <w:jc w:val="both"/>
        <w:ind w:left="1180" w:right="460" w:hanging="354"/>
        <w:spacing w:after="0" w:line="236" w:lineRule="auto"/>
        <w:tabs>
          <w:tab w:leader="none" w:pos="1180" w:val="left"/>
        </w:tabs>
        <w:numPr>
          <w:ilvl w:val="0"/>
          <w:numId w:val="7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Sign-On Bonus </w:t>
      </w:r>
      <w:r>
        <w:rPr>
          <w:rFonts w:ascii="Calibri" w:cs="Calibri" w:eastAsia="Calibri" w:hAnsi="Calibri"/>
          <w:sz w:val="20"/>
          <w:szCs w:val="20"/>
          <w:color w:val="auto"/>
        </w:rPr>
        <w:t>—Pursuant to our conversaton, you will receive a one-tme bonus of</w:t>
      </w:r>
      <w:r>
        <w:rPr>
          <w:rFonts w:ascii="Calibri" w:cs="Calibri" w:eastAsia="Calibri" w:hAnsi="Calibri"/>
          <w:sz w:val="20"/>
          <w:szCs w:val="20"/>
          <w:b w:val="1"/>
          <w:bCs w:val="1"/>
          <w:color w:val="auto"/>
        </w:rPr>
        <w:t xml:space="preserve"> $75,000 </w:t>
      </w:r>
      <w:r>
        <w:rPr>
          <w:rFonts w:ascii="Calibri" w:cs="Calibri" w:eastAsia="Calibri" w:hAnsi="Calibri"/>
          <w:sz w:val="20"/>
          <w:szCs w:val="20"/>
          <w:color w:val="auto"/>
        </w:rPr>
        <w:t>subject to normal tax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withholdings. If employment is terminated before your two-year anniversary, you will be obligated to repay the full amount of the bonus.</w:t>
      </w:r>
    </w:p>
    <w:p>
      <w:pPr>
        <w:spacing w:after="0" w:line="265" w:lineRule="exact"/>
        <w:rPr>
          <w:rFonts w:ascii="Times New Roman" w:cs="Times New Roman" w:eastAsia="Times New Roman" w:hAnsi="Times New Roman"/>
          <w:sz w:val="20"/>
          <w:szCs w:val="20"/>
          <w:color w:val="auto"/>
        </w:rPr>
      </w:pPr>
    </w:p>
    <w:p>
      <w:pPr>
        <w:jc w:val="both"/>
        <w:ind w:left="1180" w:right="460" w:hanging="354"/>
        <w:spacing w:after="0" w:line="241" w:lineRule="auto"/>
        <w:tabs>
          <w:tab w:leader="none" w:pos="1180" w:val="left"/>
        </w:tabs>
        <w:numPr>
          <w:ilvl w:val="0"/>
          <w:numId w:val="7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Long-Term Incentve (LTI) </w:t>
      </w:r>
      <w:r>
        <w:rPr>
          <w:rFonts w:ascii="Calibri" w:cs="Calibri" w:eastAsia="Calibri" w:hAnsi="Calibri"/>
          <w:sz w:val="20"/>
          <w:szCs w:val="20"/>
          <w:color w:val="auto"/>
        </w:rPr>
        <w:t>— Subject to approval by the Compensaton Commitee of the Board of Directors, you will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be eligible on an annual basis for a grant of nonqualifed stock optons (NQSO) and restricted stock units (RSU) with a value of </w:t>
      </w:r>
      <w:r>
        <w:rPr>
          <w:rFonts w:ascii="Calibri" w:cs="Calibri" w:eastAsia="Calibri" w:hAnsi="Calibri"/>
          <w:sz w:val="20"/>
          <w:szCs w:val="20"/>
          <w:b w:val="1"/>
          <w:bCs w:val="1"/>
          <w:color w:val="auto"/>
        </w:rPr>
        <w:t>$250,000</w:t>
      </w:r>
      <w:r>
        <w:rPr>
          <w:rFonts w:ascii="Calibri" w:cs="Calibri" w:eastAsia="Calibri" w:hAnsi="Calibri"/>
          <w:sz w:val="20"/>
          <w:szCs w:val="20"/>
          <w:color w:val="auto"/>
        </w:rPr>
        <w:t xml:space="preserve"> (subject to proraton based on the date of grant) and a three- year vestng period. We antcipate the grant will be split 50/50 between NQSO and RSU. </w:t>
      </w:r>
      <w:r>
        <w:rPr>
          <w:rFonts w:ascii="Calibri" w:cs="Calibri" w:eastAsia="Calibri" w:hAnsi="Calibri"/>
          <w:sz w:val="17"/>
          <w:szCs w:val="17"/>
          <w:i w:val="1"/>
          <w:iCs w:val="1"/>
          <w:color w:val="808080"/>
        </w:rPr>
        <w:t>The eligibility, valuaton, vestng, and other details are subject to the</w:t>
      </w:r>
      <w:r>
        <w:rPr>
          <w:rFonts w:ascii="Calibri" w:cs="Calibri" w:eastAsia="Calibri" w:hAnsi="Calibri"/>
          <w:sz w:val="20"/>
          <w:szCs w:val="20"/>
          <w:color w:val="auto"/>
        </w:rPr>
        <w:t xml:space="preserve"> </w:t>
      </w:r>
      <w:r>
        <w:rPr>
          <w:rFonts w:ascii="Calibri" w:cs="Calibri" w:eastAsia="Calibri" w:hAnsi="Calibri"/>
          <w:sz w:val="17"/>
          <w:szCs w:val="17"/>
          <w:i w:val="1"/>
          <w:iCs w:val="1"/>
          <w:color w:val="808080"/>
        </w:rPr>
        <w:t>2021 Incentve Award Plan and may be modifed by the Board of Directors.</w:t>
      </w:r>
    </w:p>
    <w:p>
      <w:pPr>
        <w:spacing w:after="0" w:line="228" w:lineRule="exact"/>
        <w:rPr>
          <w:rFonts w:ascii="Times New Roman" w:cs="Times New Roman" w:eastAsia="Times New Roman" w:hAnsi="Times New Roman"/>
          <w:sz w:val="20"/>
          <w:szCs w:val="20"/>
          <w:color w:val="auto"/>
        </w:rPr>
      </w:pPr>
    </w:p>
    <w:p>
      <w:pPr>
        <w:ind w:left="1180" w:right="460" w:hanging="354"/>
        <w:spacing w:after="0" w:line="234" w:lineRule="auto"/>
        <w:tabs>
          <w:tab w:leader="none" w:pos="1180" w:val="left"/>
        </w:tabs>
        <w:numPr>
          <w:ilvl w:val="0"/>
          <w:numId w:val="7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Phone Reimbursement</w:t>
      </w:r>
      <w:r>
        <w:rPr>
          <w:rFonts w:ascii="Calibri" w:cs="Calibri" w:eastAsia="Calibri" w:hAnsi="Calibri"/>
          <w:sz w:val="20"/>
          <w:szCs w:val="20"/>
          <w:color w:val="auto"/>
        </w:rPr>
        <w:t>—You will be eligible for a monthly phone reimbursement of $100, which annualizes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$1,200. Phone reimbursements are payable on the frst paycheck of each month.</w:t>
      </w:r>
    </w:p>
    <w:p>
      <w:pPr>
        <w:spacing w:after="0" w:line="252" w:lineRule="exact"/>
        <w:rPr>
          <w:rFonts w:ascii="Times New Roman" w:cs="Times New Roman" w:eastAsia="Times New Roman" w:hAnsi="Times New Roman"/>
          <w:sz w:val="20"/>
          <w:szCs w:val="20"/>
          <w:color w:val="auto"/>
        </w:rPr>
      </w:pPr>
    </w:p>
    <w:p>
      <w:pPr>
        <w:jc w:val="both"/>
        <w:ind w:left="1180" w:right="460" w:hanging="354"/>
        <w:spacing w:after="0" w:line="236" w:lineRule="auto"/>
        <w:tabs>
          <w:tab w:leader="none" w:pos="1180" w:val="left"/>
        </w:tabs>
        <w:numPr>
          <w:ilvl w:val="0"/>
          <w:numId w:val="7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Relocaton Assistance</w:t>
      </w:r>
      <w:r>
        <w:rPr>
          <w:rFonts w:ascii="Calibri" w:cs="Calibri" w:eastAsia="Calibri" w:hAnsi="Calibri"/>
          <w:sz w:val="20"/>
          <w:szCs w:val="20"/>
          <w:color w:val="auto"/>
        </w:rPr>
        <w:t>—You will receive a Tier V relocaton package which includes household goods moving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assistance from our relocaton partners, NEI, as well as a $15,000 net lump sum for incidentals. Please see atached policy with further details on what the policy includes. Mister will also cover 30 days of temporary housing (facilitated through NEI) to support your transiton.</w:t>
      </w:r>
    </w:p>
    <w:p>
      <w:pPr>
        <w:spacing w:after="0" w:line="241" w:lineRule="exact"/>
        <w:rPr>
          <w:rFonts w:ascii="Times New Roman" w:cs="Times New Roman" w:eastAsia="Times New Roman" w:hAnsi="Times New Roman"/>
          <w:sz w:val="20"/>
          <w:szCs w:val="20"/>
          <w:color w:val="auto"/>
        </w:rPr>
      </w:pPr>
    </w:p>
    <w:p>
      <w:pPr>
        <w:ind w:left="1180" w:right="460" w:hanging="354"/>
        <w:spacing w:after="0" w:line="234" w:lineRule="auto"/>
        <w:tabs>
          <w:tab w:leader="none" w:pos="1180" w:val="left"/>
        </w:tabs>
        <w:numPr>
          <w:ilvl w:val="0"/>
          <w:numId w:val="7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Paid Time Of (PTO)</w:t>
      </w:r>
      <w:r>
        <w:rPr>
          <w:rFonts w:ascii="Calibri" w:cs="Calibri" w:eastAsia="Calibri" w:hAnsi="Calibri"/>
          <w:sz w:val="20"/>
          <w:szCs w:val="20"/>
          <w:color w:val="auto"/>
        </w:rPr>
        <w:t>—You will be eligible to use PTO subject to your supervisor’s approval. Corporate-exempt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employees do not accrue to or debit from a PTO bank.</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20"/>
          <w:szCs w:val="20"/>
          <w:color w:val="auto"/>
        </w:rPr>
        <w:t>www.mistercarwash.com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779780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24" w:name="page125"/>
    <w:bookmarkEnd w:id="124"/>
    <w:p>
      <w:pPr>
        <w:spacing w:after="0" w:line="390" w:lineRule="exact"/>
        <w:rPr>
          <w:sz w:val="20"/>
          <w:szCs w:val="20"/>
          <w:color w:val="auto"/>
        </w:rPr>
      </w:pPr>
    </w:p>
    <w:p>
      <w:pPr>
        <w:ind w:left="1180" w:hanging="354"/>
        <w:spacing w:after="0" w:line="234" w:lineRule="auto"/>
        <w:tabs>
          <w:tab w:leader="none" w:pos="1180" w:val="left"/>
        </w:tabs>
        <w:numPr>
          <w:ilvl w:val="0"/>
          <w:numId w:val="7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Health Benefts</w:t>
      </w:r>
      <w:r>
        <w:rPr>
          <w:rFonts w:ascii="Calibri" w:cs="Calibri" w:eastAsia="Calibri" w:hAnsi="Calibri"/>
          <w:sz w:val="20"/>
          <w:szCs w:val="20"/>
          <w:color w:val="auto"/>
        </w:rPr>
        <w:t>—You will be eligible to partcipate in the company’s medical, dental, vision, life, AD&amp;D, and short-term disability plans on the frst day of the calendar month following your frst 30 days of service.</w:t>
      </w:r>
    </w:p>
    <w:p>
      <w:pPr>
        <w:spacing w:after="0" w:line="266" w:lineRule="exact"/>
        <w:rPr>
          <w:rFonts w:ascii="Times New Roman" w:cs="Times New Roman" w:eastAsia="Times New Roman" w:hAnsi="Times New Roman"/>
          <w:sz w:val="20"/>
          <w:szCs w:val="20"/>
          <w:color w:val="auto"/>
        </w:rPr>
      </w:pPr>
    </w:p>
    <w:p>
      <w:pPr>
        <w:ind w:left="1180" w:hanging="354"/>
        <w:spacing w:after="0" w:line="234" w:lineRule="auto"/>
        <w:tabs>
          <w:tab w:leader="none" w:pos="1180" w:val="left"/>
        </w:tabs>
        <w:numPr>
          <w:ilvl w:val="0"/>
          <w:numId w:val="7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Retrement Benefts</w:t>
      </w:r>
      <w:r>
        <w:rPr>
          <w:rFonts w:ascii="Calibri" w:cs="Calibri" w:eastAsia="Calibri" w:hAnsi="Calibri"/>
          <w:sz w:val="20"/>
          <w:szCs w:val="20"/>
          <w:color w:val="auto"/>
        </w:rPr>
        <w:t>—Mister Car Wash provides the opton of a traditonal or Roth 401(k) with a company match.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 will become eligible afer six months of service.</w:t>
      </w:r>
    </w:p>
    <w:p>
      <w:pPr>
        <w:spacing w:after="0" w:line="239" w:lineRule="exact"/>
        <w:rPr>
          <w:rFonts w:ascii="Times New Roman" w:cs="Times New Roman" w:eastAsia="Times New Roman" w:hAnsi="Times New Roman"/>
          <w:sz w:val="20"/>
          <w:szCs w:val="20"/>
          <w:color w:val="auto"/>
        </w:rPr>
      </w:pPr>
    </w:p>
    <w:p>
      <w:pPr>
        <w:ind w:left="1180" w:right="260" w:hanging="354"/>
        <w:spacing w:after="0" w:line="236" w:lineRule="auto"/>
        <w:tabs>
          <w:tab w:leader="none" w:pos="1180" w:val="left"/>
        </w:tabs>
        <w:numPr>
          <w:ilvl w:val="0"/>
          <w:numId w:val="7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Employee Stock Purchase Program (ESPP) </w:t>
      </w:r>
      <w:r>
        <w:rPr>
          <w:rFonts w:ascii="Calibri" w:cs="Calibri" w:eastAsia="Calibri" w:hAnsi="Calibri"/>
          <w:sz w:val="20"/>
          <w:szCs w:val="20"/>
          <w:color w:val="auto"/>
        </w:rPr>
        <w:t>—Become an owner in our company by purchasing stock through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Mister’s ESPP at a 15% discount! You will be eligible to sign up for the ESPP during the next ofering period afer 6 months of service.</w:t>
      </w:r>
    </w:p>
    <w:p>
      <w:pPr>
        <w:spacing w:after="0" w:line="148"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Please visit benefts.mistercarwash.com for a full list and explanaton of our beneft programs.</w:t>
      </w:r>
    </w:p>
    <w:p>
      <w:pPr>
        <w:spacing w:after="0" w:line="147"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This ofer is contngent upon:</w:t>
      </w:r>
    </w:p>
    <w:p>
      <w:pPr>
        <w:spacing w:after="0" w:line="147" w:lineRule="exact"/>
        <w:rPr>
          <w:sz w:val="20"/>
          <w:szCs w:val="20"/>
          <w:color w:val="auto"/>
        </w:rPr>
      </w:pPr>
    </w:p>
    <w:p>
      <w:pPr>
        <w:ind w:left="1180" w:hanging="354"/>
        <w:spacing w:after="0"/>
        <w:tabs>
          <w:tab w:leader="none" w:pos="1180" w:val="left"/>
        </w:tabs>
        <w:numPr>
          <w:ilvl w:val="0"/>
          <w:numId w:val="7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Satsfactory completon of a background investgaton prior to the start of your employment.</w:t>
      </w:r>
    </w:p>
    <w:p>
      <w:pPr>
        <w:spacing w:after="0" w:line="22" w:lineRule="exact"/>
        <w:rPr>
          <w:rFonts w:ascii="Times New Roman" w:cs="Times New Roman" w:eastAsia="Times New Roman" w:hAnsi="Times New Roman"/>
          <w:sz w:val="20"/>
          <w:szCs w:val="20"/>
          <w:color w:val="auto"/>
        </w:rPr>
      </w:pPr>
    </w:p>
    <w:p>
      <w:pPr>
        <w:jc w:val="both"/>
        <w:ind w:left="1180" w:hanging="354"/>
        <w:spacing w:after="0" w:line="236" w:lineRule="auto"/>
        <w:tabs>
          <w:tab w:leader="none" w:pos="1180" w:val="left"/>
        </w:tabs>
        <w:numPr>
          <w:ilvl w:val="0"/>
          <w:numId w:val="75"/>
        </w:numPr>
        <w:rPr>
          <w:rFonts w:ascii="Times New Roman" w:cs="Times New Roman" w:eastAsia="Times New Roman" w:hAnsi="Times New Roman"/>
          <w:sz w:val="20"/>
          <w:szCs w:val="20"/>
          <w:color w:val="auto"/>
        </w:rPr>
      </w:pPr>
      <w:r>
        <w:rPr>
          <w:rFonts w:ascii="Calibri" w:cs="Calibri" w:eastAsia="Calibri" w:hAnsi="Calibri"/>
          <w:sz w:val="20"/>
          <w:szCs w:val="20"/>
          <w:color w:val="auto"/>
        </w:rPr>
        <w:t>Verifcaton of your right to work in the United States as demonstrated by your completon of the Form I-9 upon hire and your submission of acceptable documentaton (as noted on the Form I-9) verifying your identty and work authorizaton within three days of the start of your employment.</w:t>
      </w:r>
    </w:p>
    <w:p>
      <w:pPr>
        <w:spacing w:after="0" w:line="22" w:lineRule="exact"/>
        <w:rPr>
          <w:rFonts w:ascii="Times New Roman" w:cs="Times New Roman" w:eastAsia="Times New Roman" w:hAnsi="Times New Roman"/>
          <w:sz w:val="20"/>
          <w:szCs w:val="20"/>
          <w:color w:val="auto"/>
        </w:rPr>
      </w:pPr>
    </w:p>
    <w:p>
      <w:pPr>
        <w:ind w:left="1180" w:hanging="354"/>
        <w:spacing w:after="0" w:line="234" w:lineRule="auto"/>
        <w:tabs>
          <w:tab w:leader="none" w:pos="1180" w:val="left"/>
        </w:tabs>
        <w:numPr>
          <w:ilvl w:val="0"/>
          <w:numId w:val="75"/>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Your writen acknowledgement within one week of your start date of the Confdental Informaton and Inventon Assignment Agreement available through Dayforce.</w:t>
      </w:r>
    </w:p>
    <w:p>
      <w:pPr>
        <w:spacing w:after="0" w:line="158" w:lineRule="exact"/>
        <w:rPr>
          <w:sz w:val="20"/>
          <w:szCs w:val="20"/>
          <w:color w:val="auto"/>
        </w:rPr>
      </w:pPr>
    </w:p>
    <w:p>
      <w:pPr>
        <w:jc w:val="both"/>
        <w:ind w:left="440"/>
        <w:spacing w:after="0" w:line="234" w:lineRule="auto"/>
        <w:rPr>
          <w:sz w:val="20"/>
          <w:szCs w:val="20"/>
          <w:color w:val="auto"/>
        </w:rPr>
      </w:pPr>
      <w:r>
        <w:rPr>
          <w:rFonts w:ascii="Calibri" w:cs="Calibri" w:eastAsia="Calibri" w:hAnsi="Calibri"/>
          <w:sz w:val="20"/>
          <w:szCs w:val="20"/>
          <w:b w:val="1"/>
          <w:bCs w:val="1"/>
          <w:color w:val="auto"/>
        </w:rPr>
        <w:t xml:space="preserve">Congratulatons on behalf of the entre company! </w:t>
      </w:r>
      <w:r>
        <w:rPr>
          <w:rFonts w:ascii="Calibri" w:cs="Calibri" w:eastAsia="Calibri" w:hAnsi="Calibri"/>
          <w:sz w:val="20"/>
          <w:szCs w:val="20"/>
          <w:color w:val="auto"/>
        </w:rPr>
        <w:t>We trust that your knowledge, skills, and experience will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signifcant value to the organizaton, and we look forward to seeing all that you will accomplish.</w:t>
      </w:r>
    </w:p>
    <w:p>
      <w:pPr>
        <w:spacing w:after="0" w:line="257"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Sincerely,</w:t>
      </w:r>
    </w:p>
    <w:p>
      <w:pPr>
        <w:spacing w:after="0" w:line="242" w:lineRule="exact"/>
        <w:rPr>
          <w:sz w:val="20"/>
          <w:szCs w:val="20"/>
          <w:color w:val="auto"/>
        </w:rPr>
      </w:pPr>
    </w:p>
    <w:p>
      <w:pPr>
        <w:ind w:left="440"/>
        <w:spacing w:after="0"/>
        <w:rPr>
          <w:sz w:val="20"/>
          <w:szCs w:val="20"/>
          <w:color w:val="auto"/>
        </w:rPr>
      </w:pPr>
      <w:r>
        <w:rPr>
          <w:rFonts w:ascii="Calibri" w:cs="Calibri" w:eastAsia="Calibri" w:hAnsi="Calibri"/>
          <w:sz w:val="20"/>
          <w:szCs w:val="20"/>
          <w:u w:val="single" w:color="auto"/>
          <w:color w:val="auto"/>
        </w:rPr>
        <w:t>/s/ John Lai</w:t>
      </w:r>
    </w:p>
    <w:p>
      <w:pPr>
        <w:spacing w:after="0" w:line="377"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John Lai CEO</w:t>
      </w:r>
    </w:p>
    <w:p>
      <w:pPr>
        <w:spacing w:after="0" w:line="200" w:lineRule="exact"/>
        <w:rPr>
          <w:sz w:val="20"/>
          <w:szCs w:val="20"/>
          <w:color w:val="auto"/>
        </w:rPr>
      </w:pPr>
    </w:p>
    <w:p>
      <w:pPr>
        <w:spacing w:after="0" w:line="324" w:lineRule="exact"/>
        <w:rPr>
          <w:sz w:val="20"/>
          <w:szCs w:val="20"/>
          <w:color w:val="auto"/>
        </w:rPr>
      </w:pPr>
    </w:p>
    <w:p>
      <w:pPr>
        <w:jc w:val="both"/>
        <w:ind w:left="440"/>
        <w:spacing w:after="0" w:line="235" w:lineRule="auto"/>
        <w:rPr>
          <w:sz w:val="20"/>
          <w:szCs w:val="20"/>
          <w:color w:val="auto"/>
        </w:rPr>
      </w:pPr>
      <w:r>
        <w:rPr>
          <w:rFonts w:ascii="Calibri" w:cs="Calibri" w:eastAsia="Calibri" w:hAnsi="Calibri"/>
          <w:sz w:val="18"/>
          <w:szCs w:val="18"/>
          <w:i w:val="1"/>
          <w:iCs w:val="1"/>
          <w:color w:val="808080"/>
        </w:rPr>
        <w:t>In this positon, your employment is “at-will”, meaning that either you or Mister Car Wash can end the employment relatonship at any tme, with or without cause, and for any reason not prohibited by law except as otherwise agreed by the company and you in writng. Your employment at-will relatonship cannot be changed or modifed except by writen instrument signed by an executve ofcer of the company.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20"/>
          <w:szCs w:val="20"/>
          <w:color w:val="auto"/>
        </w:rPr>
        <w:t>www.mistercarwash.com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771525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To accept this ofer:</w:t>
      </w:r>
    </w:p>
    <w:p>
      <w:pPr>
        <w:spacing w:after="0" w:line="161" w:lineRule="exact"/>
        <w:rPr>
          <w:sz w:val="20"/>
          <w:szCs w:val="20"/>
          <w:color w:val="auto"/>
        </w:rPr>
      </w:pPr>
    </w:p>
    <w:p>
      <w:pPr>
        <w:ind w:left="1200" w:hanging="374"/>
        <w:spacing w:after="0"/>
        <w:tabs>
          <w:tab w:leader="none" w:pos="1200" w:val="left"/>
        </w:tabs>
        <w:numPr>
          <w:ilvl w:val="0"/>
          <w:numId w:val="76"/>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 and date this document where indicated below.</w:t>
      </w:r>
    </w:p>
    <w:p>
      <w:pPr>
        <w:spacing w:after="0" w:line="12" w:lineRule="exact"/>
        <w:rPr>
          <w:rFonts w:ascii="Times New Roman" w:cs="Times New Roman" w:eastAsia="Times New Roman" w:hAnsi="Times New Roman"/>
          <w:sz w:val="20"/>
          <w:szCs w:val="20"/>
          <w:color w:val="auto"/>
        </w:rPr>
      </w:pPr>
    </w:p>
    <w:p>
      <w:pPr>
        <w:ind w:left="1200" w:hanging="374"/>
        <w:spacing w:after="0"/>
        <w:tabs>
          <w:tab w:leader="none" w:pos="1200" w:val="left"/>
        </w:tabs>
        <w:numPr>
          <w:ilvl w:val="0"/>
          <w:numId w:val="76"/>
        </w:numPr>
        <w:rPr>
          <w:rFonts w:ascii="Times New Roman" w:cs="Times New Roman" w:eastAsia="Times New Roman" w:hAnsi="Times New Roman"/>
          <w:sz w:val="20"/>
          <w:szCs w:val="20"/>
          <w:color w:val="auto"/>
        </w:rPr>
      </w:pPr>
      <w:r>
        <w:rPr>
          <w:rFonts w:ascii="Calibri" w:cs="Calibri" w:eastAsia="Calibri" w:hAnsi="Calibri"/>
          <w:sz w:val="20"/>
          <w:szCs w:val="20"/>
          <w:color w:val="auto"/>
        </w:rPr>
        <w:t>Email the signed document to talent@mistercarwash.com.</w:t>
      </w:r>
    </w:p>
    <w:p>
      <w:pPr>
        <w:spacing w:after="0" w:line="200" w:lineRule="exact"/>
        <w:rPr>
          <w:sz w:val="20"/>
          <w:szCs w:val="20"/>
          <w:color w:val="auto"/>
        </w:rPr>
      </w:pPr>
    </w:p>
    <w:p>
      <w:pPr>
        <w:spacing w:after="0" w:line="312"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I accept this ofer for at-will employment with Mister Car Wash per the terms set forth above.</w:t>
      </w:r>
    </w:p>
    <w:p>
      <w:pPr>
        <w:spacing w:after="0" w:line="200" w:lineRule="exact"/>
        <w:rPr>
          <w:sz w:val="20"/>
          <w:szCs w:val="20"/>
          <w:color w:val="auto"/>
        </w:rPr>
      </w:pPr>
    </w:p>
    <w:p>
      <w:pPr>
        <w:spacing w:after="0" w:line="298" w:lineRule="exact"/>
        <w:rPr>
          <w:sz w:val="20"/>
          <w:szCs w:val="20"/>
          <w:color w:val="auto"/>
        </w:rPr>
      </w:pPr>
    </w:p>
    <w:p>
      <w:pPr>
        <w:jc w:val="both"/>
        <w:ind w:left="2320"/>
        <w:spacing w:after="0"/>
        <w:tabs>
          <w:tab w:leader="none" w:pos="3400" w:val="left"/>
          <w:tab w:leader="none" w:pos="7080" w:val="left"/>
        </w:tabs>
        <w:rPr>
          <w:sz w:val="20"/>
          <w:szCs w:val="20"/>
          <w:color w:val="auto"/>
        </w:rPr>
      </w:pPr>
      <w:r>
        <w:rPr>
          <w:rFonts w:ascii="Calibri" w:cs="Calibri" w:eastAsia="Calibri" w:hAnsi="Calibri"/>
          <w:sz w:val="20"/>
          <w:szCs w:val="20"/>
          <w:color w:val="auto"/>
        </w:rPr>
        <w:t>Signature:</w:t>
      </w:r>
      <w:r>
        <w:rPr>
          <w:sz w:val="20"/>
          <w:szCs w:val="20"/>
          <w:color w:val="auto"/>
        </w:rPr>
        <w:tab/>
      </w:r>
      <w:r>
        <w:rPr>
          <w:rFonts w:ascii="Calibri" w:cs="Calibri" w:eastAsia="Calibri" w:hAnsi="Calibri"/>
          <w:sz w:val="20"/>
          <w:szCs w:val="20"/>
          <w:u w:val="single" w:color="auto"/>
          <w:color w:val="auto"/>
        </w:rPr>
        <w:t>/s/ Carlos Chavez</w:t>
      </w:r>
      <w:r>
        <w:rPr>
          <w:sz w:val="20"/>
          <w:szCs w:val="20"/>
          <w:color w:val="auto"/>
        </w:rPr>
        <w:tab/>
      </w:r>
      <w:r>
        <w:rPr>
          <w:rFonts w:ascii="Calibri" w:cs="Calibri" w:eastAsia="Calibri" w:hAnsi="Calibri"/>
          <w:sz w:val="20"/>
          <w:szCs w:val="20"/>
          <w:color w:val="auto"/>
        </w:rPr>
        <w:t xml:space="preserve">Date: </w:t>
      </w:r>
      <w:r>
        <w:rPr>
          <w:rFonts w:ascii="Calibri" w:cs="Calibri" w:eastAsia="Calibri" w:hAnsi="Calibri"/>
          <w:sz w:val="20"/>
          <w:szCs w:val="20"/>
          <w:u w:val="single" w:color="auto"/>
          <w:color w:val="auto"/>
        </w:rPr>
        <w:t>12/17/2024</w:t>
      </w:r>
    </w:p>
    <w:p>
      <w:pPr>
        <w:spacing w:after="0" w:line="107" w:lineRule="exact"/>
        <w:rPr>
          <w:sz w:val="20"/>
          <w:szCs w:val="20"/>
          <w:color w:val="auto"/>
        </w:rPr>
      </w:pPr>
    </w:p>
    <w:p>
      <w:pPr>
        <w:ind w:left="3320"/>
        <w:spacing w:after="0"/>
        <w:rPr>
          <w:sz w:val="20"/>
          <w:szCs w:val="20"/>
          <w:color w:val="auto"/>
        </w:rPr>
      </w:pPr>
      <w:r>
        <w:rPr>
          <w:rFonts w:ascii="Calibri" w:cs="Calibri" w:eastAsia="Calibri" w:hAnsi="Calibri"/>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www.mistercarwash.com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779780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26" w:name="page127"/>
    <w:bookmarkEnd w:id="126"/>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73654"/>
        </w:rPr>
        <w:t>Exhibit 19.1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173654"/>
        </w:rPr>
        <w:t>INSIDER TRADING COMPLIANCE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PURPOSE</w:t>
      </w:r>
    </w:p>
    <w:p>
      <w:pPr>
        <w:spacing w:after="0" w:line="14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This Insider Trading Policy describes the standards of Mister Car Wash, Inc. and its subsidiaries (the "Company") on trading, and causing the trading of, the Company's securities or securities of certain other publicly traded companies while in possession of confidential information.</w:t>
      </w:r>
    </w:p>
    <w:p>
      <w:pPr>
        <w:spacing w:after="0" w:line="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One of the principal purposes of the federal securities laws is to prohibit so-called "insider trading." Simply stated, insider trading occurs when a person uses material nonpublic information (“MNPI”) obtained through involvement with the Company to make decisions to purchase, sell, donate, or otherwise trade the Company's securities, or the securities of certain other companies, to engage in “Shadow Trading” as that term is defined below,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in the “Definitions” section below.</w:t>
      </w:r>
    </w:p>
    <w:p>
      <w:pPr>
        <w:spacing w:after="0" w:line="1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Anyone who has knowledge of material nonpublic information may be considered an “Insider” for purposes of the federal securities laws prohibiting insider trading. As a result, it is a violation of the policy of the Company and the federal securities laws for any officer, director, or employee of the Company to (a) trade in securities of the Company while aware of “material nonpublic information” concerning the Company or (b) communicate, “tip” or disclose material nonpublic information to outsiders so that they may trade in securities of the Company based on that information. To prevent even the appearance of improper insider trading or tipping, the Company has adopted this Insider Trading Policy (“Policy”) for its directors, officers and employees and their family members, as well as certain agents such as consultants and independent contractors, who have access to information through business relationships with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SCOPE</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prohibitions contained in this policy apply to any director, officer, employee, or respective family members residing in the same home, and any individuals designated by the Compliance Officer who buys or sells securities based on material nonpublic information that he or she obtained about the Company, its customers, suppliers, partners, competitors, or other companies with which the Company has contractual relationships or may be negotiating transactions. With many of our employees working from home, there is an increased risk of family members or other individuals inadvertently overhearing sensitive information and the utmost caution should be used to maintain the confidentiality of Company information.</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insider status will be based on how the person acquired the material nonpublic information, and is based on having a duty, either to the company and its stockholders, or to the source of the information. (Please refer to Exchange Act Rule 10b5-1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1141095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OVERVIEW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is divided into two parts:</w:t>
      </w:r>
    </w:p>
    <w:p>
      <w:pPr>
        <w:spacing w:after="0" w:line="14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 I </w:t>
      </w:r>
      <w:r>
        <w:rPr>
          <w:rFonts w:ascii="Times New Roman" w:cs="Times New Roman" w:eastAsia="Times New Roman" w:hAnsi="Times New Roman"/>
          <w:sz w:val="20"/>
          <w:szCs w:val="20"/>
          <w:color w:val="auto"/>
        </w:rPr>
        <w:t>prohibits trading in certain circumstances and applies to all directors, officers and employees and their respective immediate family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members including those residing in the same home, and agents (such as consultants and independent contractors of the Company).</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Part II </w:t>
      </w:r>
      <w:r>
        <w:rPr>
          <w:rFonts w:ascii="Times New Roman" w:cs="Times New Roman" w:eastAsia="Times New Roman" w:hAnsi="Times New Roman"/>
          <w:sz w:val="20"/>
          <w:szCs w:val="20"/>
          <w:color w:val="auto"/>
        </w:rPr>
        <w:t>imposes special additional trading restrictions (and reporting requirements for some) and applies to all directors of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executive officers of the company at the level of VP and above, and certain other employees that may be designated by the Company from time to time because of their position, responsibilities or their actual or potential access to material information, all of which are listed on Schedule A (collectively “Covered Persons”).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DEFINITIONS</w:t>
      </w:r>
    </w:p>
    <w:p>
      <w:pPr>
        <w:spacing w:after="0" w:line="139" w:lineRule="exact"/>
        <w:rPr>
          <w:sz w:val="20"/>
          <w:szCs w:val="20"/>
          <w:color w:val="auto"/>
        </w:rPr>
      </w:pPr>
    </w:p>
    <w:p>
      <w:pPr>
        <w:jc w:val="both"/>
        <w:ind w:firstLine="8"/>
        <w:spacing w:after="0" w:line="250" w:lineRule="auto"/>
        <w:tabs>
          <w:tab w:leader="none" w:pos="28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Material</w:t>
      </w:r>
      <w:r>
        <w:rPr>
          <w:rFonts w:ascii="Times New Roman" w:cs="Times New Roman" w:eastAsia="Times New Roman" w:hAnsi="Times New Roman"/>
          <w:sz w:val="20"/>
          <w:szCs w:val="20"/>
          <w:color w:val="auto"/>
        </w:rPr>
        <w:t>. Insider trading restrictions come into play only if the information you possess is "material." Materiality, however, involves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relatively low threshold. Information is generally regarded as "material" if it has market significance, that is, if its public dissemination is likely to affect the market price of securities, or if it is otherwise information that a reasonable investor would want to know before making an investment decision.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dealing with the following subjects is reasonably likely to be found material in particular situations:</w:t>
      </w:r>
    </w:p>
    <w:p>
      <w:pPr>
        <w:spacing w:after="0" w:line="148" w:lineRule="exact"/>
        <w:rPr>
          <w:sz w:val="20"/>
          <w:szCs w:val="20"/>
          <w:color w:val="auto"/>
        </w:rPr>
      </w:pPr>
    </w:p>
    <w:p>
      <w:pPr>
        <w:ind w:left="1140" w:right="6560" w:hanging="758"/>
        <w:spacing w:after="0" w:line="407" w:lineRule="auto"/>
        <w:tabs>
          <w:tab w:leader="none" w:pos="765"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Unreleased earnings reports and financial metrics o Annual and quarterly earnings reports</w:t>
      </w:r>
    </w:p>
    <w:p>
      <w:pPr>
        <w:spacing w:after="0" w:line="1" w:lineRule="exact"/>
        <w:rPr>
          <w:rFonts w:ascii="Times New Roman" w:cs="Times New Roman" w:eastAsia="Times New Roman" w:hAnsi="Times New Roman"/>
          <w:sz w:val="19"/>
          <w:szCs w:val="19"/>
          <w:color w:val="auto"/>
        </w:rPr>
      </w:pPr>
    </w:p>
    <w:p>
      <w:pPr>
        <w:ind w:left="1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   Internal projections of profits and revenues</w:t>
      </w:r>
    </w:p>
    <w:p>
      <w:pPr>
        <w:spacing w:after="0" w:line="148" w:lineRule="exact"/>
        <w:rPr>
          <w:rFonts w:ascii="Times New Roman" w:cs="Times New Roman" w:eastAsia="Times New Roman" w:hAnsi="Times New Roman"/>
          <w:sz w:val="19"/>
          <w:szCs w:val="19"/>
          <w:color w:val="auto"/>
        </w:rPr>
      </w:pPr>
    </w:p>
    <w:p>
      <w:pPr>
        <w:ind w:left="1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   Key performance indicators (e.g., gain-on-sale margin, refinancing volume)</w:t>
      </w:r>
    </w:p>
    <w:p>
      <w:pPr>
        <w:spacing w:after="0" w:line="134"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Mergers, acquisitions, or other significant business deals</w:t>
      </w:r>
    </w:p>
    <w:p>
      <w:pPr>
        <w:spacing w:after="0" w:line="148" w:lineRule="exact"/>
        <w:rPr>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about potential or pending mergers, acquisitions, or divestitures</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planned PIPE (Private Investment in Public Equity) offerings</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products or services that could significantly impact the company's financial future</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new products or services that have not been publicly disclosed</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the potential impact of new products or services on the company's financial performance</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approvals or legal issues</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of regulatory approvals for new products or services</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Nonpublic information about significant legal or regulatory issues facing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340" w:lineRule="exact"/>
        <w:rPr>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Upcoming litigation or investigation outcomes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leadership or key management positions</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imminent executive or key managerial changes that have not been publicly announced</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financial conditions or liquidity problems</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capital structure, such as debt restructurings, that haven't been disclosed publicly</w:t>
      </w:r>
    </w:p>
    <w:p>
      <w:pPr>
        <w:spacing w:after="0" w:line="13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the company's financial condition or liquidity that has not been made public</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performance metrics</w:t>
      </w:r>
    </w:p>
    <w:p>
      <w:pPr>
        <w:spacing w:after="0" w:line="13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total revenue</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Sector/Divisional revenue</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Sector/Divisional upgrade rates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spacing w:after="0" w:line="104" w:lineRule="exact"/>
        <w:rPr>
          <w:sz w:val="20"/>
          <w:szCs w:val="20"/>
          <w:color w:val="auto"/>
        </w:rPr>
      </w:pPr>
    </w:p>
    <w:p>
      <w:pPr>
        <w:jc w:val="both"/>
        <w:ind w:firstLine="8"/>
        <w:spacing w:after="0" w:line="247" w:lineRule="auto"/>
        <w:tabs>
          <w:tab w:leader="none" w:pos="2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Nonpublic. </w:t>
      </w:r>
      <w:r>
        <w:rPr>
          <w:rFonts w:ascii="Times New Roman" w:cs="Times New Roman" w:eastAsia="Times New Roman" w:hAnsi="Times New Roman"/>
          <w:sz w:val="20"/>
          <w:szCs w:val="20"/>
          <w:color w:val="auto"/>
        </w:rPr>
        <w:t>Insider trading prohibitions come into play only when you possess information that is material and "nonpublic." The fact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start of business on the second trading day after the information was publicly disclosed before you can treat the information as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Nonpublic information may include:</w:t>
      </w:r>
    </w:p>
    <w:p>
      <w:pPr>
        <w:spacing w:after="0" w:line="148"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information available to a select group of analysts or brokers or institutional investors;</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 undisclosed facts that are the subject of rumors, even if the rumors are widely circulated;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340" w:lineRule="exact"/>
        <w:rPr>
          <w:sz w:val="20"/>
          <w:szCs w:val="20"/>
          <w:color w:val="auto"/>
        </w:rPr>
      </w:pPr>
    </w:p>
    <w:p>
      <w:pPr>
        <w:jc w:val="both"/>
        <w:ind w:left="760" w:hanging="378"/>
        <w:spacing w:after="0" w:line="254" w:lineRule="auto"/>
        <w:tabs>
          <w:tab w:leader="none" w:pos="7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(iii) 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Compliance Officer. </w:t>
      </w:r>
      <w:r>
        <w:rPr>
          <w:rFonts w:ascii="Times New Roman" w:cs="Times New Roman" w:eastAsia="Times New Roman" w:hAnsi="Times New Roman"/>
          <w:sz w:val="20"/>
          <w:szCs w:val="20"/>
          <w:color w:val="auto"/>
        </w:rPr>
        <w:t>The Company has appointed the General Counsel (or his or her designee) as the Compliance Officer for this Policy.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duties of the Compliance Officer include, but are not limited to, the following:</w:t>
      </w:r>
    </w:p>
    <w:p>
      <w:pPr>
        <w:ind w:left="1000" w:hanging="243"/>
        <w:spacing w:after="0"/>
        <w:tabs>
          <w:tab w:leader="none" w:pos="10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with implementation and enforcement of this Policy;</w:t>
      </w:r>
    </w:p>
    <w:p>
      <w:pPr>
        <w:spacing w:after="0" w:line="112" w:lineRule="exact"/>
        <w:rPr>
          <w:rFonts w:ascii="Times New Roman" w:cs="Times New Roman" w:eastAsia="Times New Roman" w:hAnsi="Times New Roman"/>
          <w:sz w:val="20"/>
          <w:szCs w:val="20"/>
          <w:color w:val="auto"/>
        </w:rPr>
      </w:pPr>
    </w:p>
    <w:p>
      <w:pPr>
        <w:ind w:left="760" w:right="20" w:hanging="3"/>
        <w:spacing w:after="0" w:line="269" w:lineRule="auto"/>
        <w:tabs>
          <w:tab w:leader="none" w:pos="105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to all employees and ensuring that this Policy is amended as necessary to remain up-to-date with insider trading laws;</w:t>
      </w:r>
    </w:p>
    <w:p>
      <w:pPr>
        <w:spacing w:after="0" w:line="91" w:lineRule="exact"/>
        <w:rPr>
          <w:rFonts w:ascii="Times New Roman" w:cs="Times New Roman" w:eastAsia="Times New Roman" w:hAnsi="Times New Roman"/>
          <w:sz w:val="20"/>
          <w:szCs w:val="20"/>
          <w:color w:val="auto"/>
        </w:rPr>
      </w:pPr>
    </w:p>
    <w:p>
      <w:pPr>
        <w:ind w:left="760" w:hanging="3"/>
        <w:spacing w:after="0" w:line="269" w:lineRule="auto"/>
        <w:tabs>
          <w:tab w:leader="none" w:pos="111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all trading in securities of the Company by Covered Persons in accordance with the procedures set forth in Part II, Section 3 below; and</w:t>
      </w:r>
    </w:p>
    <w:p>
      <w:pPr>
        <w:spacing w:after="0" w:line="91" w:lineRule="exact"/>
        <w:rPr>
          <w:rFonts w:ascii="Times New Roman" w:cs="Times New Roman" w:eastAsia="Times New Roman" w:hAnsi="Times New Roman"/>
          <w:sz w:val="20"/>
          <w:szCs w:val="20"/>
          <w:color w:val="auto"/>
        </w:rPr>
      </w:pPr>
    </w:p>
    <w:p>
      <w:pPr>
        <w:ind w:left="760" w:hanging="3"/>
        <w:spacing w:after="0" w:line="269" w:lineRule="auto"/>
        <w:tabs>
          <w:tab w:leader="none" w:pos="111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approval of any Rule 10b5-1 plans under Part II, Section 1(c) below and any prohibited transactions under Part II, Section 4 below.</w:t>
      </w:r>
    </w:p>
    <w:p>
      <w:pPr>
        <w:spacing w:after="0" w:line="74" w:lineRule="exact"/>
        <w:rPr>
          <w:rFonts w:ascii="Times New Roman" w:cs="Times New Roman" w:eastAsia="Times New Roman" w:hAnsi="Times New Roman"/>
          <w:sz w:val="20"/>
          <w:szCs w:val="20"/>
          <w:color w:val="auto"/>
        </w:rPr>
      </w:pPr>
    </w:p>
    <w:p>
      <w:pPr>
        <w:ind w:left="760" w:right="20" w:hanging="3"/>
        <w:spacing w:after="0" w:line="273" w:lineRule="auto"/>
        <w:tabs>
          <w:tab w:leader="none" w:pos="112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providing a reporting system with an effective whistleblower protection mechanism (see </w:t>
      </w:r>
      <w:r>
        <w:rPr>
          <w:rFonts w:ascii="Times New Roman" w:cs="Times New Roman" w:eastAsia="Times New Roman" w:hAnsi="Times New Roman"/>
          <w:sz w:val="20"/>
          <w:szCs w:val="20"/>
          <w:i w:val="1"/>
          <w:iCs w:val="1"/>
          <w:color w:val="auto"/>
        </w:rPr>
        <w:t>Speaking Up Procedure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[GRC.1102.1]</w:t>
      </w:r>
      <w:r>
        <w:rPr>
          <w:rFonts w:ascii="Times New Roman" w:cs="Times New Roman" w:eastAsia="Times New Roman" w:hAnsi="Times New Roman"/>
          <w:sz w:val="20"/>
          <w:szCs w:val="20"/>
          <w:color w:val="auto"/>
        </w:rPr>
        <w:t>).</w:t>
      </w:r>
    </w:p>
    <w:p>
      <w:pPr>
        <w:spacing w:after="0" w:line="84" w:lineRule="exact"/>
        <w:rPr>
          <w:rFonts w:ascii="Times New Roman" w:cs="Times New Roman" w:eastAsia="Times New Roman" w:hAnsi="Times New Roman"/>
          <w:sz w:val="20"/>
          <w:szCs w:val="20"/>
          <w:color w:val="auto"/>
        </w:rPr>
      </w:pPr>
    </w:p>
    <w:p>
      <w:pPr>
        <w:jc w:val="both"/>
        <w:ind w:firstLine="8"/>
        <w:spacing w:after="0" w:line="264" w:lineRule="auto"/>
        <w:tabs>
          <w:tab w:leader="none" w:pos="2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Shadow Trading</w:t>
      </w:r>
      <w:r>
        <w:rPr>
          <w:rFonts w:ascii="Times New Roman" w:cs="Times New Roman" w:eastAsia="Times New Roman" w:hAnsi="Times New Roman"/>
          <w:sz w:val="19"/>
          <w:szCs w:val="19"/>
          <w:color w:val="auto"/>
        </w:rPr>
        <w:t>. “Shadow Trading” entails making trade decisions involving a company based on your knowledge of MNPI of another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closely correlated or economically linked company. Economically linked companies typically include direct competitors in the same business and of relatively the same size as Mister. However, economically linked companies might include companies in different industries that rely on a company for their success or even indirect competitors that are affected by the same market forces as Mister. If in doubt as to whether a transaction may be considered Shadow Trading, the Compliance Officer must be consulted prior to any action being taken.</w:t>
      </w:r>
    </w:p>
    <w:p>
      <w:pPr>
        <w:spacing w:after="0" w:line="80" w:lineRule="exact"/>
        <w:rPr>
          <w:rFonts w:ascii="Times New Roman" w:cs="Times New Roman" w:eastAsia="Times New Roman" w:hAnsi="Times New Roman"/>
          <w:sz w:val="19"/>
          <w:szCs w:val="19"/>
          <w:color w:val="auto"/>
        </w:rPr>
      </w:pPr>
    </w:p>
    <w:p>
      <w:pPr>
        <w:jc w:val="both"/>
        <w:ind w:firstLine="8"/>
        <w:spacing w:after="0" w:line="256" w:lineRule="auto"/>
        <w:tabs>
          <w:tab w:leader="none" w:pos="26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Covered Person</w:t>
      </w:r>
      <w:r>
        <w:rPr>
          <w:rFonts w:ascii="Times New Roman" w:cs="Times New Roman" w:eastAsia="Times New Roman" w:hAnsi="Times New Roman"/>
          <w:sz w:val="20"/>
          <w:szCs w:val="20"/>
          <w:color w:val="auto"/>
        </w:rPr>
        <w:t>. “Covered Person” means directors of the company, executive officers of the company at the level of VP and above,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other employees that may be designated by the Company from time to time because of their position, responsibilities or their actual or potential access to material information. Schedule A includes the list of current Covered Persons.</w:t>
      </w:r>
    </w:p>
    <w:p>
      <w:pPr>
        <w:spacing w:after="0" w:line="101" w:lineRule="exact"/>
        <w:rPr>
          <w:rFonts w:ascii="Times New Roman" w:cs="Times New Roman" w:eastAsia="Times New Roman" w:hAnsi="Times New Roman"/>
          <w:sz w:val="20"/>
          <w:szCs w:val="20"/>
          <w:color w:val="auto"/>
        </w:rPr>
      </w:pPr>
    </w:p>
    <w:p>
      <w:pPr>
        <w:jc w:val="both"/>
        <w:ind w:firstLine="8"/>
        <w:spacing w:after="0" w:line="250" w:lineRule="auto"/>
        <w:tabs>
          <w:tab w:leader="none" w:pos="26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Section 16 Officer</w:t>
      </w:r>
      <w:r>
        <w:rPr>
          <w:rFonts w:ascii="Times New Roman" w:cs="Times New Roman" w:eastAsia="Times New Roman" w:hAnsi="Times New Roman"/>
          <w:sz w:val="20"/>
          <w:szCs w:val="20"/>
          <w:color w:val="auto"/>
        </w:rPr>
        <w:t>. Certain directors, executive officers, and any beneficial owners of more than 10 percent of a class of the issuer’s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securities who are required to file ownership reports with the SEC and are subject to liability for short-swing trading. Schedule A includes the list of current Section 16 Officers. These additional reporting and trading requirements are set forth in the </w:t>
      </w:r>
      <w:r>
        <w:rPr>
          <w:rFonts w:ascii="Times New Roman" w:cs="Times New Roman" w:eastAsia="Times New Roman" w:hAnsi="Times New Roman"/>
          <w:sz w:val="20"/>
          <w:szCs w:val="20"/>
          <w:i w:val="1"/>
          <w:iCs w:val="1"/>
          <w:color w:val="auto"/>
        </w:rPr>
        <w:t>Section 16 Compliance Policy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[GRC.1107-MCW-POL] </w:t>
      </w:r>
      <w:r>
        <w:rPr>
          <w:rFonts w:ascii="Times New Roman" w:cs="Times New Roman" w:eastAsia="Times New Roman" w:hAnsi="Times New Roman"/>
          <w:sz w:val="20"/>
          <w:szCs w:val="20"/>
          <w:color w:val="auto"/>
        </w:rPr>
        <w:t>and are incorporated herein by reference.</w:t>
      </w:r>
    </w:p>
    <w:p>
      <w:pPr>
        <w:spacing w:after="0" w:line="108"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Pre-Clearance Person. </w:t>
      </w:r>
      <w:r>
        <w:rPr>
          <w:rFonts w:ascii="Times New Roman" w:cs="Times New Roman" w:eastAsia="Times New Roman" w:hAnsi="Times New Roman"/>
          <w:sz w:val="20"/>
          <w:szCs w:val="20"/>
          <w:color w:val="auto"/>
        </w:rPr>
        <w:t>“Pre-Clearance Person” includes any director, executive officer, and employee at the level of VP and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1161415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173654"/>
        </w:rPr>
        <w:t>PART I</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A4645"/>
        </w:rPr>
        <w:t>Applicability</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Policy applies to all employees and officers of the Company and to all members of the Company's board of directors and their respective family members including those residing in the same home. This Policy also applies to all agents such as consultants and independent contractors of the Company.</w:t>
      </w:r>
    </w:p>
    <w:p>
      <w:pPr>
        <w:spacing w:after="0" w:line="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Employees, officers, and directors are expected to comply with the Policy until such time as they are no longer affiliated with the Company and no longer possess any material nonpublic information subject to the Policy. In addition, for Covered Persons subject to a trading blackout period at the time the affiliation with the Company terminates, the Covered Person is expected to abide by the applicable trading restrictions until at least the end of the relevant blackout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A4645"/>
        </w:rPr>
        <w:t>General Policy: No Trading or Causing Trading While in Possession of Material Nonpublic Information (“MNPI”)</w:t>
      </w:r>
    </w:p>
    <w:p>
      <w:pPr>
        <w:spacing w:after="0" w:line="107" w:lineRule="exact"/>
        <w:rPr>
          <w:sz w:val="20"/>
          <w:szCs w:val="20"/>
          <w:color w:val="auto"/>
        </w:rPr>
      </w:pPr>
    </w:p>
    <w:p>
      <w:pPr>
        <w:jc w:val="both"/>
        <w:ind w:left="760" w:hanging="378"/>
        <w:spacing w:after="0" w:line="249" w:lineRule="auto"/>
        <w:tabs>
          <w:tab w:leader="none" w:pos="7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or any of their immediate family members or agents such as consultants and independent contractors may purchase or sell, or offer to purchase or sell, any Company security, whether or not issued by the Company, while in possession of material nonpublic information about the Company. (The terms "material" and "nonpublic" are defined in Part I, Section 3(a) and (b) below.)</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42" w:lineRule="auto"/>
        <w:tabs>
          <w:tab w:leader="none" w:pos="84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director, officer, or employee or any of their immediate family members or agent who knows of any material nonpublic information about the Company may communicate that information, whether intentionally or inadvertently, to ("tip") any other person, including family members and friends, or otherwise disclose such information without the Company’s authorization. Special consideration and care should be given in situations when directors, officers or employees are working remotely or in environments around persons that possess the same MNPI. In those environments, there is an increased risk of family members or others inadvertently overhearing sensitive information and while it may not be considered a direct “tip”, that information is nonetheless gained without the Company’s authorization and should be treated as confidential and is not to be acted upon or further communicated (“tipped”) to anyone else. To the extent possible, when working from home or any other non-secure working environment, telephones, headphones, or other headsets should be used. Additionally, all work devices should be secured in compliance with our </w:t>
      </w:r>
      <w:r>
        <w:rPr>
          <w:rFonts w:ascii="Times New Roman" w:cs="Times New Roman" w:eastAsia="Times New Roman" w:hAnsi="Times New Roman"/>
          <w:sz w:val="20"/>
          <w:szCs w:val="20"/>
          <w:i w:val="1"/>
          <w:iCs w:val="1"/>
          <w:color w:val="auto"/>
        </w:rPr>
        <w:t>IT Acceptable Use Policy [IT-4000]</w:t>
      </w:r>
      <w:r>
        <w:rPr>
          <w:rFonts w:ascii="Times New Roman" w:cs="Times New Roman" w:eastAsia="Times New Roman" w:hAnsi="Times New Roman"/>
          <w:sz w:val="20"/>
          <w:szCs w:val="20"/>
          <w:color w:val="auto"/>
        </w:rPr>
        <w:t>. Finally, those subject to this Policy must ensure that work is conducted in a location designed to minimize the possibility that work-related conversations can be overheard.</w:t>
      </w:r>
    </w:p>
    <w:p>
      <w:pPr>
        <w:spacing w:after="0" w:line="8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or any of their immediate family members or agent, may purchase or sell any security of any other publicly traded company while in possession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material nonpublic information that was obtained during his or her involvement with the Company. No director, officer, or employee or any of their immediate family members, or agent who knows of any such material nonpublic information may communicate that information to, or tip, any other person, including family members and friends, or otherwise disclose such information without the Company's authorization.</w:t>
      </w:r>
    </w:p>
    <w:p>
      <w:pPr>
        <w:spacing w:after="0" w:line="72" w:lineRule="exact"/>
        <w:rPr>
          <w:sz w:val="20"/>
          <w:szCs w:val="20"/>
          <w:color w:val="auto"/>
        </w:rPr>
      </w:pPr>
    </w:p>
    <w:p>
      <w:pPr>
        <w:jc w:val="both"/>
        <w:ind w:left="760" w:hanging="378"/>
        <w:spacing w:after="0" w:line="254" w:lineRule="auto"/>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66"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Pre-Clearance Persons must "pre-clear" all trading in securities of the Company in accordance with the procedures set forth in Part II, Section 3 below.</w:t>
      </w:r>
    </w:p>
    <w:p>
      <w:pPr>
        <w:spacing w:after="0" w:line="5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Policy includes the unauthorized disclosure or other misuse of any nonpublic information of </w:t>
      </w:r>
      <w:r>
        <w:rPr>
          <w:rFonts w:ascii="Times New Roman" w:cs="Times New Roman" w:eastAsia="Times New Roman" w:hAnsi="Times New Roman"/>
          <w:sz w:val="20"/>
          <w:szCs w:val="20"/>
          <w:u w:val="single" w:color="auto"/>
          <w:color w:val="auto"/>
        </w:rPr>
        <w:t>other companies</w:t>
      </w:r>
      <w:r>
        <w:rPr>
          <w:rFonts w:ascii="Times New Roman" w:cs="Times New Roman" w:eastAsia="Times New Roman" w:hAnsi="Times New Roman"/>
          <w:sz w:val="20"/>
          <w:szCs w:val="20"/>
          <w:color w:val="auto"/>
        </w:rPr>
        <w:t xml:space="preserve">, such as the Company's distributors, vendors, customers, collaborators, suppliers, and competitors. The Policy also prohibits insider trading and tipping based on the material nonpublic information of </w:t>
      </w:r>
      <w:r>
        <w:rPr>
          <w:rFonts w:ascii="Times New Roman" w:cs="Times New Roman" w:eastAsia="Times New Roman" w:hAnsi="Times New Roman"/>
          <w:sz w:val="20"/>
          <w:szCs w:val="20"/>
          <w:u w:val="single" w:color="auto"/>
          <w:color w:val="auto"/>
        </w:rPr>
        <w:t>other companies</w:t>
      </w:r>
      <w:r>
        <w:rPr>
          <w:rFonts w:ascii="Times New Roman" w:cs="Times New Roman" w:eastAsia="Times New Roman" w:hAnsi="Times New Roman"/>
          <w:sz w:val="20"/>
          <w:szCs w:val="20"/>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A4645"/>
        </w:rPr>
        <w:t>Prohibited Transactions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Directors, officers, or employees, or any of their immediate family members including any person's spouse, other persons living in such person's household and minor children and entities over which such person exercises control, or agents such as consultants and independent contractors are prohibited from engaging in the following transactions in the Company's securities:</w:t>
      </w:r>
    </w:p>
    <w:p>
      <w:pPr>
        <w:spacing w:after="0" w:line="66" w:lineRule="exact"/>
        <w:rPr>
          <w:sz w:val="20"/>
          <w:szCs w:val="20"/>
          <w:color w:val="auto"/>
        </w:rPr>
      </w:pPr>
    </w:p>
    <w:p>
      <w:pPr>
        <w:ind w:left="760" w:hanging="378"/>
        <w:spacing w:after="0" w:line="26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Short-term trading. Section 16 Officers who purchase Company securities may not sell any Company securities of the same class for at least six months after the purchase;</w:t>
      </w:r>
    </w:p>
    <w:p>
      <w:pPr>
        <w:spacing w:after="0" w:line="5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No officer, director, employee or agent may sell the Company's securities short (i.e., sell a security that must be borrowed to make delivery) or short against the box (i.e. sell a security with a delayed delivery);</w:t>
      </w:r>
    </w:p>
    <w:p>
      <w:pPr>
        <w:spacing w:after="0" w:line="5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Options trading. No officer, director, employee, or agent may buy or sell puts or calls or other derivative securities on the Company's securities;</w:t>
      </w:r>
    </w:p>
    <w:p>
      <w:pPr>
        <w:spacing w:after="0" w:line="51"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on margin or pledging. No officer, director, employee, or agent may hold Company securities in a margin account or pledge Company securities as collateral for a loan; or</w:t>
      </w:r>
    </w:p>
    <w:p>
      <w:pPr>
        <w:spacing w:after="0" w:line="5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No officer, director, employee, or agent may enter into hedging or monetization transactions or similar arrangements with respect to Company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PENALTIES FOR VIOLATIONS OF INSIDER TRADING LAWS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consequences of prohibited trading or tipping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03" w:lineRule="exact"/>
        <w:rPr>
          <w:sz w:val="20"/>
          <w:szCs w:val="20"/>
          <w:color w:val="auto"/>
        </w:rPr>
      </w:pPr>
    </w:p>
    <w:p>
      <w:pPr>
        <w:jc w:val="both"/>
        <w:ind w:firstLine="8"/>
        <w:spacing w:after="0" w:line="256" w:lineRule="auto"/>
        <w:tabs>
          <w:tab w:leader="none" w:pos="294" w:val="left"/>
        </w:tabs>
        <w:numPr>
          <w:ilvl w:val="0"/>
          <w:numId w:val="8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Legal Penalties</w:t>
      </w:r>
      <w:r>
        <w:rPr>
          <w:rFonts w:ascii="Times New Roman" w:cs="Times New Roman" w:eastAsia="Times New Roman" w:hAnsi="Times New Roman"/>
          <w:sz w:val="20"/>
          <w:szCs w:val="20"/>
          <w:color w:val="auto"/>
        </w:rPr>
        <w:t>. A person who violates insider trading laws by engaging in transactions in a company's securities when he or she has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nonpublic information can be sentenced to a substantial jail term and required to pay a criminal penalty of several times the amount of profits gained, or losses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3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or three times the amount of the profits gained, or losses avoided. Even for violations that result in a small or no profit, the SEC can seek penalties from a company and/or its management and supervisory personnel as control persons.</w:t>
      </w:r>
    </w:p>
    <w:p>
      <w:pPr>
        <w:spacing w:after="0" w:line="113" w:lineRule="exact"/>
        <w:rPr>
          <w:sz w:val="20"/>
          <w:szCs w:val="20"/>
          <w:color w:val="auto"/>
        </w:rPr>
      </w:pPr>
    </w:p>
    <w:p>
      <w:pPr>
        <w:jc w:val="both"/>
        <w:ind w:firstLine="8"/>
        <w:spacing w:after="0" w:line="256" w:lineRule="auto"/>
        <w:tabs>
          <w:tab w:leader="none" w:pos="314" w:val="left"/>
        </w:tabs>
        <w:numPr>
          <w:ilvl w:val="0"/>
          <w:numId w:val="9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Company-Imposed Penalties</w:t>
      </w:r>
      <w:r>
        <w:rPr>
          <w:rFonts w:ascii="Times New Roman" w:cs="Times New Roman" w:eastAsia="Times New Roman" w:hAnsi="Times New Roman"/>
          <w:sz w:val="20"/>
          <w:szCs w:val="20"/>
          <w:color w:val="auto"/>
        </w:rPr>
        <w:t>. Employees who violate this Policy may be subject to disciplinary action by the Company,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dismissal for cause. Any exceptions to the Policy, if permitted, may only be granted by the Compliance Officer, and must be provided before any activity contrary to the above requirements takes place.</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Any employee, officer or director who believes an actual or possible violation has occurred, should report those concerns immediately. See </w:t>
      </w:r>
      <w:r>
        <w:rPr>
          <w:rFonts w:ascii="Times New Roman" w:cs="Times New Roman" w:eastAsia="Times New Roman" w:hAnsi="Times New Roman"/>
          <w:sz w:val="20"/>
          <w:szCs w:val="20"/>
          <w:i w:val="1"/>
          <w:iCs w:val="1"/>
          <w:color w:val="auto"/>
        </w:rPr>
        <w:t xml:space="preserve">Speaking Up Procedure </w:t>
      </w:r>
      <w:r>
        <w:rPr>
          <w:rFonts w:ascii="Times New Roman" w:cs="Times New Roman" w:eastAsia="Times New Roman" w:hAnsi="Times New Roman"/>
          <w:sz w:val="20"/>
          <w:szCs w:val="20"/>
          <w:color w:val="auto"/>
        </w:rPr>
        <w:t>[GRC.1102.1-MCW-PRC]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EXCEPTIONS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trading restrictions of this Policy do not apply to the following:</w:t>
      </w:r>
    </w:p>
    <w:p>
      <w:pPr>
        <w:spacing w:after="0" w:line="135" w:lineRule="exact"/>
        <w:rPr>
          <w:sz w:val="20"/>
          <w:szCs w:val="20"/>
          <w:color w:val="auto"/>
        </w:rPr>
      </w:pPr>
    </w:p>
    <w:p>
      <w:pPr>
        <w:jc w:val="both"/>
        <w:ind w:left="760" w:right="20" w:hanging="378"/>
        <w:spacing w:after="0" w:line="254" w:lineRule="auto"/>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ESPP. Purchasing Company stock through periodic, automatic payroll contributions to the Company's Employee Stock Purchase Plan ("ESPP"). However, electing to enroll in the ESPP, making any changes in your elections under the ESPP and selling any Company stock acquired under the ESPP are subject to trading restrictions under this Policy.</w:t>
      </w:r>
    </w:p>
    <w:p>
      <w:pPr>
        <w:spacing w:after="0" w:line="66"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Sell-to-Cover. Automatic sales of shares resulting from vesting of Restricted Stock Units (“RSUs”), known as “Sell-to-Cover”. However, the sale of any remaining shares are subject to trading restrictions under this Policy.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3654"/>
        </w:rPr>
        <w:t>ACKNOWLEDGEMENT AND CERTIFICATION</w:t>
      </w:r>
    </w:p>
    <w:p>
      <w:pPr>
        <w:spacing w:after="0" w:line="143"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All officers, directors, employees, and agents are required to sign an initial acknowledgment upon hire and an annual certification of compliance thereafter.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173654"/>
        </w:rPr>
        <w:t>PART II</w:t>
      </w:r>
    </w:p>
    <w:p>
      <w:pPr>
        <w:spacing w:after="0" w:line="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Matters in this Section relate to Section 16 Persons and others designated by the Compliance Officer (collectively “Covered Persons”). The following contain additional restrictions and responsibilities are due to the individuals’ positions within the organization and access to MNPI.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 Blackout Periods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Covered Persons are prohibited from trading in the Company's securities during blackout periods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340" w:lineRule="exact"/>
        <w:rPr>
          <w:sz w:val="20"/>
          <w:szCs w:val="20"/>
          <w:color w:val="auto"/>
        </w:rPr>
      </w:pPr>
    </w:p>
    <w:p>
      <w:pPr>
        <w:jc w:val="both"/>
        <w:ind w:left="1140" w:hanging="383"/>
        <w:spacing w:after="0" w:line="244" w:lineRule="auto"/>
        <w:tabs>
          <w:tab w:leader="none" w:pos="11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Blackout Periods. Trading in the Company's securities is prohibited during the period beginning at the close of the market fourteen days before the end of each fiscal quarter and ending at the start of business on the second trading day following the date the Company's financial results are publicly disclosed and Form 10-Q or Form 10-K is filed. During these periods, Covered Persons generally possess or are presumed to possess material nonpublic information about the Company's financial results.</w:t>
      </w:r>
    </w:p>
    <w:p>
      <w:pPr>
        <w:jc w:val="both"/>
        <w:ind w:left="1140" w:hanging="383"/>
        <w:spacing w:after="0" w:line="239" w:lineRule="auto"/>
        <w:tabs>
          <w:tab w:leader="none" w:pos="11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Blackout Periods. From time to time, other types of material nonpublic information regarding the Company (such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 w:lineRule="exact"/>
        <w:rPr>
          <w:rFonts w:ascii="Times New Roman" w:cs="Times New Roman" w:eastAsia="Times New Roman" w:hAnsi="Times New Roman"/>
          <w:sz w:val="20"/>
          <w:szCs w:val="20"/>
          <w:color w:val="auto"/>
        </w:rPr>
      </w:pPr>
    </w:p>
    <w:p>
      <w:pPr>
        <w:jc w:val="both"/>
        <w:ind w:left="1140" w:hanging="383"/>
        <w:spacing w:after="0" w:line="242" w:lineRule="auto"/>
        <w:tabs>
          <w:tab w:leader="none" w:pos="11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Exception. These trading restrictions do not apply to transactions under a pre-existing written plan, contract, instruction, or arrangement under Rule 10b5-1 under the Securities Exchange Act of 1934 (an "Approved 10b5-1 Plan") that meet the requirements set forth below in section 4. Approved Rule 10b5-1 Trading Plans.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 Trading Window</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Covered Persons are permitted to trade in the Company's securities when no blackout period is in effect. Generally, this means that Covered Persons can trade during the period beginning on the second trading day following the date the Company’s financial results are publicly disclosed and Form 10-Q or Form 10-K is filed and ending on the 14th day preceding the end of the fiscal calendar quarter.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3. Pre-Clearance of Securities Transactions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Because certain Covered Persons designated as Pre-Clearance Persons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spacing w:after="0" w:line="79" w:lineRule="exact"/>
        <w:rPr>
          <w:sz w:val="20"/>
          <w:szCs w:val="20"/>
          <w:color w:val="auto"/>
        </w:rPr>
      </w:pPr>
    </w:p>
    <w:p>
      <w:pPr>
        <w:jc w:val="both"/>
        <w:ind w:left="1140" w:right="20" w:hanging="383"/>
        <w:spacing w:after="0" w:line="245" w:lineRule="auto"/>
        <w:tabs>
          <w:tab w:leader="none" w:pos="11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exemption in subsection (d) below, no Pre-Clearance Person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jc w:val="both"/>
        <w:ind w:left="1140" w:hanging="383"/>
        <w:spacing w:after="0" w:line="242" w:lineRule="auto"/>
        <w:tabs>
          <w:tab w:leader="none" w:pos="114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Compliance Officer shall record the date each request is approved or disapproved. The request should be submitted at least two (2) business days prior to the proposed transaction date. Pre-Clearance Persons must submit the completed and signed </w:t>
      </w:r>
      <w:r>
        <w:rPr>
          <w:rFonts w:ascii="Times New Roman" w:cs="Times New Roman" w:eastAsia="Times New Roman" w:hAnsi="Times New Roman"/>
          <w:sz w:val="20"/>
          <w:szCs w:val="20"/>
          <w:i w:val="1"/>
          <w:iCs w:val="1"/>
          <w:color w:val="auto"/>
        </w:rPr>
        <w:t xml:space="preserve">Pre-Clearance Trading Request Form [GRC 1105.2.1-MCW-FRM] </w:t>
      </w:r>
      <w:r>
        <w:rPr>
          <w:rFonts w:ascii="Times New Roman" w:cs="Times New Roman" w:eastAsia="Times New Roman" w:hAnsi="Times New Roman"/>
          <w:sz w:val="20"/>
          <w:szCs w:val="20"/>
          <w:color w:val="auto"/>
        </w:rPr>
        <w:t>to the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p>
    <w:p>
      <w:pPr>
        <w:spacing w:after="0" w:line="340" w:lineRule="exact"/>
        <w:rPr>
          <w:sz w:val="20"/>
          <w:szCs w:val="20"/>
          <w:color w:val="auto"/>
        </w:rPr>
      </w:pPr>
    </w:p>
    <w:p>
      <w:pPr>
        <w:ind w:left="1140"/>
        <w:spacing w:after="0" w:line="250" w:lineRule="auto"/>
        <w:rPr>
          <w:sz w:val="20"/>
          <w:szCs w:val="20"/>
          <w:color w:val="auto"/>
        </w:rPr>
      </w:pPr>
      <w:r>
        <w:rPr>
          <w:rFonts w:ascii="Times New Roman" w:cs="Times New Roman" w:eastAsia="Times New Roman" w:hAnsi="Times New Roman"/>
          <w:sz w:val="20"/>
          <w:szCs w:val="20"/>
          <w:color w:val="auto"/>
        </w:rPr>
        <w:t>Officer at generalcounsel@mistercarwash.com. If the transaction does not occur during the seven (7) day trading date range provided in the form, pre-clearance of the transaction must be re-requested.</w:t>
      </w:r>
    </w:p>
    <w:p>
      <w:pPr>
        <w:spacing w:after="0" w:line="2" w:lineRule="exact"/>
        <w:rPr>
          <w:sz w:val="20"/>
          <w:szCs w:val="20"/>
          <w:color w:val="auto"/>
        </w:rPr>
      </w:pPr>
    </w:p>
    <w:p>
      <w:pPr>
        <w:ind w:left="1140" w:hanging="383"/>
        <w:spacing w:after="0" w:line="246" w:lineRule="auto"/>
        <w:tabs>
          <w:tab w:leader="none" w:pos="11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Compliance Officer may not engage in a transaction involving the Company's securities unless the General Counsel and the Chief Financial Officer have pre-cleared the transaction.</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Pre-clearance is not required for purchases and sales of securities under an Approved 10b5-1 Plan once the applicable cooling-off period has expired. No trades may be made under an Approved 10b5-1 Plan until the expiration of the applicable cooling-off period. With respect to any purchase or sale under an Approved 10b5-1 Plan, the third-party affecting transactions on behalf of the Company Insider should be instructed to send duplicate confirmations of all such transactions to the Compliance Officer.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4. Rule 10b5-1 Trading Plans</w:t>
      </w:r>
    </w:p>
    <w:p>
      <w:pPr>
        <w:spacing w:after="0" w:line="2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Rule 10b5-1 provides an affirmative defense against insider trading laws for transactions under a previously established contract, plan, or instruction, entered into in good faith, at a time when not in possession of MNPI. More specifically:</w:t>
      </w:r>
    </w:p>
    <w:p>
      <w:pPr>
        <w:spacing w:after="0" w:line="1" w:lineRule="exact"/>
        <w:rPr>
          <w:sz w:val="20"/>
          <w:szCs w:val="20"/>
          <w:color w:val="auto"/>
        </w:rPr>
      </w:pPr>
    </w:p>
    <w:p>
      <w:pPr>
        <w:jc w:val="both"/>
        <w:ind w:left="1140" w:hanging="383"/>
        <w:spacing w:after="0" w:line="239" w:lineRule="auto"/>
        <w:tabs>
          <w:tab w:leader="none" w:pos="11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reviewed and approved by the Compliance Officer in advance of being entered into (or, if revised or amended, such proposed revisions or amendments have been reviewed and approved by the Compliance Officer in advance of being entered into);</w:t>
      </w:r>
    </w:p>
    <w:p>
      <w:pPr>
        <w:spacing w:after="0" w:line="1" w:lineRule="exact"/>
        <w:rPr>
          <w:rFonts w:ascii="Times New Roman" w:cs="Times New Roman" w:eastAsia="Times New Roman" w:hAnsi="Times New Roman"/>
          <w:sz w:val="20"/>
          <w:szCs w:val="20"/>
          <w:color w:val="auto"/>
        </w:rPr>
      </w:pPr>
    </w:p>
    <w:p>
      <w:pPr>
        <w:jc w:val="both"/>
        <w:ind w:left="1140" w:hanging="383"/>
        <w:spacing w:after="0" w:line="239" w:lineRule="auto"/>
        <w:tabs>
          <w:tab w:leader="none" w:pos="120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(Section 16 Officers), the cooling-off period ends on the later of (x) ninety (90) days after adoption or certain modifications of the 10b5-1 plan; or (y) two business days following disclosure of the Company's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3" w:lineRule="exact"/>
        <w:rPr>
          <w:rFonts w:ascii="Times New Roman" w:cs="Times New Roman" w:eastAsia="Times New Roman" w:hAnsi="Times New Roman"/>
          <w:sz w:val="20"/>
          <w:szCs w:val="20"/>
          <w:color w:val="auto"/>
        </w:rPr>
      </w:pPr>
    </w:p>
    <w:p>
      <w:pPr>
        <w:jc w:val="both"/>
        <w:ind w:left="1140" w:hanging="383"/>
        <w:spacing w:after="0" w:line="239" w:lineRule="auto"/>
        <w:tabs>
          <w:tab w:leader="none" w:pos="11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w:t>
      </w:r>
    </w:p>
    <w:p>
      <w:pPr>
        <w:spacing w:after="0" w:line="1" w:lineRule="exact"/>
        <w:rPr>
          <w:rFonts w:ascii="Times New Roman" w:cs="Times New Roman" w:eastAsia="Times New Roman" w:hAnsi="Times New Roman"/>
          <w:sz w:val="20"/>
          <w:szCs w:val="20"/>
          <w:color w:val="auto"/>
        </w:rPr>
      </w:pPr>
    </w:p>
    <w:p>
      <w:pPr>
        <w:jc w:val="both"/>
        <w:ind w:left="1140" w:hanging="383"/>
        <w:spacing w:after="0" w:line="239" w:lineRule="auto"/>
        <w:tabs>
          <w:tab w:leader="none" w:pos="119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 w:lineRule="exact"/>
        <w:rPr>
          <w:rFonts w:ascii="Times New Roman" w:cs="Times New Roman" w:eastAsia="Times New Roman" w:hAnsi="Times New Roman"/>
          <w:sz w:val="20"/>
          <w:szCs w:val="20"/>
          <w:color w:val="auto"/>
        </w:rPr>
      </w:pPr>
    </w:p>
    <w:p>
      <w:pPr>
        <w:ind w:left="1140" w:hanging="383"/>
        <w:spacing w:after="0" w:line="246" w:lineRule="auto"/>
        <w:tabs>
          <w:tab w:leader="none" w:pos="119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only outstanding Approved 10b5-1 Plan entered into by the Covered Person (subject to the exceptions set out in Rule 10b5-1(c)(ii)(D)) (no overlapping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Approved 10b5-1 Plan may be adopted during a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Questions: Any questions related to entering into, modifying, or terminating an Approved 10b5-1 Plan should be directed to the Compliance Officer at generalcounsel@mistercarwash.com. Covered Persons should consult their own legal and tax advisors before entering into, modifying, or terminating, an Approved 10b5-1 Plan. A trading plan, contract, instruction, or arrangement will not qualify as an Approved 10b5-1 Plan without the prior review and approval of the Compliance Officer as described above, and any proposed plans should be submitted no later than 5 business days prior to the end of any open trading window.</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Limitation on Liability: None of the Company, the Compliance Officer, or other Company personnel will have any liability for any delay in reviewing, or refusal of, a Trading Plan submitted pursuant to this 10b5-1 Plan Procedure. Notwithstanding any review of a Trading Plan pursuant to this 10b5-1 Plan Procedure, none of the Company, the Compliance Officer, the Company's other employees, or any other person assumes any liability for the legality or consequences of such Trading Plan or transaction to the person engaging in or adopting such Trading Plan or transaction.</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Withhold of Pre-Clearance: The Compliance Officer may withhold clearance of any proposed transaction. In the event of a disagreement regarding a proposed transaction, the Compliance Officer is required to report the proposed transaction to the Audit Committee of the Board of Directors for a final determination of the pre-clearance request. The Compliance Officer and the Audit Committee may obtain the advice of outside legal counsel with respect to a trading request. You may not in any event engage in the proposed transaction until the request has been finally resolved to the satisfaction of the Compliance Officer or, if applicable, the Audit Committee.</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Public Disclosure: The Company may be required under rules and regulations of the SEC to publicly disclose information regarding the adoption, modification, or termination of a Trading Plan and non-Rule 10b5-1 trading arrangements, or the execution of transactions made under a Trading Plan. The Company reserves the right to publicly disclose, announce, or respond to inquiries from the media regarding the same such information whether or not such information is required to be disclosed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173654"/>
        </w:rPr>
        <w:t>SCHEDULE 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A4645"/>
        </w:rPr>
        <w:t>Covered Persons</w:t>
      </w:r>
    </w:p>
    <w:p>
      <w:pPr>
        <w:spacing w:after="0" w:line="147" w:lineRule="exact"/>
        <w:rPr>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Section 16 Officers as set forth below</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Pre-Clearance Persons as set forth below</w:t>
      </w:r>
    </w:p>
    <w:p>
      <w:pPr>
        <w:spacing w:after="0" w:line="148" w:lineRule="exact"/>
        <w:rPr>
          <w:rFonts w:ascii="Times New Roman" w:cs="Times New Roman" w:eastAsia="Times New Roman" w:hAnsi="Times New Roman"/>
          <w:sz w:val="20"/>
          <w:szCs w:val="20"/>
          <w:color w:val="auto"/>
        </w:rPr>
      </w:pPr>
    </w:p>
    <w:p>
      <w:pPr>
        <w:ind w:left="760" w:right="600" w:hanging="378"/>
        <w:spacing w:after="0" w:line="269" w:lineRule="auto"/>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Company employees deemed to have actual or potential access to material nonpublic information (“MNPI”) due to their position, responsibilities or as otherwise designated from time to time by the Compliance Officer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A4645"/>
        </w:rPr>
        <w:t>Pre-Clearance Persons</w:t>
      </w:r>
    </w:p>
    <w:p>
      <w:pPr>
        <w:spacing w:after="0" w:line="134" w:lineRule="exact"/>
        <w:rPr>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16 Reporting Persons designated below</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with an employment title of Vice President or above</w:t>
      </w:r>
    </w:p>
    <w:p>
      <w:pPr>
        <w:spacing w:after="0" w:line="1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4A4645"/>
        </w:rPr>
        <w:t>Section 16 Officer</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Board of Directors</w:t>
      </w:r>
    </w:p>
    <w:p>
      <w:pPr>
        <w:spacing w:after="0" w:line="148"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corporate officers (including officers who are also directors) vested with the following authority and/or performing the following function:</w:t>
      </w:r>
    </w:p>
    <w:p>
      <w:pPr>
        <w:spacing w:after="0" w:line="78" w:lineRule="exact"/>
        <w:rPr>
          <w:sz w:val="20"/>
          <w:szCs w:val="20"/>
          <w:color w:val="auto"/>
        </w:rPr>
      </w:pPr>
    </w:p>
    <w:p>
      <w:pPr>
        <w:ind w:left="1500" w:hanging="369"/>
        <w:spacing w:after="0"/>
        <w:tabs>
          <w:tab w:leader="none" w:pos="15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Executive Officer/President</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Financial Officer (Treasurer, Chief Accounting Officer)</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Secretary</w:t>
      </w:r>
    </w:p>
    <w:p>
      <w:pPr>
        <w:spacing w:after="0" w:line="13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Operating Officer</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People Officer</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Chief Innovation Officer</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Beneficial owners of more than 10 percent of a class of the issuer’s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60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MISTER CAR WASH, INC.</w:t>
            </w:r>
          </w:p>
        </w:tc>
      </w:tr>
      <w:tr>
        <w:trPr>
          <w:trHeight w:val="238"/>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594"/>
        </w:trPr>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
        </w:trPr>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MCW GC,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Shine,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 Wash Headquarters,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Wash Partners,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Clean Streak Ventures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Asset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 California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Holdings, Inc.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 Management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West,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CWPS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CWPU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DWB Tucson Holdings,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Hotshine Intermediate Co.</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MDKMH Partners. Inc.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Mesquite Logistics,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Mister Car Wash Holdings, Inc.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 Acquisition Sub Corp.</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Sunshine Acquisition Sub Corp.</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Amzak Carwashes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Acquisition,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Curry Ford,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Opco,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229,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Altamonte,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BBD,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Clermont,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Colonial,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Cutler Bay,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Havendale,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Hillsborough,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Lakeland North,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Lakeland,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Land O Lakes,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Landstar,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Mid Lakeland, LLC</w:t>
            </w:r>
          </w:p>
        </w:tc>
        <w:tc>
          <w:tcPr>
            <w:tcW w:w="29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New Tampa, LLC</w:t>
            </w:r>
          </w:p>
        </w:tc>
        <w:tc>
          <w:tcPr>
            <w:tcW w:w="2900" w:type="dxa"/>
            <w:vAlign w:val="bottom"/>
            <w:shd w:val="clear" w:color="auto" w:fill="CFF0FC"/>
          </w:tcPr>
          <w:p>
            <w:pPr>
              <w:spacing w:after="0"/>
              <w:rPr>
                <w:sz w:val="23"/>
                <w:szCs w:val="23"/>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1411"/>
        </w:trPr>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Nona,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Oviedo,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Poinciana,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Port Orange,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PSL 9200,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Semoran,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Wesley Chapel,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Red Bug,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Tampa Car Wash Operations,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Acquisition,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Opco,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Bonita,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Colonial,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Daniels,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Goldenwood,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McCall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Naples,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Rattlesnake,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Vintage, LLC</w:t>
            </w:r>
          </w:p>
        </w:tc>
        <w:tc>
          <w:tcPr>
            <w:tcW w:w="66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LLC</w:t>
            </w:r>
          </w:p>
        </w:tc>
        <w:tc>
          <w:tcPr>
            <w:tcW w:w="6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1411"/>
        </w:trPr>
        <w:tc>
          <w:tcPr>
            <w:tcW w:w="464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333-266286 on Form S-3 and Registration Statement Nos. 333-277588, 333-270270 and 333-257401 on Form S-8 of our reports dated February 21, 2025, relating to the financial statements of Mister Car Wash, Inc., and the effectiveness of Mister Car Wash, Inc.’s internal control over financial reporting appearing in this Annual Report on Form 10-K for the year ended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 OF THE SECURITIES EXCHANGE ACT OF 1934,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Lai, certify that:</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1.I have reviewed this Annual Report on Form 10-K of Mister Car Wash, Inc.;</w:t>
      </w:r>
    </w:p>
    <w:p>
      <w:pPr>
        <w:spacing w:after="0" w:line="113"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43" w:lineRule="exact"/>
        <w:rPr>
          <w:sz w:val="20"/>
          <w:szCs w:val="20"/>
          <w:color w:val="auto"/>
        </w:rPr>
      </w:pPr>
    </w:p>
    <w:p>
      <w:pPr>
        <w:jc w:val="both"/>
        <w:ind w:left="2020" w:hanging="673"/>
        <w:spacing w:after="0" w:line="281"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sz w:val="20"/>
          <w:szCs w:val="20"/>
          <w:color w:val="auto"/>
        </w:rPr>
      </w:pPr>
    </w:p>
    <w:p>
      <w:pPr>
        <w:jc w:val="both"/>
        <w:ind w:left="2020" w:hanging="673"/>
        <w:spacing w:after="0" w:line="281"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sz w:val="20"/>
          <w:szCs w:val="20"/>
          <w:color w:val="auto"/>
        </w:rPr>
      </w:pPr>
    </w:p>
    <w:p>
      <w:pPr>
        <w:jc w:val="both"/>
        <w:ind w:left="2020" w:hanging="673"/>
        <w:spacing w:after="0" w:line="298"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sz w:val="20"/>
          <w:szCs w:val="20"/>
          <w:color w:val="auto"/>
        </w:rPr>
      </w:pPr>
    </w:p>
    <w:p>
      <w:pPr>
        <w:jc w:val="both"/>
        <w:ind w:left="2020" w:hanging="673"/>
        <w:spacing w:after="0" w:line="281"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2020" w:hanging="673"/>
        <w:spacing w:after="0" w:line="298"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sz w:val="20"/>
          <w:szCs w:val="20"/>
          <w:color w:val="auto"/>
        </w:rPr>
      </w:pPr>
    </w:p>
    <w:p>
      <w:pPr>
        <w:ind w:left="2020" w:hanging="673"/>
        <w:spacing w:after="0" w:line="298"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21, 2025</w:t>
      </w:r>
    </w:p>
    <w:p>
      <w:pPr>
        <w:spacing w:after="0" w:line="262"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5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John Lai</w:t>
      </w:r>
    </w:p>
    <w:p>
      <w:pPr>
        <w:spacing w:after="0" w:line="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 OF THE SECURITIES EXCHANGE ACT OF 1934,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Jedidiah Gold, certify that:</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1.I have reviewed this Annual Report on Form 10-K of Mister Car Wash, Inc.;</w:t>
      </w:r>
    </w:p>
    <w:p>
      <w:pPr>
        <w:spacing w:after="0" w:line="113"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43" w:lineRule="exact"/>
        <w:rPr>
          <w:sz w:val="20"/>
          <w:szCs w:val="20"/>
          <w:color w:val="auto"/>
        </w:rPr>
      </w:pPr>
    </w:p>
    <w:p>
      <w:pPr>
        <w:jc w:val="both"/>
        <w:ind w:left="2020" w:hanging="673"/>
        <w:spacing w:after="0" w:line="281"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sz w:val="20"/>
          <w:szCs w:val="20"/>
          <w:color w:val="auto"/>
        </w:rPr>
      </w:pPr>
    </w:p>
    <w:p>
      <w:pPr>
        <w:jc w:val="both"/>
        <w:ind w:left="2020" w:hanging="673"/>
        <w:spacing w:after="0" w:line="281"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sz w:val="20"/>
          <w:szCs w:val="20"/>
          <w:color w:val="auto"/>
        </w:rPr>
      </w:pPr>
    </w:p>
    <w:p>
      <w:pPr>
        <w:jc w:val="both"/>
        <w:ind w:left="2020" w:hanging="673"/>
        <w:spacing w:after="0" w:line="298"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sz w:val="20"/>
          <w:szCs w:val="20"/>
          <w:color w:val="auto"/>
        </w:rPr>
      </w:pPr>
    </w:p>
    <w:p>
      <w:pPr>
        <w:jc w:val="both"/>
        <w:ind w:left="2020" w:hanging="673"/>
        <w:spacing w:after="0" w:line="281"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left="2020" w:hanging="673"/>
        <w:spacing w:after="0" w:line="298"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sz w:val="20"/>
          <w:szCs w:val="20"/>
          <w:color w:val="auto"/>
        </w:rPr>
      </w:pPr>
    </w:p>
    <w:p>
      <w:pPr>
        <w:ind w:left="2020" w:hanging="673"/>
        <w:spacing w:after="0" w:line="298"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21, 2025</w:t>
      </w:r>
    </w:p>
    <w:p>
      <w:pPr>
        <w:spacing w:after="0" w:line="30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20320</wp:posOffset>
            </wp:positionV>
            <wp:extent cx="305181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Jedidiah Gold</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Mister Car Wash, Inc. (the "Company") on Form 10-K for the fiscal year ended December 31, 2024, as filed with the Securities and Exchange Commission on the date hereof (the "Report"), I certify, pursuant to 18 U.S.C. Section 1350, as adopted pursuant to Section 906 of the Sarbanes-Oxley Act of 2002, that:</w:t>
      </w:r>
    </w:p>
    <w:p>
      <w:pPr>
        <w:spacing w:after="0" w:line="3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21, 2025</w:t>
      </w:r>
    </w:p>
    <w:p>
      <w:pPr>
        <w:spacing w:after="0" w:line="302"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John Lai</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1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Mister Car Wash, Inc. (the "Company") on Form 10-K for the year ended December 31, 2024, as filed with the Securities and Exchange Commission on the date hereof (the "Report"), I certify, pursuant to 18 U.S.C. Section 1350, as adopted pursuant to Section 906 of the Sarbanes-Oxley Act of 2002, that:</w:t>
      </w:r>
    </w:p>
    <w:p>
      <w:pPr>
        <w:spacing w:after="0" w:line="2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21, 2025</w:t>
      </w:r>
    </w:p>
    <w:p>
      <w:pPr>
        <w:spacing w:after="0" w:line="30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20320</wp:posOffset>
            </wp:positionV>
            <wp:extent cx="305181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Jedidiah Gold</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MISTER CAR WASH,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CLAWBACK POLICY</w:t>
      </w:r>
    </w:p>
    <w:p>
      <w:pPr>
        <w:jc w:val="center"/>
        <w:spacing w:after="0"/>
        <w:rPr>
          <w:sz w:val="20"/>
          <w:szCs w:val="20"/>
          <w:color w:val="auto"/>
        </w:rPr>
      </w:pPr>
      <w:r>
        <w:rPr>
          <w:rFonts w:ascii="Times New Roman" w:cs="Times New Roman" w:eastAsia="Times New Roman" w:hAnsi="Times New Roman"/>
          <w:sz w:val="22"/>
          <w:szCs w:val="22"/>
          <w:b w:val="1"/>
          <w:bCs w:val="1"/>
          <w:color w:val="auto"/>
        </w:rPr>
        <w:t>(Adopted February 12, 2025)</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As required pursuant to the listing standards of the The Nasdaq Stock Market LLC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xml:space="preserve">),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Rule 10D-1 under the Exchange Act,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of Mister Car Wash,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has adopted this 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empower the Company to recover Covered Compensation (as defined below) erroneously awarded to a Covered Officer (as defined below) in the event of an Accounting Restatement (as defined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 Clawback Exception applies with respect to a Covered Officer, the Company may forgo such recovery under this Policy from such Covered Officer.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xml:space="preserve"> is defined as any current or former “Section 16 officer” of the Company within the meaning of Rule 16a-1(f) under the Exchange Act, as determined by the Board. Covered Officers include, at a minimum, “executive officers” as defined in Rule 3b-7 under the Exchange Act and identified under Item 401(b) of Regulation 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154" w:lineRule="exact"/>
        <w:rPr>
          <w:sz w:val="20"/>
          <w:szCs w:val="20"/>
          <w:color w:val="auto"/>
        </w:rPr>
      </w:pPr>
    </w:p>
    <w:p>
      <w:pPr>
        <w:jc w:val="both"/>
        <w:ind w:left="760" w:hanging="378"/>
        <w:spacing w:after="0" w:line="268"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Compensation” </w:t>
      </w:r>
      <w:r>
        <w:rPr>
          <w:rFonts w:ascii="Times New Roman" w:cs="Times New Roman" w:eastAsia="Times New Roman" w:hAnsi="Times New Roman"/>
          <w:sz w:val="18"/>
          <w:szCs w:val="18"/>
          <w:color w:val="auto"/>
        </w:rPr>
        <w:t>is defined as the amount of Incentive-Based Compensation (as defined below) received during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94"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spacing w:after="0" w:line="112"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963930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both"/>
        <w:ind w:left="760" w:hanging="378"/>
        <w:spacing w:after="0" w:line="259"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“Incentive-Based Compensation” </w:t>
      </w:r>
      <w:r>
        <w:rPr>
          <w:rFonts w:ascii="Times New Roman" w:cs="Times New Roman" w:eastAsia="Times New Roman" w:hAnsi="Times New Roman"/>
          <w:sz w:val="18"/>
          <w:szCs w:val="18"/>
          <w:color w:val="auto"/>
        </w:rPr>
        <w:t>is defined as any compensation that is granted, earned, or vested based wholly or in part upon the attainment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Reporting Measure” </w:t>
      </w:r>
      <w:r>
        <w:rPr>
          <w:rFonts w:ascii="Times New Roman" w:cs="Times New Roman" w:eastAsia="Times New Roman" w:hAnsi="Times New Roman"/>
          <w:sz w:val="18"/>
          <w:szCs w:val="18"/>
          <w:color w:val="auto"/>
        </w:rPr>
        <w:t>is defined as a measure that is determined and presented in accordance with the accounting principles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preparing the Company’s financial statements, and any measures that are derived wholly or in part from such measures. Stock price and total shareholder return are also Financial Reporting Measures.</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xml:space="preserve"> in the Company’s fiscal period during which the Financial Reporting Measure specified in the Incentive-Based Compensation award is attained, even if the payment or grant of the Incentive-Based Compensation occurs after the end of that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Policy, the applicable </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xml:space="preserve">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xml:space="preserve">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 Restatement unless: (i) one of the following conditions is met; and (ii) the Committee has made a determination that recovery would be impracticable in accordance with Rule 10D-1 under the Exchange Act (under such circumstances, a “Clawback Exception” applies):</w:t>
      </w:r>
    </w:p>
    <w:p>
      <w:pPr>
        <w:spacing w:after="0" w:line="95" w:lineRule="exact"/>
        <w:rPr>
          <w:sz w:val="20"/>
          <w:szCs w:val="20"/>
          <w:color w:val="auto"/>
        </w:rPr>
      </w:pPr>
    </w:p>
    <w:p>
      <w:pPr>
        <w:jc w:val="both"/>
        <w:ind w:left="760" w:hanging="378"/>
        <w:spacing w:after="0" w:line="266"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0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08"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1186815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will administer this Policy in a manner consistent with the requirements of Section 10D of the Exchange Act and any applicable rules or standards adopted by the Securities and Exchange Commission or the Stock Exchange on which the Company’s securities are listed. The Committee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This Policy is in addition to and is not intended to change or interpret any federal or state law or regulation, including the Delaware General Corporation Law, the Certificate of Incorporation of the Company, or the Amended and Restated Bylaws of the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will review the Policy bi-annually and will have full and exclusive authority to take any action it deems appropriate.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Covered Officer, upon being so designated or assuming such position, is required to execute and deliver to Chief People Officer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1190625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lowerLetter"/>
      <w:start w:val="1"/>
    </w:lvl>
  </w:abstractNum>
  <w:abstractNum w:abstractNumId="13">
    <w:nsid w:val="180115BE"/>
    <w:multiLevelType w:val="hybridMultilevel"/>
    <w:lvl w:ilvl="0">
      <w:lvlJc w:val="left"/>
      <w:lvlText w:val="%1."/>
      <w:numFmt w:val="decimal"/>
      <w:start w:val="18"/>
    </w:lvl>
  </w:abstractNum>
  <w:abstractNum w:abstractNumId="14">
    <w:nsid w:val="235BA861"/>
    <w:multiLevelType w:val="hybridMultilevel"/>
    <w:lvl w:ilvl="0">
      <w:lvlJc w:val="left"/>
      <w:lvlText w:val="(%1)"/>
      <w:numFmt w:val="lowerLetter"/>
      <w:start w:val="1"/>
    </w:lvl>
    <w:lvl w:ilvl="1">
      <w:lvlJc w:val="left"/>
      <w:lvlText w:val="%2."/>
      <w:numFmt w:val="decimal"/>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lowerLetter"/>
      <w:start w:val="1"/>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1."/>
      <w:numFmt w:val="decimal"/>
      <w:start w:val="9"/>
    </w:lvl>
  </w:abstractNum>
  <w:abstractNum w:abstractNumId="21">
    <w:nsid w:val="3F6AB60F"/>
    <w:multiLevelType w:val="hybridMultilevel"/>
    <w:lvl w:ilvl="0">
      <w:lvlJc w:val="left"/>
      <w:lvlText w:val="(%1)"/>
      <w:numFmt w:val="lowerLetter"/>
      <w:start w:val="1"/>
    </w:lvl>
    <w:lvl w:ilvl="1">
      <w:lvlJc w:val="left"/>
      <w:lvlText w:val="(%2)"/>
      <w:numFmt w:val="decimal"/>
      <w:start w:val="1"/>
    </w:lvl>
  </w:abstractNum>
  <w:abstractNum w:abstractNumId="22">
    <w:nsid w:val="61574095"/>
    <w:multiLevelType w:val="hybridMultilevel"/>
    <w:lvl w:ilvl="0">
      <w:lvlJc w:val="left"/>
      <w:lvlText w:val="(%1)"/>
      <w:numFmt w:val="lowerLetter"/>
      <w:start w:val="2"/>
    </w:lvl>
  </w:abstractNum>
  <w:abstractNum w:abstractNumId="23">
    <w:nsid w:val="7E0C57B1"/>
    <w:multiLevelType w:val="hybridMultilevel"/>
    <w:lvl w:ilvl="0">
      <w:lvlJc w:val="left"/>
      <w:lvlText w:val="(%1)"/>
      <w:numFmt w:val="lowerLetter"/>
      <w:start w:val="4"/>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lowerLetter"/>
      <w:start w:val="1"/>
    </w:lvl>
  </w:abstractNum>
  <w:abstractNum w:abstractNumId="26">
    <w:nsid w:val="310C50B3"/>
    <w:multiLevelType w:val="hybridMultilevel"/>
    <w:lvl w:ilvl="0">
      <w:lvlJc w:val="left"/>
      <w:lvlText w:val="(%1)"/>
      <w:numFmt w:val="lowerLetter"/>
      <w:start w:val="2"/>
    </w:lvl>
  </w:abstractNum>
  <w:abstractNum w:abstractNumId="27">
    <w:nsid w:val="5FF87E05"/>
    <w:multiLevelType w:val="hybridMultilevel"/>
    <w:lvl w:ilvl="0">
      <w:lvlJc w:val="left"/>
      <w:lvlText w:val="(%1)"/>
      <w:numFmt w:val="lowerLetter"/>
      <w:start w:val="3"/>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1)"/>
      <w:numFmt w:val="decimal"/>
      <w:start w:val="3"/>
    </w:lvl>
  </w:abstractNum>
  <w:abstractNum w:abstractNumId="30">
    <w:nsid w:val="1DBABF00"/>
    <w:multiLevelType w:val="hybridMultilevel"/>
    <w:lvl w:ilvl="0">
      <w:lvlJc w:val="left"/>
      <w:lvlText w:val="(%1)"/>
      <w:numFmt w:val="upperLetter"/>
      <w:start w:val="1"/>
    </w:lvl>
  </w:abstractNum>
  <w:abstractNum w:abstractNumId="31">
    <w:nsid w:val="4AD084E9"/>
    <w:multiLevelType w:val="hybridMultilevel"/>
    <w:lvl w:ilvl="0">
      <w:lvlJc w:val="left"/>
      <w:lvlText w:val="(%1)"/>
      <w:numFmt w:val="lowerLetter"/>
      <w:start w:val="6"/>
    </w:lvl>
  </w:abstractNum>
  <w:abstractNum w:abstractNumId="32">
    <w:nsid w:val="1F48EAA1"/>
    <w:multiLevelType w:val="hybridMultilevel"/>
    <w:lvl w:ilvl="0">
      <w:lvlJc w:val="left"/>
      <w:lvlText w:val="2"/>
      <w:numFmt w:val="bullet"/>
      <w:start w:val="1"/>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lowerLetter"/>
      <w:start w:val="2"/>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1)"/>
      <w:numFmt w:val="lowerLetter"/>
      <w:start w:val="4"/>
    </w:lvl>
  </w:abstractNum>
  <w:abstractNum w:abstractNumId="38">
    <w:nsid w:val="5F5E7FD0"/>
    <w:multiLevelType w:val="hybridMultilevel"/>
    <w:lvl w:ilvl="0">
      <w:lvlJc w:val="left"/>
      <w:lvlText w:val="(%1)"/>
      <w:numFmt w:val="lowerLetter"/>
      <w:start w:val="1"/>
    </w:lvl>
    <w:lvl w:ilvl="1">
      <w:lvlJc w:val="left"/>
      <w:lvlText w:val="(%2)"/>
      <w:numFmt w:val="lowerRoman"/>
      <w:start w:val="1"/>
    </w:lvl>
  </w:abstractNum>
  <w:abstractNum w:abstractNumId="39">
    <w:nsid w:val="98A3148"/>
    <w:multiLevelType w:val="hybridMultilevel"/>
    <w:lvl w:ilvl="0">
      <w:lvlJc w:val="left"/>
      <w:lvlText w:val="(%1)"/>
      <w:numFmt w:val="lowerRoman"/>
      <w:start w:val="5"/>
    </w:lvl>
  </w:abstractNum>
  <w:abstractNum w:abstractNumId="40">
    <w:nsid w:val="799D0247"/>
    <w:multiLevelType w:val="hybridMultilevel"/>
    <w:lvl w:ilvl="0">
      <w:lvlJc w:val="left"/>
      <w:lvlText w:val="%1"/>
      <w:numFmt w:val="lowerLetter"/>
      <w:start w:val="1"/>
    </w:lvl>
    <w:lvl w:ilvl="1">
      <w:lvlJc w:val="left"/>
      <w:lvlText w:val="(%2)"/>
      <w:numFmt w:val="lowerLetter"/>
      <w:start w:val="2"/>
    </w:lvl>
  </w:abstractNum>
  <w:abstractNum w:abstractNumId="41">
    <w:nsid w:val="6B94764"/>
    <w:multiLevelType w:val="hybridMultilevel"/>
    <w:lvl w:ilvl="0">
      <w:lvlJc w:val="left"/>
      <w:lvlText w:val="(%1)"/>
      <w:numFmt w:val="lowerLetter"/>
      <w:start w:val="35"/>
    </w:lvl>
    <w:lvl w:ilvl="1">
      <w:lvlJc w:val="left"/>
      <w:lvlText w:val="%2"/>
      <w:numFmt w:val="lowerLetter"/>
      <w:start w:val="1"/>
    </w:lvl>
  </w:abstractNum>
  <w:abstractNum w:abstractNumId="42">
    <w:nsid w:val="42C296BD"/>
    <w:multiLevelType w:val="hybridMultilevel"/>
    <w:lvl w:ilvl="0">
      <w:lvlJc w:val="left"/>
      <w:lvlText w:val="(%1)"/>
      <w:numFmt w:val="lowerLetter"/>
      <w:start w:val="3"/>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lowerLetter"/>
      <w:start w:val="3"/>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2"/>
    </w:lvl>
  </w:abstractNum>
  <w:abstractNum w:abstractNumId="49">
    <w:nsid w:val="51D9C564"/>
    <w:multiLevelType w:val="hybridMultilevel"/>
    <w:lvl w:ilvl="0">
      <w:lvlJc w:val="left"/>
      <w:lvlText w:val="1"/>
      <w:numFmt w:val="bullet"/>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6"/>
    </w:lvl>
  </w:abstractNum>
  <w:abstractNum w:abstractNumId="52">
    <w:nsid w:val="11447B73"/>
    <w:multiLevelType w:val="hybridMultilevel"/>
    <w:lvl w:ilvl="0">
      <w:lvlJc w:val="left"/>
      <w:lvlText w:val="(%1)"/>
      <w:numFmt w:val="lowerLetter"/>
      <w:start w:val="6"/>
    </w:lvl>
  </w:abstractNum>
  <w:abstractNum w:abstractNumId="53">
    <w:nsid w:val="42963E5A"/>
    <w:multiLevelType w:val="hybridMultilevel"/>
    <w:lvl w:ilvl="0">
      <w:lvlJc w:val="left"/>
      <w:lvlText w:val="2"/>
      <w:numFmt w:val="bullet"/>
      <w:start w:val="1"/>
    </w:lvl>
  </w:abstractNum>
  <w:abstractNum w:abstractNumId="54">
    <w:nsid w:val="A0382C5"/>
    <w:multiLevelType w:val="hybridMultilevel"/>
    <w:lvl w:ilvl="0">
      <w:lvlJc w:val="left"/>
      <w:lvlText w:val="3"/>
      <w:numFmt w:val="bullet"/>
      <w:start w:val="1"/>
    </w:lvl>
  </w:abstractNum>
  <w:abstractNum w:abstractNumId="55">
    <w:nsid w:val="8F2B15E"/>
    <w:multiLevelType w:val="hybridMultilevel"/>
    <w:lvl w:ilvl="0">
      <w:lvlJc w:val="left"/>
      <w:lvlText w:val="(%1)"/>
      <w:numFmt w:val="lowerLetter"/>
      <w:start w:val="3"/>
    </w:lvl>
  </w:abstractNum>
  <w:abstractNum w:abstractNumId="56">
    <w:nsid w:val="1A32234B"/>
    <w:multiLevelType w:val="hybridMultilevel"/>
    <w:lvl w:ilvl="0">
      <w:lvlJc w:val="left"/>
      <w:lvlText w:val="(%1)"/>
      <w:numFmt w:val="lowerLetter"/>
      <w:start w:val="4"/>
    </w:lvl>
  </w:abstractNum>
  <w:abstractNum w:abstractNumId="57">
    <w:nsid w:val="3B0FD379"/>
    <w:multiLevelType w:val="hybridMultilevel"/>
    <w:lvl w:ilvl="0">
      <w:lvlJc w:val="left"/>
      <w:lvlText w:val="(%1)"/>
      <w:numFmt w:val="lowerLetter"/>
      <w:start w:val="3"/>
    </w:lvl>
  </w:abstractNum>
  <w:abstractNum w:abstractNumId="58">
    <w:nsid w:val="68EB2F63"/>
    <w:multiLevelType w:val="hybridMultilevel"/>
    <w:lvl w:ilvl="0">
      <w:lvlJc w:val="left"/>
      <w:lvlText w:val="(%1)"/>
      <w:numFmt w:val="lowerLetter"/>
      <w:start w:val="3"/>
    </w:lvl>
  </w:abstractNum>
  <w:abstractNum w:abstractNumId="59">
    <w:nsid w:val="4962813B"/>
    <w:multiLevelType w:val="hybridMultilevel"/>
    <w:lvl w:ilvl="0">
      <w:lvlJc w:val="left"/>
      <w:lvlText w:val="(%1)"/>
      <w:numFmt w:val="lowerLetter"/>
      <w:start w:val="1"/>
    </w:lvl>
    <w:lvl w:ilvl="1">
      <w:lvlJc w:val="left"/>
      <w:lvlText w:val="(%2)"/>
      <w:numFmt w:val="lowerRoman"/>
      <w:start w:val="1"/>
    </w:lvl>
  </w:abstractNum>
  <w:abstractNum w:abstractNumId="60">
    <w:nsid w:val="60B6DF70"/>
    <w:multiLevelType w:val="hybridMultilevel"/>
    <w:lvl w:ilvl="0">
      <w:lvlJc w:val="left"/>
      <w:lvlText w:val="(%1)"/>
      <w:numFmt w:val="lowerRoman"/>
      <w:start w:val="1"/>
    </w:lvl>
  </w:abstractNum>
  <w:abstractNum w:abstractNumId="61">
    <w:nsid w:val="6A5EE64"/>
    <w:multiLevelType w:val="hybridMultilevel"/>
    <w:lvl w:ilvl="0">
      <w:lvlJc w:val="left"/>
      <w:lvlText w:val="%1"/>
      <w:numFmt w:val="lowerLetter"/>
      <w:start w:val="1"/>
    </w:lvl>
    <w:lvl w:ilvl="1">
      <w:lvlJc w:val="left"/>
      <w:lvlText w:val="(%2)"/>
      <w:numFmt w:val="lowerLetter"/>
      <w:start w:val="35"/>
    </w:lvl>
  </w:abstractNum>
  <w:abstractNum w:abstractNumId="62">
    <w:nsid w:val="14330624"/>
    <w:multiLevelType w:val="hybridMultilevel"/>
    <w:lvl w:ilvl="0">
      <w:lvlJc w:val="left"/>
      <w:lvlText w:val="(%1)"/>
      <w:numFmt w:val="lowerLetter"/>
      <w:start w:val="2"/>
    </w:lvl>
    <w:lvl w:ilvl="1">
      <w:lvlJc w:val="left"/>
      <w:lvlText w:val="%2"/>
      <w:numFmt w:val="lowerLetter"/>
      <w:start w:val="1"/>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4"/>
      <w:numFmt w:val="bullet"/>
      <w:start w:val="1"/>
    </w:lvl>
  </w:abstractNum>
  <w:abstractNum w:abstractNumId="65">
    <w:nsid w:val="71EA1109"/>
    <w:multiLevelType w:val="hybridMultilevel"/>
    <w:lvl w:ilvl="0">
      <w:lvlJc w:val="left"/>
      <w:lvlText w:val="(%1)"/>
      <w:numFmt w:val="lowerRoman"/>
      <w:start w:val="1"/>
    </w:lvl>
  </w:abstractNum>
  <w:abstractNum w:abstractNumId="66">
    <w:nsid w:val="100F59DC"/>
    <w:multiLevelType w:val="hybridMultilevel"/>
    <w:lvl w:ilvl="0">
      <w:lvlJc w:val="left"/>
      <w:lvlText w:val="(%1)"/>
      <w:numFmt w:val="lowerLetter"/>
      <w:start w:val="2"/>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5"/>
      <w:numFmt w:val="bullet"/>
      <w:start w:val="1"/>
    </w:lvl>
  </w:abstractNum>
  <w:abstractNum w:abstractNumId="69">
    <w:nsid w:val="6F6DD9AC"/>
    <w:multiLevelType w:val="hybridMultilevel"/>
    <w:lvl w:ilvl="0">
      <w:lvlJc w:val="left"/>
      <w:lvlText w:val="(%1)"/>
      <w:numFmt w:val="lowerLetter"/>
      <w:start w:val="3"/>
    </w:lvl>
  </w:abstractNum>
  <w:abstractNum w:abstractNumId="70">
    <w:nsid w:val="94211F2"/>
    <w:multiLevelType w:val="hybridMultilevel"/>
    <w:lvl w:ilvl="0">
      <w:lvlJc w:val="left"/>
      <w:lvlText w:val="(%1)"/>
      <w:numFmt w:val="lowerLetter"/>
      <w:start w:val="4"/>
    </w:lvl>
  </w:abstractNum>
  <w:abstractNum w:abstractNumId="71">
    <w:nsid w:val="885E1B"/>
    <w:multiLevelType w:val="hybridMultilevel"/>
    <w:lvl w:ilvl="0">
      <w:lvlJc w:val="left"/>
      <w:lvlText w:val="(%1)"/>
      <w:numFmt w:val="lowerLetter"/>
      <w:start w:val="5"/>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lvl w:ilvl="1">
      <w:lvlJc w:val="left"/>
      <w:lvlText w:val="o"/>
      <w:numFmt w:val="bullet"/>
      <w:start w:val="1"/>
    </w:lvl>
  </w:abstractNum>
  <w:abstractNum w:abstractNumId="79">
    <w:nsid w:val="2DF6D648"/>
    <w:multiLevelType w:val="hybridMultilevel"/>
    <w:lvl w:ilvl="0">
      <w:lvlJc w:val="left"/>
      <w:lvlText w:val="•"/>
      <w:numFmt w:val="bullet"/>
      <w:start w:val="1"/>
    </w:lvl>
    <w:lvl w:ilvl="1">
      <w:lvlJc w:val="left"/>
      <w:lvlText w:val="o"/>
      <w:numFmt w:val="bullet"/>
      <w:start w:val="1"/>
    </w:lvl>
  </w:abstractNum>
  <w:abstractNum w:abstractNumId="80">
    <w:nsid w:val="46B7D447"/>
    <w:multiLevelType w:val="hybridMultilevel"/>
    <w:lvl w:ilvl="0">
      <w:lvlJc w:val="left"/>
      <w:lvlText w:val="(%1)"/>
      <w:numFmt w:val="lowerLetter"/>
      <w:start w:val="2"/>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1"/>
      <w:numFmt w:val="lowerLetter"/>
      <w:start w:val="1"/>
    </w:lvl>
    <w:lvl w:ilvl="1">
      <w:lvlJc w:val="left"/>
      <w:lvlText w:val="(%2)"/>
      <w:numFmt w:val="lowerRoman"/>
      <w:start w:val="1"/>
    </w:lvl>
  </w:abstractNum>
  <w:abstractNum w:abstractNumId="84">
    <w:nsid w:val="CC1016F"/>
    <w:multiLevelType w:val="hybridMultilevel"/>
    <w:lvl w:ilvl="0">
      <w:lvlJc w:val="left"/>
      <w:lvlText w:val="(%1)"/>
      <w:numFmt w:val="lowerLetter"/>
      <w:start w:val="4"/>
    </w:lvl>
    <w:lvl w:ilvl="1">
      <w:lvlJc w:val="left"/>
      <w:lvlText w:val="%2"/>
      <w:numFmt w:val="lowerRoman"/>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4"/>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lowerLetter"/>
      <w:start w:val="2"/>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lowerRoman"/>
      <w:start w:val="1"/>
    </w:lvl>
  </w:abstractNum>
  <w:abstractNum w:abstractNumId="92">
    <w:nsid w:val="50801EE1"/>
    <w:multiLevelType w:val="hybridMultilevel"/>
    <w:lvl w:ilvl="0">
      <w:lvlJc w:val="left"/>
      <w:lvlText w:val="(%1)"/>
      <w:numFmt w:val="lowerRoman"/>
      <w:start w:val="1"/>
    </w:lvl>
  </w:abstractNum>
  <w:abstractNum w:abstractNumId="93">
    <w:nsid w:val="488AC1A"/>
    <w:multiLevelType w:val="hybridMultilevel"/>
    <w:lvl w:ilvl="0">
      <w:lvlJc w:val="left"/>
      <w:lvlText w:val="(%1)"/>
      <w:numFmt w:val="lowerRoman"/>
      <w:start w:val="3"/>
    </w:lvl>
  </w:abstractNum>
  <w:abstractNum w:abstractNumId="94">
    <w:nsid w:val="5FB8011C"/>
    <w:multiLevelType w:val="hybridMultilevel"/>
    <w:lvl w:ilvl="0">
      <w:lvlJc w:val="left"/>
      <w:lvlText w:val="(%1)"/>
      <w:numFmt w:val="lowerRoman"/>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lvl w:ilvl="1">
      <w:lvlJc w:val="left"/>
      <w:lvlText w:val="o"/>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326" Type="http://schemas.openxmlformats.org/officeDocument/2006/relationships/hyperlink" Target="https://www.sec.gov/Archives/edgar/data/1853513/000095017022009801/mcw-ex2_1.htm" TargetMode="External"/><Relationship Id="rId327" Type="http://schemas.openxmlformats.org/officeDocument/2006/relationships/hyperlink" Target="https://www.sec.gov/Archives/edgar/data/1853513/000119312521207571/d197509dex31.htm" TargetMode="External"/><Relationship Id="rId328" Type="http://schemas.openxmlformats.org/officeDocument/2006/relationships/hyperlink" Target="https://www.sec.gov/Archives/edgar/data/1853513/000095017023025696/mcw-ex3_1.htm" TargetMode="External"/><Relationship Id="rId329" Type="http://schemas.openxmlformats.org/officeDocument/2006/relationships/hyperlink" Target="https://www.sec.gov/Archives/edgar/data/1853513/000119312521207571/d197509dex32.htm" TargetMode="External"/><Relationship Id="rId330" Type="http://schemas.openxmlformats.org/officeDocument/2006/relationships/hyperlink" Target="https://www.sec.gov/Archives/edgar/data/1853513/000119312521207571/d197509dex101.htm" TargetMode="External"/><Relationship Id="rId331" Type="http://schemas.openxmlformats.org/officeDocument/2006/relationships/hyperlink" Target="https://www.sec.gov/Archives/edgar/data/1853513/000119312521192606/d117644dex101b.htm" TargetMode="External"/><Relationship Id="rId332" Type="http://schemas.openxmlformats.org/officeDocument/2006/relationships/hyperlink" Target="https://www.sec.gov/Archives/edgar/data/1853513/000119312521178969/d117644dex101.htm" TargetMode="External"/><Relationship Id="rId333" Type="http://schemas.openxmlformats.org/officeDocument/2006/relationships/hyperlink" Target="https://www.sec.gov/Archives/edgar/data/1853513/000119312521178969/d117644dex101a.htm" TargetMode="External"/><Relationship Id="rId334" Type="http://schemas.openxmlformats.org/officeDocument/2006/relationships/hyperlink" Target="https://www.sec.gov/Archives/edgar/data/1853513/000119312521178969/d117644dex102.htm" TargetMode="External"/><Relationship Id="rId335" Type="http://schemas.openxmlformats.org/officeDocument/2006/relationships/hyperlink" Target="https://www.sec.gov/Archives/edgar/data/1853513/000119312521178969/d117644dex102a.htm" TargetMode="External"/><Relationship Id="rId336" Type="http://schemas.openxmlformats.org/officeDocument/2006/relationships/hyperlink" Target="https://www.sec.gov/Archives/edgar/data/1853513/000095017022004616/mcw-ex10_7.htm" TargetMode="External"/><Relationship Id="rId339" Type="http://schemas.openxmlformats.org/officeDocument/2006/relationships/hyperlink" Target="https://www.sec.gov/Archives/edgar/data/1853513/000095017024038877/mcw-ex10_1.htm" TargetMode="External"/><Relationship Id="rId340" Type="http://schemas.openxmlformats.org/officeDocument/2006/relationships/hyperlink" Target="https://www.sec.gov/Archives/edgar/data/1853513/000095017024132448/mcw-ex10_1.htm" TargetMode="External"/><Relationship Id="rId341" Type="http://schemas.openxmlformats.org/officeDocument/2006/relationships/hyperlink" Target="https://www.sec.gov/Archives/edgar/data/1853513/000119312521178969/d117644dex103.htm" TargetMode="External"/><Relationship Id="rId342" Type="http://schemas.openxmlformats.org/officeDocument/2006/relationships/hyperlink" Target="https://www.sec.gov/Archives/edgar/data/1853513/000119312521178969/d117644dex103a.htm" TargetMode="External"/><Relationship Id="rId343" Type="http://schemas.openxmlformats.org/officeDocument/2006/relationships/hyperlink" Target="https://www.sec.gov/Archives/edgar/data/1853513/000119312521192606/d117644dex104.htm" TargetMode="External"/><Relationship Id="rId344" Type="http://schemas.openxmlformats.org/officeDocument/2006/relationships/hyperlink" Target="https://www.sec.gov/Archives/edgar/data/1853513/000119312521192606/d117644dex1012.htm" TargetMode="External"/><Relationship Id="rId345" Type="http://schemas.openxmlformats.org/officeDocument/2006/relationships/hyperlink" Target="https://www.sec.gov/Archives/edgar/data/1853513/000119312521192606/d117644dex105.htm" TargetMode="External"/><Relationship Id="rId346" Type="http://schemas.openxmlformats.org/officeDocument/2006/relationships/hyperlink" Target="https://www.sec.gov/Archives/edgar/data/1853513/000119312521192606/d117644dex106.htm" TargetMode="External"/><Relationship Id="rId347" Type="http://schemas.openxmlformats.org/officeDocument/2006/relationships/hyperlink" Target="https://www.sec.gov/Archives/edgar/data/1853513/000095017022004616/mcw-ex10_14.htm" TargetMode="External"/><Relationship Id="rId348" Type="http://schemas.openxmlformats.org/officeDocument/2006/relationships/hyperlink" Target="https://www.sec.gov/Archives/edgar/data/1853513/000095017023004337/mcw-ex10_20.htm" TargetMode="External"/><Relationship Id="rId349" Type="http://schemas.openxmlformats.org/officeDocument/2006/relationships/hyperlink" Target="https://www.sec.gov/Archives/edgar/data/1853513/000095017023016884/mcw-ex10_2.htm" TargetMode="External"/><Relationship Id="rId350" Type="http://schemas.openxmlformats.org/officeDocument/2006/relationships/hyperlink" Target="https://www.sec.gov/Archives/edgar/data/1853513/000095017024019105/mcw-ex10_23.htm" TargetMode="External"/><Relationship Id="rId351" Type="http://schemas.openxmlformats.org/officeDocument/2006/relationships/hyperlink" Target="https://www.sec.gov/Archives/edgar/data/1853513/000095017024019105/mcw-ex10_25.htm" TargetMode="External"/><Relationship Id="rId352" Type="http://schemas.openxmlformats.org/officeDocument/2006/relationships/hyperlink" Target="https://www.sec.gov/Archives/edgar/data/1853513/000095017024079112/mcw-ex10_1.htm" TargetMode="External"/><Relationship Id="rId353" Type="http://schemas.openxmlformats.org/officeDocument/2006/relationships/hyperlink" Target="https://www.sec.gov/Archives/edgar/data/1853513/000095017025010183/mcw-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2025-02-21T05:27:43Z</dcterms:created>
  <dcterms:modified xsi:type="dcterms:W3CDTF">2025-02-21T05:27:43Z</dcterms:modified>
</cp:coreProperties>
</file>