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Matheny Joseph Duane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MISTER CAR WASH,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222 E. 5TH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TUCSON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85705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Mister Car Wash, Inc.</w:t>
              </w:r>
            </w:hyperlink>
            <w:r>
              <w:rPr/>
              <w:t xml:space="preserve"> [ </w:t>
            </w:r>
            <w:r>
              <w:rPr>
                <w:rFonts w:ascii="Times;serif" w:hAnsi="Times;serif"/>
                <w:color w:val="0000FF"/>
                <w:sz w:val="24"/>
                <w:shd w:fill="FFFFFF" w:val="clear"/>
              </w:rPr>
              <w:t>MCW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Innovation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55"/>
        <w:gridCol w:w="919"/>
        <w:gridCol w:w="790"/>
        <w:gridCol w:w="610"/>
        <w:gridCol w:w="339"/>
        <w:gridCol w:w="1154"/>
        <w:gridCol w:w="417"/>
        <w:gridCol w:w="584"/>
        <w:gridCol w:w="1245"/>
        <w:gridCol w:w="961"/>
        <w:gridCol w:w="12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05/19/2026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39,577</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133,404</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05/19/2026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J</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86,428.57</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46,975.43</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05/19/2026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46,975.43</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05/19/2026</w:t>
            </w:r>
          </w:p>
        </w:tc>
        <w:tc>
          <w:tcPr>
            <w:tcW w:w="7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45,000</w:t>
            </w:r>
          </w:p>
        </w:tc>
        <w:tc>
          <w:tcPr>
            <w:tcW w:w="4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Emersyn Matheny Irrevocable Trust</w:t>
            </w:r>
          </w:p>
        </w:tc>
      </w:tr>
    </w:tbl>
    <w:tbl>
      <w:tblPr>
        <w:tblW w:w="1241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39,577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39,577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0.66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222,912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222,912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(1)(4)</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0.46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148,608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148,608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(1)(4)</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 connection with the terms of an Agreement and Plan of Merger, dated February 17, 2026 (the "Merger Agreement"), by and among the Issuer, MCW Parent, LP ("Parent"), Boson Merger Sub, Inc., a wholly owned subsidiary of Parent ("Merger Sub"), and, solely for purposes of certain provisions in the Merger Agreement, Mister Car Wash Holdings, Inc., a wholly owned subsidiary of the Issuer, Merger Sub merged with and into the Issuer, with the Issuer continuing as the surviving corporation (the "Merger"). At the effective time of the Merger (the "Effective Time"), each outstanding share of Common Stock (other than certain shares described in the Merger Agreement) was cancelled and automatically converted into the right to receive $7.00 in cash, without interest (the "Merger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At the Effective Time, each outstanding restricted stock unit fully vested, was cancelled, and converted into the right to receive a lump sum cash payment, without interest, equal to the product of (i) the Merger Consideration multiplied by (ii) the number of shares of Common Stock subject to such award of restricted stock unit.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Pursuant to the Rollover Agreement, dated as of May 18, 2026, among the reporting person and Parent, the reporting person agreed to contribute 86,428.57 shares to Parent (the "Rollover") in exchange for indirect equity interests in Parent, effective immediately prior to the Effective Time, as contemplated by the Merger Agreement. For purposes of the Rollover, the reporting person's shares were valued at $7.00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At the Effective Time, each vested and unvested outstanding stock option, fully vested, was cancelled, and converted into the right to receive a lump sum cash payment, without interest, equal to the product of (i) the excess, if any, of the Merger Consideration over the applicable exercise price per share of the Common Stock subject to such stock option multiplied by (ii) the number of shares of Common Stock subject to such stock option.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Michelle Krall, as Attorney-in-Fact for Joseph Matheny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5480" TargetMode="External"/><Relationship Id="rId5" Type="http://schemas.openxmlformats.org/officeDocument/2006/relationships/hyperlink" Target="http://www.sec.gov/cgi-bin/browse-edgar?action=getcompany&amp;CIK=000185351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971</Words>
  <Characters>5167</Characters>
  <CharactersWithSpaces>6025</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