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465455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66675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60" w:hanging="4079"/>
        <w:spacing w:after="0" w:line="333"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000" w:right="2520" w:hanging="3979"/>
        <w:spacing w:after="0" w:line="342" w:lineRule="auto"/>
        <w:tabs>
          <w:tab w:leader="none" w:pos="47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___to___</w:t>
      </w:r>
    </w:p>
    <w:p>
      <w:pPr>
        <w:spacing w:after="0" w:line="1" w:lineRule="exact"/>
        <w:rPr>
          <w:rFonts w:ascii="MS PGothic" w:cs="MS PGothic" w:eastAsia="MS PGothic" w:hAnsi="MS PGothic"/>
          <w:sz w:val="16"/>
          <w:szCs w:val="16"/>
          <w:color w:val="auto"/>
          <w:highlight w:val="black"/>
        </w:rPr>
      </w:pPr>
    </w:p>
    <w:p>
      <w:pPr>
        <w:ind w:left="43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Mister Car Wash,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4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47-1393909</w:t>
            </w:r>
          </w:p>
        </w:tc>
      </w:tr>
      <w:tr>
        <w:trPr>
          <w:trHeight w:val="152"/>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440" w:type="dxa"/>
            <w:vAlign w:val="bottom"/>
          </w:tcPr>
          <w:p>
            <w:pPr>
              <w:jc w:val="center"/>
              <w:ind w:left="144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43"/>
        </w:trPr>
        <w:tc>
          <w:tcPr>
            <w:tcW w:w="4760" w:type="dxa"/>
            <w:vAlign w:val="bottom"/>
          </w:tcPr>
          <w:p>
            <w:pPr>
              <w:jc w:val="center"/>
              <w:ind w:right="1466"/>
              <w:spacing w:after="0"/>
              <w:rPr>
                <w:sz w:val="20"/>
                <w:szCs w:val="20"/>
                <w:color w:val="auto"/>
              </w:rPr>
            </w:pPr>
            <w:r>
              <w:rPr>
                <w:rFonts w:ascii="Times New Roman" w:cs="Times New Roman" w:eastAsia="Times New Roman" w:hAnsi="Times New Roman"/>
                <w:sz w:val="16"/>
                <w:szCs w:val="16"/>
                <w:b w:val="1"/>
                <w:bCs w:val="1"/>
                <w:color w:val="auto"/>
                <w:w w:val="98"/>
              </w:rPr>
              <w:t>222 E. 5</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Street</w:t>
            </w:r>
          </w:p>
        </w:tc>
        <w:tc>
          <w:tcPr>
            <w:tcW w:w="3440" w:type="dxa"/>
            <w:vAlign w:val="bottom"/>
          </w:tcPr>
          <w:p>
            <w:pPr>
              <w:spacing w:after="0"/>
              <w:rPr>
                <w:sz w:val="21"/>
                <w:szCs w:val="21"/>
                <w:color w:val="auto"/>
              </w:rPr>
            </w:pPr>
          </w:p>
        </w:tc>
      </w:tr>
      <w:tr>
        <w:trPr>
          <w:trHeight w:val="226"/>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6"/>
                <w:szCs w:val="16"/>
                <w:b w:val="1"/>
                <w:bCs w:val="1"/>
                <w:color w:val="auto"/>
                <w:w w:val="99"/>
              </w:rPr>
              <w:t>Tucson, Arizona</w:t>
            </w:r>
          </w:p>
        </w:tc>
        <w:tc>
          <w:tcPr>
            <w:tcW w:w="344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85705</w:t>
            </w:r>
          </w:p>
        </w:tc>
      </w:tr>
      <w:tr>
        <w:trPr>
          <w:trHeight w:val="179"/>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40" w:type="dxa"/>
            <w:vAlign w:val="bottom"/>
          </w:tcPr>
          <w:p>
            <w:pPr>
              <w:jc w:val="center"/>
              <w:ind w:left="14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90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MCW</w:t>
            </w: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9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0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94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5" w:lineRule="exact"/>
        <w:rPr>
          <w:sz w:val="24"/>
          <w:szCs w:val="24"/>
          <w:color w:val="auto"/>
        </w:rPr>
      </w:pPr>
    </w:p>
    <w:p>
      <w:pPr>
        <w:ind w:right="1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40"/>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tabs>
          <w:tab w:leader="none" w:pos="72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5" w:lineRule="exact"/>
        <w:rPr>
          <w:sz w:val="24"/>
          <w:szCs w:val="24"/>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New York Stock Exchange on June 30, 2022, was $880,866,919.</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15, 2023 was 307,295,806.</w:t>
      </w:r>
    </w:p>
    <w:p>
      <w:pPr>
        <w:spacing w:after="0" w:line="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Portions of our Proxy Statement for the 2023 Annual Meeting of Stockholders to be filed with the Securities and Exchange Commission within 120 days of our fiscal year ended December 31, 2022 are incorporated by reference into Part III of this report.</w:t>
      </w:r>
    </w:p>
    <w:p>
      <w:pPr>
        <w:spacing w:after="0" w:line="112" w:lineRule="exact"/>
        <w:rPr>
          <w:sz w:val="24"/>
          <w:szCs w:val="24"/>
          <w:color w:val="auto"/>
        </w:rPr>
      </w:pPr>
    </w:p>
    <w:p>
      <w:pPr>
        <w:ind w:left="100"/>
        <w:spacing w:after="0"/>
        <w:tabs>
          <w:tab w:leader="none" w:pos="1480" w:val="left"/>
          <w:tab w:leader="none" w:pos="3340" w:val="left"/>
          <w:tab w:leader="none" w:pos="4720" w:val="left"/>
          <w:tab w:leader="none" w:pos="6960" w:val="left"/>
          <w:tab w:leader="none" w:pos="846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Deloitte &amp; Touche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Tempe, AZ,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Forward-Looking Statements and Risk Factor Summary</w:t>
            </w:r>
          </w:p>
        </w:tc>
        <w:tc>
          <w:tcPr>
            <w:tcW w:w="6180" w:type="dxa"/>
            <w:vAlign w:val="bottom"/>
            <w:gridSpan w:val="12"/>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102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Market and Industry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8"/>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20" w:type="dxa"/>
            <w:vAlign w:val="bottom"/>
            <w:tcBorders>
              <w:top w:val="single" w:sz="8" w:color="0000FF"/>
              <w:bottom w:val="single" w:sz="8" w:color="0000EE"/>
            </w:tcBorders>
          </w:tcPr>
          <w:p>
            <w:pPr>
              <w:spacing w:after="0"/>
              <w:rPr>
                <w:sz w:val="24"/>
                <w:szCs w:val="24"/>
                <w:color w:val="auto"/>
              </w:rPr>
            </w:pPr>
          </w:p>
        </w:tc>
        <w:tc>
          <w:tcPr>
            <w:tcW w:w="140" w:type="dxa"/>
            <w:vAlign w:val="bottom"/>
            <w:tcBorders>
              <w:top w:val="single" w:sz="8" w:color="0000FF"/>
            </w:tcBorders>
            <w:gridSpan w:val="4"/>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1B.</w:t>
            </w: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1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7A.</w:t>
            </w: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9A.</w:t>
            </w: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9B.</w:t>
            </w: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9C.</w:t>
            </w: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Borders>
              <w:bottom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10.</w:t>
            </w: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11.</w:t>
            </w: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12.</w:t>
            </w: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13.</w:t>
            </w: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00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15.</w:t>
            </w: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16.</w:t>
            </w:r>
          </w:p>
        </w:tc>
        <w:tc>
          <w:tcPr>
            <w:tcW w:w="220" w:type="dxa"/>
            <w:vAlign w:val="bottom"/>
          </w:tcPr>
          <w:p>
            <w:pPr>
              <w:spacing w:after="0"/>
              <w:rPr>
                <w:sz w:val="18"/>
                <w:szCs w:val="18"/>
                <w:color w:val="auto"/>
              </w:rPr>
            </w:pPr>
          </w:p>
        </w:tc>
        <w:tc>
          <w:tcPr>
            <w:tcW w:w="9040" w:type="dxa"/>
            <w:vAlign w:val="bottom"/>
            <w:gridSpan w:val="24"/>
          </w:tcPr>
          <w:p>
            <w:pPr>
              <w:ind w:left="180"/>
              <w:spacing w:after="0"/>
              <w:rPr>
                <w:sz w:val="20"/>
                <w:szCs w:val="20"/>
                <w:color w:val="auto"/>
              </w:rPr>
            </w:pPr>
            <w:r>
              <w:rPr>
                <w:rFonts w:ascii="Times New Roman" w:cs="Times New Roman" w:eastAsia="Times New Roman" w:hAnsi="Times New Roman"/>
                <w:sz w:val="18"/>
                <w:szCs w:val="18"/>
                <w:color w:val="0000FF"/>
              </w:rPr>
              <w:t>Form 10-K Summary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235585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 Summary</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Annual Report on Form 10-K,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 These risks and uncertainties include, but are not limited to:</w:t>
      </w:r>
    </w:p>
    <w:p>
      <w:pPr>
        <w:spacing w:after="0" w:line="74" w:lineRule="exact"/>
        <w:rPr>
          <w:sz w:val="20"/>
          <w:szCs w:val="20"/>
          <w:color w:val="auto"/>
        </w:rPr>
      </w:pPr>
    </w:p>
    <w:p>
      <w:pPr>
        <w:ind w:left="520" w:right="20" w:hanging="512"/>
        <w:spacing w:after="0" w:line="265"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decline in the health of the economy and other factors impacting consumer spending, such as natural disasters, the occurrence of a recession, growing inflation and worsening in economic conditions may affect consumer purchases, reduce demand for our services and materially and adversely affect our business, results of operations and financial condition.</w:t>
      </w:r>
    </w:p>
    <w:p>
      <w:pPr>
        <w:spacing w:after="0" w:line="69" w:lineRule="exact"/>
        <w:rPr>
          <w:rFonts w:ascii="Times New Roman" w:cs="Times New Roman" w:eastAsia="Times New Roman" w:hAnsi="Times New Roman"/>
          <w:sz w:val="18"/>
          <w:szCs w:val="18"/>
          <w:color w:val="auto"/>
        </w:rPr>
      </w:pPr>
    </w:p>
    <w:p>
      <w:pPr>
        <w:ind w:left="520" w:right="58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retain existing customers and maintain or grow the number of Unlimited Wash Club (“UWC”) members, which could adversely affect our business, financial condition and results of operations and rate of growth.</w:t>
      </w:r>
    </w:p>
    <w:p>
      <w:pPr>
        <w:spacing w:after="0" w:line="54"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acquire, open and operate new locations in a timely and cost-effective manner and enter into new markets our financial performance could be materially and adversely affected.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strategies on a timely basis or at all.</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and regulations related to credit card and debit card payments we accept.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 and other increased operating costs could materially and adversely affect our results of operations.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locations may experience difficulty hiring and retaining key or sufficient qualified personnel or increases in labor costs.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or sublease the land and buildings where a number of our locations are situated, which could expose us to possible liabilities and losses.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health and competitive position.</w:t>
      </w:r>
    </w:p>
    <w:p>
      <w:pPr>
        <w:spacing w:after="0" w:line="116"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laws and regulations and changes in such laws and regulations, or failure to comply with existing or future laws and regulations, could adversely affect our business.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locations are subject to certain environmental laws and regulations.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data security and privacy risks that could negatively impact our results of operations or reputation.</w:t>
      </w:r>
    </w:p>
    <w:p>
      <w:pPr>
        <w:spacing w:after="0" w:line="116" w:lineRule="exact"/>
        <w:rPr>
          <w:rFonts w:ascii="Times New Roman" w:cs="Times New Roman" w:eastAsia="Times New Roman" w:hAnsi="Times New Roman"/>
          <w:sz w:val="18"/>
          <w:szCs w:val="18"/>
          <w:color w:val="auto"/>
        </w:rPr>
      </w:pPr>
    </w:p>
    <w:p>
      <w:pPr>
        <w:ind w:left="520" w:right="70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and we may incur significant costs in enforcing or defending, our intellectual property and other proprietary rights.</w:t>
      </w:r>
    </w:p>
    <w:p>
      <w:pPr>
        <w:spacing w:after="0" w:line="54"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or may decline regardless of our operating performance, resulting in substantial losses for investors purchasing shares of our common stock.</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68" w:right="479" w:bottom="1440" w:gutter="0" w:footer="0" w:header="0"/>
        </w:sectPr>
      </w:pPr>
    </w:p>
    <w:bookmarkStart w:id="3" w:name="page4"/>
    <w:bookmarkEnd w:id="3"/>
    <w:p>
      <w:pPr>
        <w:spacing w:after="0" w:line="288" w:lineRule="auto"/>
        <w:rPr>
          <w:sz w:val="20"/>
          <w:szCs w:val="20"/>
          <w:color w:val="auto"/>
        </w:rPr>
      </w:pPr>
      <w:r>
        <w:rPr>
          <w:rFonts w:ascii="Times New Roman" w:cs="Times New Roman" w:eastAsia="Times New Roman" w:hAnsi="Times New Roman"/>
          <w:sz w:val="17"/>
          <w:szCs w:val="17"/>
          <w:color w:val="auto"/>
        </w:rPr>
        <w:t>You are cautioned not to place undue reliance on these forward-looking statements as guarantees of future performance. Although we believe that the expectations reflected in the forward-looking statements are reasonable, our actual results of operations, financial condition and liquidity, and the development of the industry in which we operate, may differ materially from the forward-looking statements included in this Annual Report on Form 10-K.</w:t>
      </w:r>
    </w:p>
    <w:p>
      <w:pPr>
        <w:spacing w:after="0" w:line="5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6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references to “Mister Car Wash,” “Mister,” the “Company,” “we,” “us,” and “our,” refer to Mister Car Wash, Inc. and its subsidiaries on a consolidated basis.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estimates regarding market and industry data that we prepared based on management’s knowledge and experience in the markets in which we operate, together with information obtained from various sources, including publicly available information, industry reports and publications, surveys, our customers, distributors, suppliers, trade and business organizations and other contacts in the markets in which we operate. Management estimates are derived from publicly available information released by independent industry analysts and third-party sources, as well as data from our internal research, and are based on assumptions made by management upon reviewing such data and our knowledge of such industry and markets which we believe to be reasonable. In presenting this information, we have made certain assumptions that we believe to be reasonable based on such data and other similar sources and on our knowledge of, and our experience to date in, the markets for the services we offer. Market share data is subject to change and may be limited by the availability of raw data, the voluntary nature of the data gathering process and other limitations inherent in any statistical survey of market shares. In addition, customer preferences are subject to change. Accordingly, you are cautioned not to place undue reliance on such market share data. References herein to the markets in which we conduct our business refer to the geographic metropolitan areas in which we operate our locations.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offering express exterior and interior cleaning services to customers across 436 car wash locations in 21 states, as of December 31, 2022. Founded in 1996, we employ an efficient, repeatable and scalable process, which we call the “Mister Experience,” to deliver a clean, dry and shiny car every time. The core pillars of the “Mister Experience” are providing the highest quality car wash and ensuring the experience is quick and convenient. We offer a monthly subscription program, Unlimited Wash Club ® ("UWC"), as a flexible, quick and convenient option for customers to keep their cars clean.</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purpose is simple: Inspire People to Shine®. This starts with our people. We attract and retain a pool of talent by investing in their training and development through our specialized programs and our MisterLearn training platform that allows us to develop and promote entry-level team members to leadership roles. As a result, our team members are highly engaged and deliver memorable experiences to our customers. We have proven our people-first approach is scalable and has enabled us to develop a world class team, comprised of both internally developed talent and external hires from top service organizations. We believe our purpose-driven culture is critical to our success.</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believe Mister Car Wash offers an affordable, feel-good experience, enjoyed by all who value a clean, dry and shiny car. As we grow and to serve the approximately 276 million registered vehicles in the United States as of the end of 2022, we are dedicated to putting our team members first and delivering a consistent, convenient and high-quality car wash experience at scale.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car wash locations consist of two formats: (a) Express Exterior Locations (360 locations as of December 31, 2022) and (b) Interior Cleaning Locations (76 locations as of December 31, 2022). All locations offer express exterior wash packages and have exterior-only lanes. Every wash includes our T3 Cleaning Conditioner, Wheel Cleaner, and Dynamic Dry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Express Exterior Locations</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Express Exterior Locations offer self-drive exterior cleaning services and include free vacuums available for customer use. Customers purchase a wash or sign-up for a UWC membership through sales kiosks or assisted by team members and remain in their vehicle through the tunnel and wash process. Customers have the option to use free self-serve vacuums at any time before or after their exterior wash.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Interior Cleaning Locations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Interior Cleaning Locations offer exterior and interior cleaning services, including vacuuming by our team members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Customers purchase a wash or sign-up for a UWC membership through sales kiosks or assisted by team members and either remain in their vehicle through the tunnel and wash process or wait in the lobby. Customers who purchase interior cleaning services have their vehicles vacuumed and cleaned by Mister team members.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serve a diverse mix of customers, which include individual retail customers and UWC Members, which include both retail and corporate customers. Given the broad appeal of our services, we have a wide variety of customers spanning a broad set of demographics. The portfolio of cars serviced across our locations is diverse and represents a balance across new and old cars and across all vehicle price points. Our customer service, convenient locations and easy-to-manage membership programs have helped position our locations as the “go-to” destinations for our customers’ car wash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jc w:val="both"/>
        <w:ind w:right="360"/>
        <w:spacing w:after="0" w:line="257" w:lineRule="auto"/>
        <w:rPr>
          <w:sz w:val="20"/>
          <w:szCs w:val="20"/>
          <w:color w:val="auto"/>
        </w:rPr>
      </w:pPr>
      <w:r>
        <w:rPr>
          <w:rFonts w:ascii="Times New Roman" w:cs="Times New Roman" w:eastAsia="Times New Roman" w:hAnsi="Times New Roman"/>
          <w:sz w:val="18"/>
          <w:szCs w:val="18"/>
          <w:color w:val="auto"/>
        </w:rPr>
        <w:t>We are the largest national car wash brand and have developed extensive resources and capabilities over our 25-year history. Our scale, consistency of operations at every location and culture of continuous improvement have allowed us to develop an efficient and high-quality customer experience with every wash.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ind w:right="140"/>
        <w:spacing w:after="0" w:line="281" w:lineRule="auto"/>
        <w:rPr>
          <w:sz w:val="20"/>
          <w:szCs w:val="20"/>
          <w:color w:val="auto"/>
        </w:rPr>
      </w:pPr>
      <w:r>
        <w:rPr>
          <w:rFonts w:ascii="Times New Roman" w:cs="Times New Roman" w:eastAsia="Times New Roman" w:hAnsi="Times New Roman"/>
          <w:sz w:val="18"/>
          <w:szCs w:val="18"/>
          <w:color w:val="auto"/>
        </w:rPr>
        <w:t>We believe our key differentiators include our unified national brand, robust training &amp; development programs which generate a talent pipeline, dedicated regional support infrastructure, sophisticated technology and proprietary product formulation, and strategic market density "network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Growth Drivers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UWC Members to Drive Predictable Earnings Growth and Higher Annual Customer Spend</w:t>
      </w:r>
    </w:p>
    <w:p>
      <w:pPr>
        <w:spacing w:after="0" w:line="1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believe there is an opportunity to grow UWC penetration further in core, acquired and greenfield locations. In 2022, we increased overall UWC penetration from 64% to 68% of total wash sales. We estimate that the average UWC Member spends more than four times the retail car wash consumer, providing us an opportunity to increase our sales as penetration increases. At both new greenfield and acquired locations, we have developed proven processes for growing UWC membership per location.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Upon Our Established Success in Opening Greenfield Locations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2022, we successfully opened 28 greenfield locations and expect to lead our future location growth through greenfield locations. We have developed a process for opening new greenfield locations, from site selection to post-opening local marketing initiatives, which has driven our greenfield performance consistently over time. We plan to continue to invest in this part of our growth strategy and have a development pipeline for future locations in existing and adjacent markets nationwide.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Opportunistic Acquisitions in Highly Fragmented Industry</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will continue to employ a disciplined approach to acquisitions, carefully selecting locations that meet our criteria for a potential Mister Car Wash site. We have a track record of location growth through acquisitions and have a process for integrating acquired locations, which includes a variety of upgrades to each location that has led to the successful integration of over 100 acquisitions during our history.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Scale Efficiencies and Robust Free Cash Flow Generation</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We will continue to utilize our scale to drive operating leverage as our business grows. As we open and acquire new locations and maximize throughput at our existing locations through our ongoing focus on operational excellence, we believe we will have an opportunity to generate meaningful efficiencies of scale.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lead with a unified national brand across our entire footprint. To acquire, convert and retain our customers at a local level, we use a mix of traditional and digital marketing tactics and channels to emphasize our convenient, easy, and high-quality wash experience.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car wash industry is fragmented, and we compete with a variety of operators. Competitors include national, regional and local independent car wash operators, and other retailers (including gasoline and convenience retailers), each of which offer car washes. We believe our scale allows us to compete effectively due to our convenience, quality, price, and service.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Products and Advanced Technology</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Our research and development team is responsible for car wash processes, equipment and technology improvements. The team tests new products, formulations, processes and ideas in select markets before rolling out improvement and changes across the broader platform. Through continuous research and development, Mister Car Wash has formulated a balanced wash process that factors in conveyor length, line speed, water quality, mechanical equipment, ambient temperature and soil conditions.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Distribution</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maintain long-term relationships with our key vendors. We believe our scale and large purchase quantities provide us leverage in securing competitive pricing. Our key purchases include car wash equipment and parts and wash chemicals.</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While we maintain a limited stock of parts and supplies for repairs and maintenance, most equipment, chemicals, and other supplies are purchased on an as-needed basis, which generally are shipped directly from the vendors to our locations. We have deep industry knowledge and maintain relationships with previous and prospective vendors to quickly address issues that may arise with our current supply chain.</w:t>
      </w:r>
    </w:p>
    <w:p>
      <w:pPr>
        <w:spacing w:after="0" w:line="6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In 2018, we entered into an agreement with a supplier of a comprehensive suite of hardware, software, and management systems for our car wash locations which better track our membership and customer loyalty programs, streamline our operations and enhance our ability to track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Trademarks</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own intellectual property, including patents, patent applications, technology, trade secrets, know-how and trademarks in the United States and internationally. As of December 31, 2022, we had approximately 47 trademark registrations and applications, including registrations for “Mister Car Wash,” “Hotshine,” “Mister Hotshine” and “Unlimited Wash Club,” and held one U.S. patent, one foreign patent and one pending U.S. patent application. Our issued patents are expected to expire between 2023 and 2025. We have also registered the Internet domain name: “mistercarwash.com”.</w:t>
      </w:r>
    </w:p>
    <w:p>
      <w:pPr>
        <w:spacing w:after="0" w:line="7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and, therefore, we devote resources to the protection of our trademarks and proprietary rights. However, we believe that no single patent, trademark or intellectual property asset is material in relation to our business as a whole.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As a result of our presence in certain markets that are subject to seasonal weather patterns, some of our business is seasonal. However, our 21-state geographic diversity typically limits the weather impacts of a specific region on overall performance. Additionally, we do experience a large majority of sales of UWC memberships during the first six months of the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centered around our purpose of Inspiring People to Shine, and that starts with our team members. To recruit and retain the most qualified team members in the industry, we focus on treating our team members well by paying them competitive wages, offering them attractive benefit packages, offering robust training and development opportunities, and providing an operational support infrastructure with opportunities for upward mobility. We believe satisfied employees are more productive, are more likely to have a positive impact on other employees around them and are more likely to deliver great customer service.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 Members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Throughout 2022, we focused our efforts on refining our staffing model to ensure our wash locations run as efficiently as possible. This will allow us to continue our focus on competitive wages and benefits as well as investing in the training and development of our team members. We invest in the training and development of our team members through our specialized programs and our MisterLearn training platform that allows us to develop and promote entry-level team members to leadership roles. As a result, our team members are highly engaged and deliver memorable experiences to our customers. Through these efforts, we expect to build strength in our bench of future leaders while increasing retention and diversity.</w:t>
      </w:r>
    </w:p>
    <w:p>
      <w:pPr>
        <w:spacing w:after="0" w:line="74"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As of December 31, 2022, we employed approximately 6,350 team members, which is a 6% reduction from the prior year, even while adding 40 locations throughout the year. This reduction was achieved primarily through natural attrition combined with more precise staffing guidelines for our wash locations and converting eight of our interior clean locations to express locations.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Environmental Matters &amp; Other Governmental Regulation</w:t>
      </w:r>
    </w:p>
    <w:p>
      <w:pPr>
        <w:spacing w:after="0" w:line="12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We are subject to various laws and regulations, including those governing labor and employment including minimum wages and paid sick time, workplace safety, employee and public health including COVID-19, consumer protection, recurring debit and credit card charges, information security, consumer protection, data privacy, marketing and advertising, environmental protection and compliance, including recycling, waste and water usage, zoning and land use, taxation and public company compliance. We monitor changes in these laws and believe that we are in material compliance with applicable laws.</w:t>
      </w:r>
    </w:p>
    <w:p>
      <w:pPr>
        <w:spacing w:after="0" w:line="5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and regulations, including those relating to ownership and operation of underground storage tanks; the release or discharge of regulated materials into the air, water and soil; the generation, storage, handling, use, transportation and disposal of regulated materials, including wastes; the exposure of persons to hazardous materials; remediation of contaminated soil and groundwater; and the health and safety of employees dedicated to such transportation and storage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regulations can restrict or impact our business activities in many ways, such as:</w:t>
      </w:r>
    </w:p>
    <w:p>
      <w:pPr>
        <w:spacing w:after="0" w:line="117" w:lineRule="exact"/>
        <w:rPr>
          <w:sz w:val="20"/>
          <w:szCs w:val="20"/>
          <w:color w:val="auto"/>
        </w:rPr>
      </w:pPr>
    </w:p>
    <w:p>
      <w:pPr>
        <w:ind w:left="520" w:right="240" w:hanging="512"/>
        <w:spacing w:after="0" w:line="28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acquisition of certifications, registrations, permits or other authorizations or the provision of financial assurances in connection with the transportation, storage and sale of hazardous substances and other regulated activities;</w:t>
      </w:r>
    </w:p>
    <w:p>
      <w:pPr>
        <w:spacing w:after="0" w:line="54"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remedial action to mitigate releases of petroleum hydrocarbons, hazardous substances or wastes caused by our operations or attributable to former operators;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capital expenditures to comply with environmental pollution control, cathodic protection or release detection requirements;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enjoining the operations of facilities deemed to be in noncompliance with environmental laws and regulations;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substantial liabilities for pollution resulting from our operations.</w:t>
      </w:r>
    </w:p>
    <w:p>
      <w:pPr>
        <w:spacing w:after="0" w:line="11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Compliance with existing laws, rules, and regulations has not historically had a material impact on our capital expenditures, earnings or competitive position. With respect to acquired locations, we conduct due diligence regarding potential exposure to environmental liabilities and overall regulatory compliance but cannot be certain that we have identified or will identify all adverse environmental conditions or non-compliance with applicable laws, rules and regulations.</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For further discussion, see Part I, Item 1A. “Risk Factors – Risks Related to Governmental Regulation – Our locations are subject to certain environmental laws and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www.mistercarwash.com</w:t>
      </w:r>
      <w:r>
        <w:rPr>
          <w:rFonts w:ascii="Times New Roman" w:cs="Times New Roman" w:eastAsia="Times New Roman" w:hAnsi="Times New Roman"/>
          <w:sz w:val="18"/>
          <w:szCs w:val="18"/>
          <w:color w:val="auto"/>
        </w:rPr>
        <w:t>. We post, and stockholders may access without charge, the Company's recent filings and any amendments of its annual reports on Form 10-K, Quarterly reports on Form 10-Q, Current Reports on Form 8-K and its Proxy Statement as soon as reasonably practicable after such reports are filed with the Securities and Exchange Commission ("SEC").</w:t>
      </w:r>
    </w:p>
    <w:p>
      <w:pPr>
        <w:spacing w:after="0" w:line="6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 w:cs="Times New Roman" w:eastAsia="Times New Roman" w:hAnsi="Times New Roman"/>
          <w:sz w:val="18"/>
          <w:szCs w:val="18"/>
          <w:i w:val="1"/>
          <w:iCs w:val="1"/>
          <w:color w:val="auto"/>
        </w:rPr>
        <w:t>https://ir.mistercarwash.com</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reference to the Company's or other websites herein does not constitute incorporation by reference of the information contained on or available through our website, and you should not consider such information to be a part of this Form 10-K.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all of the other information included in this Annual Report on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including inflation and supply chain disruptions, could adversely affect our operations.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General global economic downturns and macroeconomic trends, including heightened inflation, capital market volatility, interest rate fluctuations, and economic slowdown or recession, may result in unfavorable conditions that could negatively affect demand for our products and exacerbate some of the other risks that affect our business, financial condition and results of operations. Domestic markets experienced significant inflationary pressures in fiscal year 2022 and inflation rates in the U.S. are currently expected to continue at elevated levels for the near-term. In addition, the Federal Reserve in the U.S. has raised, and may continue to raise, interest rates in response to concerns about inflation, which, coupled with reduced government spending and volatility in financial markets, may have the effect of further increasing economic uncertainty and heightening these risks. Interest rate increases or other government actions taken to reduce inflation could also result in recessionary pressures. Additionally, these risks which are beyond our control, could adversely affect operating costs and administrative expenses such as wages, benefits, supplies and inventory costs, legal claims, insurance costs and borrowing costs. Any such increase could reduce our sales and profit margins if we do not choose, or are unable, to pass the increased costs to our customers.</w:t>
      </w:r>
    </w:p>
    <w:p>
      <w:pPr>
        <w:spacing w:after="0" w:line="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Furthermore, consumer purchases of car washes decline during periods when economic or market conditions are unstable or weak. Reduced consumer confidence and spending cutbacks may result in reduced demand for our services, which could result in lost sales. Reduced demand also may require increased selling and promotional expenses, thereby impacting our profitability. Changes in areas around our locations or to the adjacent streets that reduce car traffic or otherwise render the locations unsuitable, could cause our sales to be less than expected. Prolonged or pervasive economic downturns could slow the pace of new greenfield openings, reduce comparable sales or cause us to close certain locations, which could have a material negative impact on our financial performance.</w:t>
      </w:r>
    </w:p>
    <w:p>
      <w:pPr>
        <w:spacing w:after="0" w:line="7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sustain or increase demand for our UWC subscription program, which could adversely affect our business, financial condition and results of operations and rate of growth.</w:t>
      </w:r>
    </w:p>
    <w:p>
      <w:pPr>
        <w:spacing w:after="0" w:line="5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Because our UWC subscription program accounted for 68% of our total wash sales in 2022, our continued business and revenue growth is dependent on our ability to continue to attract and retain UWC Members. We view the number of UWC Members and the growth in the number of UWC Members on a net basis from period to period as key indicators of our revenue growth. We may not be successful, however, in continuing to grow the number of UWC Members on a net basis from period to period and our membership levels may decline.</w:t>
      </w:r>
    </w:p>
    <w:p>
      <w:pPr>
        <w:spacing w:after="0" w:line="7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UWC Members can cancel their membership at any time and may decide to cancel or forego memberships due to any number of reasons, including increased prices for UWC membership or for our services, quality issues with our services, harm to our reputation or brand, seasonal usage, or individuals’ personal economic pressures. Increasing governmental regulation of automatically renewing subscription programs may negatively impact our marketing of this program. A decline in the number of UWC Members could materially and adversely affect our business, results of operations and financial condition.</w:t>
      </w:r>
    </w:p>
    <w:p>
      <w:pPr>
        <w:spacing w:after="0" w:line="27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open and operate new locations in a timely and cost-effective manner or fail to successfully enter new markets, our financial performance could be materially and adversely affected.</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Our growth strategy depends on growing our location base, both through greenfield expansion and acquisitions, in existing and new geographic regions and operating our new locations successfully. Our ability to execute our growth strategy on favorable terms and successfully operate new locations may be exposed to significant risks, including, but not limited to, the following: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acquire a desired location or property because of competition from other investors with significant capital;</w:t>
      </w:r>
    </w:p>
    <w:p>
      <w:pPr>
        <w:spacing w:after="0" w:line="116"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acquire a desired location or property, competition from other potential acquirers may significantly increase the purchase price or result in other less favorable terms;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complete an acquisition because we cannot obtain debt and/or equity financing on favorable terms or at all;</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spend more than budgeted amounts to make necessary improvements or renovations to acquired locations;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quickly and efficiently integrate acquired locations into our existing operations;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properties may be subject to tax reassessment, which may result in higher-than-expected property tax payments;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staff at acquired locations or inability to attract, retain and motivate staff necessary for our expanded operations;</w:t>
      </w:r>
    </w:p>
    <w:p>
      <w:pPr>
        <w:spacing w:after="0" w:line="116"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locations or greenfield expansions in regions where we have not historically conducted business may subject us to new operational risks, laws, regulations, staff expectations, customs, and practices; and</w:t>
      </w:r>
    </w:p>
    <w:p>
      <w:pPr>
        <w:spacing w:after="0" w:line="54" w:lineRule="exact"/>
        <w:rPr>
          <w:rFonts w:ascii="Times New Roman" w:cs="Times New Roman" w:eastAsia="Times New Roman" w:hAnsi="Times New Roman"/>
          <w:sz w:val="18"/>
          <w:szCs w:val="18"/>
          <w:color w:val="auto"/>
        </w:rPr>
      </w:pPr>
    </w:p>
    <w:p>
      <w:pPr>
        <w:ind w:left="520" w:right="140" w:hanging="512"/>
        <w:spacing w:after="0" w:line="26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properties subject to liabilities and without any recourse, or with only limited recourse, with respect to unknown liabilities, such as liabilities for the remediation of undisclosed environmental contamination; and claims for indemnification by general partners, directors, officers, and others indemnified by the former owners of the properties.</w:t>
      </w:r>
    </w:p>
    <w:p>
      <w:pPr>
        <w:spacing w:after="0" w:line="69" w:lineRule="exact"/>
        <w:rPr>
          <w:sz w:val="20"/>
          <w:szCs w:val="20"/>
          <w:color w:val="auto"/>
        </w:rPr>
      </w:pPr>
    </w:p>
    <w:p>
      <w:pPr>
        <w:ind w:right="260" w:firstLine="45"/>
        <w:spacing w:after="0" w:line="265" w:lineRule="auto"/>
        <w:rPr>
          <w:sz w:val="20"/>
          <w:szCs w:val="20"/>
          <w:color w:val="auto"/>
        </w:rPr>
      </w:pPr>
      <w:r>
        <w:rPr>
          <w:rFonts w:ascii="Times New Roman" w:cs="Times New Roman" w:eastAsia="Times New Roman" w:hAnsi="Times New Roman"/>
          <w:sz w:val="18"/>
          <w:szCs w:val="18"/>
          <w:color w:val="auto"/>
        </w:rPr>
        <w:t>The realization of any of the above risks could significantly and adversely affect our ability to meet our financial expectations, our financial condition, results of operations, and cash flows, the market price of our common stock, and our ability to satisfy our debt service obligations. We cannot assure you that our growth strategy will be successful, or that such expansion will be completed in the time frames or at the costs we estimate.</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there can be no assurance that newly opened or acquired locations will achieve sales or profitability levels comparable to those of our existing locations in the time periods estimated by us, or at all. In instances where new or acquired locations are geographically proximate to existing locations, such locations may also adversely impact the comparable store sales growth of our existing car wash locations. If our locations fail to achieve, or are unable to sustain, acceptable total sales and profitability levels, our business may be materially and adversely affected, and we may incur significant costs associated with the early closure of such locations. Our plans to accelerate the growth of our location base may increase this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strategies on a timely basis or at all.</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are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materially and adversely affected.</w:t>
      </w:r>
    </w:p>
    <w:p>
      <w:pPr>
        <w:spacing w:after="0" w:line="7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In addition, any factor that diminishes our reputation or that of our management, including failing to meet the expectations of our customers, could make it substantially more difficult for us to attract new customers. The marked increase in the use of social media platforms that provide individuals with access to a broad audience of consumers and other interested persons results in the opportunity for dissemination of information, including inaccurate information.</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Information posted may be averse to our interests or inaccurate, each of which may harm our performance, prospects or business. The harm may be immediate without affording us an opportunity for redress or correction.</w:t>
      </w:r>
    </w:p>
    <w:p>
      <w:pPr>
        <w:spacing w:after="0" w:line="7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If we do not successfully maintain and enhance our reputation and brand recognition with our customers, our business may not grow and we could lose our relationships with customers, which would materially and adversely affect our business, results of operations and financial condition.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and regulations related to credit card and debit card payments we accept.</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accept payments through credit card and debit card transactions. For credit card and debit card payments, we pay interchange and other fees, which may increase over time. An increase in those fees would require us to either increase the prices we charge for our memberships, which could cause us to lose UWC Members or suffer an increase in our operating expenses, either of which could harm our operating results.</w:t>
      </w:r>
    </w:p>
    <w:p>
      <w:pPr>
        <w:spacing w:after="0" w:line="6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If we or any of our processing vendors have problems with our billing software or the billing software malfunctions, it could have an adverse effect on our member satisfaction and could cause one or more of the major credit card companies to disallow our continued use of their payment products. In addition, if our billing software fails to work properly and, as a result, we do not automatically charge our UWC Members’ credit cards or debit cards on a timely basis or at all, we could lose membership revenue, which would materially and adversely affect our operating results.</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fail to adequately control fraudulent credit card and debit card transactions, we may face civil liability, diminished public perception of our security measures and significantly higher credit card and debit card related costs, each of which could adversely affect our business, financial condition and results of operations. We are subject to a number of federal regulations relating to the use of debit and credit cards, such as the Electronic Funds Act and the Truth in Lending Act of 1968, which provide guidelines and parameters for payment processing on debit cards and credit cards, respectively, and certain state regulations relating to automatic renewal, including, among others, the California Business &amp; Professional Code Section 17601-17606, as amended, which provides requirements we must follow for the automatic renewal of subscription fees such as those charged to our UWC Members. We may also face legal liability or reputational harm for any failure, or any allegation that we have failed, to comply with such consumer protection laws relating to consumer debit or credit transactions. We also are subject to the Payment Card Industry Data Security Standard ("PCI DSS"), issued by the PCI Council and to the American National Standards Institute ("ANSI") data encryption standards and payment network security operating guidelines, as well as the Fair and Accurate Credit Transactions Act ("FACTA"). Failure to comply with these guidelines or standards may result in the imposition of financial penalties or the allocation by debit and credit card companies of the costs of fraudulent charges to us.</w:t>
      </w:r>
    </w:p>
    <w:p>
      <w:pPr>
        <w:spacing w:after="0" w:line="8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Any material interruptions or failures in our payment related systems could have a material adverse effect on our business, results of operations and financial condition. If we are unable to comply with the security standards established by banks and the payment card industry, we may be subject to fines, restrictions and expulsion from card acceptance programs, which could materially and adversely affect our retail operations and the UWC program.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most of our car wash equipment and certain supplies.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a limited number of suppliers for most of the car wash equipment and certain other supplies we use in our operations. Our ability to secure such equipment and supplies from alternative sources as needed may be time-consuming or expensive or may cause a temporary disruption in our supply chain. In recent months, we have anticipated intermittent shortages of certain supplies from our standard vendors and, accordingly, we enhanced our sourcing procedures to identify alternative suppliers and avoid any actual shortages, albeit sometimes at additional cost. Additionally, we do not have a supplier contract with our main supplier of car wash tunnel equipment, and our orders are based on purchase orders. As such, we are subject to the risk that a supplier will not continue to provide us with the required car wash tunnel equipment. We also do not carry a significant inventory of such equipment. Increasingly during 2021, the delivery times were extended on certain equipment for our greenfield pipeline but, through alternative sourcing, we have thus far avoided any significant disruptions. Shortages or interruptions in the supply of car wash equipment and other supplies could occur for reasons within or beyond the control of us and the supplier. Decreased fuel supplies are anticipated to increase fuel prices, which may adversely impact our transportation costs. Any shortage or interruption to our supply chain could reduce our sales and profit margins, which in turn may materially and adversely affect our business and results of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Our locations may experience difficulty hiring and retaining qualified personnel, resulting in higher labor costs.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operation of our locations requires both entry-level and skilled team members, and trained personnel continue to be in high demand and short supply at competitive compensation levels in some areas, which is likely to result in increased labor costs. Accordingly, we may experience increased difficulty hiring and maintaining such qualified personnel. In addition, the formation of unions may increase the operating expenses of our locations. Any such future difficulties could result in a decline in customer service negatively impacting sales at our locations, which could in turn materially and adversely affect our business, results of operations and financial condition.</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of our key personnel have worked for us for a significant amount of time or were recruited by us specifically due to their experience. Our success depends in part upon the reputation and influence within the industry of our senior managers. Each of our executive officers and other key employees may terminate his or her relationship with us at any time and the loss of the services of one or a combination of our senior executives or members of our senior management team may significantly delay or prevent the achievement of our business or development objectives and could materially harm our business. Further, contractual obligations related to confidentiality and noncompetition may be ineffective or unenforceable, and departing employees may share our proprietary information with competitors in ways that could adversely impact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lease or sublease the land and buildings where a number of our locations are situated, which could expose us to possible liabilities and losses.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lease the land and buildings where a significant number of our locations are located. The terms of the leases and subleases vary in length, with primary terms (i.e., before consideration of option periods) expiring on various dates. In addition, we may not be able to terminate a particular lease if or when we would like to do so, which could prevent us from closing or relocating certain underperforming locations. Our obligations to pay rent are generally non-cancelable, even if the location operated at the leased or subleased location is closed. Thus, if we decide to close locations, we generally are required to continue paying rent and operating expenses for the balance of the lease term. The performance of any of these obligations may be expensive. We may not assign or sublet the leased locations without consent of the landlord. When we assign or sublease vacated locations, we may remain liable on the lease obligations if the assignee or sub-lessee does not perform. Accordingly, we are subject to the risks associated with leasing locations which can have a material adverse effect on us.</w:t>
      </w:r>
    </w:p>
    <w:p>
      <w:pPr>
        <w:spacing w:after="0" w:line="29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As leases expire, we may be unable to negotiate renewals on commercially acceptable terms or at all, which could cause us to close locations in desirable locations or otherwise negatively affect profits, which in turn could materially and adversely affect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cash from our operating activities to make lease payments for our leases, which may strain our cash flow.</w:t>
      </w:r>
    </w:p>
    <w:p>
      <w:pPr>
        <w:spacing w:after="0" w:line="33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depend on net cash provided by operating activities to pay our rent and other lease expenses and to fulfill our other cash needs. If our business does not generate sufficient cash provided by operating activities, and sufficient funds are not otherwise available to us from borrowings under our First Lien Term Loan and Revolving Commitment or from other sources, we may not be able to service our lease expenses, grow our business, respond to competitive challenges or fund our other liquidity and capital needs, which would harm our business.</w:t>
      </w:r>
    </w:p>
    <w:p>
      <w:pPr>
        <w:spacing w:after="0" w:line="28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spacing w:after="0" w:line="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subject to income taxation at the federal and state level due to the scope of our operations. We have also recorded non-income tax-based liabilities such as those related to sales, property, payroll and withholding tax. We have structured our operations in a manner designed to comply with current prevailing laws but the Internal Revenue Service, state and/or local taxing authorities could seek to impose incremental or new taxes on our business operations. In addition, changes in federal and state tax rates, laws and regulations may result in additional income and non-income tax liabilities being imposed on us and have an adverse effect on our effective tax rate, results of</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3" w:name="page14"/>
    <w:bookmarkEnd w:id="13"/>
    <w:p>
      <w:pPr>
        <w:ind w:right="240"/>
        <w:spacing w:after="0" w:line="281" w:lineRule="auto"/>
        <w:rPr>
          <w:sz w:val="20"/>
          <w:szCs w:val="20"/>
          <w:color w:val="auto"/>
        </w:rPr>
      </w:pPr>
      <w:r>
        <w:rPr>
          <w:rFonts w:ascii="Times New Roman" w:cs="Times New Roman" w:eastAsia="Times New Roman" w:hAnsi="Times New Roman"/>
          <w:sz w:val="18"/>
          <w:szCs w:val="18"/>
          <w:color w:val="auto"/>
        </w:rPr>
        <w:t>operations and financial condition. Lastly, changes in the scope of our operations, including expanding into new geographies, could increase our income tax liabilities and have an adverse impact on our effective tax 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competitive position.</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As of December 31, 2022, we had $895.5 million of indebtedness, net of unamortized debt issuance costs, outstanding pursuant to an amended and restated first lien credit agreement entered into on May 14, 2019 “(First Lien Term Loan”).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capital needs. To the extent we are required to use our cash flow from operations or the proceeds of any future financing to service our debt instead of funding working capital, capital expenditures, or acquisitions, we will be less able to plan for, or react to, changes in our business, industry and in the economy generally. This places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 make it more difficult for us to obtain additional capital and to pursue business opportunities, including potential acquisitions.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5, 2021, the ICE Benchmark Administration (“IBA”), the administrator of LIBOR, and the United Kingdom’s Financial Conduct Authority (the “FCA”), the regulatory supervisor of the IBA, announced in public statements (the “Announcements”) that the final publication or representativeness date for one-week and two-month USD LIBOR tenors will be December 31, 2021 and all other USD Libor tenors (overnight, one-month, three-month, six-month and 12-month) will be June 20, 2023. As a result, USD LIBOR will not be available for use in agreements and other instruments after the relevant cessation date and may ultimately cease to be utilized in advance of such relevant cessation date. In December 2022, we entered into Amendment No. 4 to our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Facilities impose certain operating and financial restrictions on us that may impair our ability to adapt to changing competitive or economic conditions.</w:t>
      </w:r>
    </w:p>
    <w:p>
      <w:pPr>
        <w:spacing w:after="0" w:line="26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credit agreements governing our Credit Facilities contain, and any agreements evidencing or governing other future debt may contain, certain restrictive covenants that limit our ability, among other things, to engage in certain activities that are in our long-term best interests, including our ability to:</w:t>
      </w:r>
    </w:p>
    <w:p>
      <w:pPr>
        <w:spacing w:after="0" w:line="3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additional debt or amend our debt and other material agreements;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disqualified stock;</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dividends or distributions and redeem, repurchase or retire equity interests;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116" w:lineRule="exact"/>
        <w:rPr>
          <w:rFonts w:ascii="Times New Roman" w:cs="Times New Roman" w:eastAsia="Times New Roman" w:hAnsi="Times New Roman"/>
          <w:sz w:val="18"/>
          <w:szCs w:val="18"/>
          <w:color w:val="auto"/>
        </w:rPr>
      </w:pPr>
    </w:p>
    <w:p>
      <w:pPr>
        <w:ind w:left="5540" w:right="1560" w:hanging="5532"/>
        <w:spacing w:after="0" w:line="281" w:lineRule="auto"/>
        <w:tabs>
          <w:tab w:leader="none" w:pos="5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to pay dividends or grant liens securing the obligations under the credit agreements;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governing documents;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business activities or alter the business conducted by us and our restricted subsidiaries;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consolidations and asset sales.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First Lien Term Loan contains a springing maximum first lien net leverage ratio financial covenant. Our ability to meet this requirement can be affected by events beyond our control, and we may not be able to satisfy such financial covenants. Our ability to comply with these covenants and restrictions may be affected by events and factors beyond our control. Our failure to comply with any of these covenants or restrictions could result in an event of default under our Credit Facilities. An event of default would permit the lending banks under the facility to take certain actions, including terminating all outstanding commitments and declaring all amounts outstanding under our credit facility to be immediately due and payable, including all outstanding borrowings, accrued and unpaid interest thereon, and all other amounts owing or payable with respect to such borrowings and any terminated commitments.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lenders would have the right to proceed against the collateral we granted to them, which includes substantially our assets.</w:t>
      </w:r>
    </w:p>
    <w:p>
      <w:pPr>
        <w:spacing w:after="0" w:line="200" w:lineRule="exact"/>
        <w:rPr>
          <w:sz w:val="20"/>
          <w:szCs w:val="20"/>
          <w:color w:val="auto"/>
        </w:rPr>
      </w:pPr>
    </w:p>
    <w:p>
      <w:pPr>
        <w:spacing w:after="0" w:line="3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we may need to incur additional indebtedness or seek capital through new equity or debt financings, which sources of additional capital may not be available to us on acceptable terms or at all.</w:t>
      </w:r>
    </w:p>
    <w:p>
      <w:pPr>
        <w:spacing w:after="0" w:line="5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intend to continue to make significant investments to support our business growth, respond to business challenges or opportunities, develop new services, enhance our existing services and operating infrastructure and potentially acquire complementary businesses and assets. For the year ended December 31, 2022, our net cash provided by operating activities was $229.2 million. As of December 31, 2022, we had $65.2 million of cash and cash equivalents, which were held for working capital purposes.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the need to:</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infrastructure and our existing services;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assets or services;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availability of sale-leaseback arrangements when we engage in an acquisition;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or other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and adverse effect on our business, results of operations and financial condition.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our subsidiaries for cash to fund operations and expenses, including future dividend payments, if any.</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“Management’s Discussion and Analysis of Financial Condition and Results of Operations—Liquidity and Capital Resources.” The deterioration of the earnings from, or other available assets of, our subsidiaries for any reason could impair their ability to make distributions to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and changes in such laws and regulations, or failure to comply with existing or future laws and regulations, could adversely affect our business.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and frequently changing federal, state and local laws and regulations. We routinely incur significant costs in complying with these regulations. New or existing laws, regulations and policies, liabilities arising thereunder and the related interpretations and enforcement practices, particularly those dealing with minimum wages, paid sick time, workplace safety, employee and public health crisis, such as the COVID-19 pandemic, advertising and marketing, consumer protection, recurring debit and credit card charges, information security, data privacy, environmental protection including recycling, waste, water usage, zoning and land use, taxation and public company compliance, may result in significant added expenses or may require extensive system and operating changes that may be difficult to implement and/or could materially increase our cost of doing business. In addition, we are subject to environmental laws pursuant to which we could be strictly liable for any contamination at our current or former locations, or at third-party waste disposal sites, regardless of our knowledge of or responsibility for such contamination.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locations are subject to certain environmental laws and regulations.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current and former car wash operations and quick lube businesses, as well as our former motor fuel dispensing, are governed by stringent federal, state and local laws and regulations, including environmental regulations of the handling, storage, transportation, import/export, recycling, or disposing of various new and used products the generation, storage and disposal of solid and hazardous wastes, and the release of materials into the environment. Additionally, in the course of our operations, we may generate some amounts of material that may be regulated as hazardous substances.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Pursuant to these laws and regulations, or future changes thereto, we may be required to obtain and maintain approvals or permits for the discharge of wastewater or storm water and are required to develop and implement spill prevention, control and countermeasure plans in connection with on-site storage of significant quantities of motor fuel. We believe that we maintain all required discharge permits necessary to conduct our operations, and further believe we are in substantial compliance with the terms thereof.</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federal Clean Air Act, as amended, (“CAA”) and similar state laws impose requirements on emissions to the air from motor fueling activities in certain areas of the country, including those that do not meet state or national ambient air quality standards. These laws may require the installation of vapor recovery systems to control emissions of volatile organic compounds to the air during the motor fueling process.</w:t>
      </w:r>
    </w:p>
    <w:p>
      <w:pPr>
        <w:spacing w:after="0" w:line="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CAA and comparable state and local laws, permits are typically required to emit regulated air pollutants into the atmosphere. In addition, the federal Clean Water Act ("CWA") and analogous state laws may require us to obtain and maintain individual permits or coverage under general permits for discharges of wastewater or storm water runoff. While we expect to obtain necessary approvals for our operations, as with all governmental permitting processes, there is a degree of uncertainty as to whether a particular permit will be granted, the time it will take for such permit to be issued, and the conditions that may be imposed in connection with the granting of such permit. We are unaware of pending changes to environmental laws and regulations that will have a material adverse effect on our financial condition, results of operations or cash available for distribution to our stockholders; nonetheless, there exists the possibility that new laws or regulations may be imposed in the future that could result in more stringent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6" w:name="page17"/>
    <w:bookmarkEnd w:id="16"/>
    <w:p>
      <w:pPr>
        <w:ind w:right="100"/>
        <w:spacing w:after="0" w:line="265" w:lineRule="auto"/>
        <w:rPr>
          <w:sz w:val="20"/>
          <w:szCs w:val="20"/>
          <w:color w:val="auto"/>
        </w:rPr>
      </w:pPr>
      <w:r>
        <w:rPr>
          <w:rFonts w:ascii="Times New Roman" w:cs="Times New Roman" w:eastAsia="Times New Roman" w:hAnsi="Times New Roman"/>
          <w:sz w:val="18"/>
          <w:szCs w:val="18"/>
          <w:color w:val="auto"/>
        </w:rPr>
        <w:t>and costly compliance requirements that potentially could materially and adversely affect our business. We are not presently aware of any material liability related to the costs of investigations and cleaning up sites of spills, disposals or other releases of hazardous materials at our current or former locations or business operations.</w:t>
      </w:r>
    </w:p>
    <w:p>
      <w:pPr>
        <w:spacing w:after="0" w:line="28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transportation, distribution and storage of motor fuels (diesel fuel and gasoline) and other chemicals are subject to environmental protection and operational safety laws and regulations.</w:t>
      </w:r>
    </w:p>
    <w:p>
      <w:pPr>
        <w:spacing w:after="0" w:line="5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December 31, 2020, the Company had divested its quick lube business but in December 2021 acquired four quick lube operations. As of December 31, 2022, the Company was no longer dispensing gasoline or diesel fuels at any location.</w:t>
      </w:r>
    </w:p>
    <w:p>
      <w:pPr>
        <w:spacing w:after="0" w:line="5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Where releases of motor fuels, petroleum products, chemicals or other substances or wastes have occurred, federal and state laws and regulations require that contamination caused by such releases be assessed and remediated to meet applicable clean-up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Changing Climate, Global Climate Change Regulations and Greenhouse Gas Effects may Adversely Affect our Operations and Financial Performance.</w:t>
      </w:r>
    </w:p>
    <w:p>
      <w:pPr>
        <w:spacing w:after="0" w:line="13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There is continuing concern from members of the scientific community and the general public that emissions of greenhouse gases ("GHG") and other human activities have or will cause significant changes in weather patterns and increase the frequency or severity of extreme weather events, including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Any adverse environmental impact on our locations due to climate change could materially and adversely affect our business and the results of our operations. New federal or state legislation or regulations on greenhouse gas ("GHG") emissions that may be imposed in areas of the United States in which we conduct business and that apply to our operations could adversely affect our business.</w:t>
      </w:r>
    </w:p>
    <w:p>
      <w:pPr>
        <w:spacing w:after="0" w:line="6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If such legislation or regulations are enacted, we could incur increased energy, environmental and other costs and capital expenditures to comply with the limitations.</w:t>
      </w:r>
    </w:p>
    <w:p>
      <w:pPr>
        <w:spacing w:after="0" w:line="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along with other companies in many business sectors, are considering and implementing environmental, social and governance ("ESG") and sustainability strategies, specifically ways to reduce GHG emissions. As a result, our customers may request that changes be made to our products or facilities, as well as other aspects of our business, that increase costs and may require the investment of capital. Failure to provide climate-friendly products or demonstrate GHG reductions could potentially result in loss of market share.</w:t>
      </w:r>
    </w:p>
    <w:p>
      <w:pPr>
        <w:spacing w:after="0" w:line="2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weather conditions including drought and natural hazards may affect the availability of water supplies for use at our car wash locations.</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ability to meet the existing and future water demands at our car wash locations depends on adequate supplies of water. Generally, the water used in our car wash locations is sourced from rivers, lakes, streams and groundwater aquifers and, in some limited instances, through onsite groundwater wells. As such, we typically do not own the water that we use in our operations but instead are dependent on local public and/or private water agencies for most of the water used. Accordingly, governmental restrictions on water use may result in decreased access to water supplies or to temporary suspension of water usage from time to time.</w:t>
      </w:r>
    </w:p>
    <w:p>
      <w:pPr>
        <w:spacing w:after="0" w:line="7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Climate change, drought, overuse of sources of water, the protection of threatened species or habitats or other factors may limit the availability of ground and surface water and our access to water supplies. Ongoing drought conditions currently exist in several areas of the United States, particularly in the western states, where we operate. Governmental restrictions on water use may also result in decreased access to water supplies, which may adversely affect our financial condition and results of operations. Water service interruptions are also possible due to severe weather events, including winter storms and freezing conditions in colder climate locations, high wind conditions in areas known to experience tornados, earthquakes in areas known to experience seismic activity, high water conditions in areas located in or near designated flood plains, hurricanes, and severe electrical storms.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right="100"/>
        <w:spacing w:after="0" w:line="265" w:lineRule="auto"/>
        <w:rPr>
          <w:sz w:val="20"/>
          <w:szCs w:val="20"/>
          <w:color w:val="auto"/>
        </w:rPr>
      </w:pPr>
      <w:r>
        <w:rPr>
          <w:rFonts w:ascii="Times New Roman" w:cs="Times New Roman" w:eastAsia="Times New Roman" w:hAnsi="Times New Roman"/>
          <w:sz w:val="18"/>
          <w:szCs w:val="18"/>
          <w:color w:val="auto"/>
        </w:rPr>
        <w:t>Any interruption in our ability to access water could materially and adversely affect the results of our operations and financial condition. Furthermore, losses from business interruptions or damage to our facilities might not be covered by our insurance policies and such losses may make it difficult for us to secure insurance coverage in the future at acceptable rates.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Information Technology and Data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impact our results of operations or reputation.</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UWC Members), employees and suppliers. The secure processing, maintenance and transmission of this information is critical to our operations.</w:t>
      </w:r>
    </w:p>
    <w:p>
      <w:pPr>
        <w:spacing w:after="0" w:line="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Increased global IT security threats and more sophisticated and targeted computer crime and increased ransomware attacks pose a risk to the security of our computer systems and networks and the confidentiality, availability and integrity of our data. Despite our security measures, we have been subject to cyber-attacks and attempts in the past and our IT systems and infrastructure may continue to be vulnerable to computer viruses, cyber-attacks, security breaches caused by employee error or malfeasance or other disruptions in the future. Though no such incident to date has had a material impact on our business, we cannot ensure that our security efforts will prevent unauthorized access or loss of functionality to our or our third-party providers' systems. Any such incident could compromise our networks and the information stored there could be accessed, publicly disclosed, lost or stolen. A security breach of our computer systems or those of our third-party service providers and business partners could interrupt or damage our operations or harm our reputation, or both. In addition, any such breach, attack, virus or other event could result in costly investigations and litigation, government enforcement actions, civil or criminal penalties, fines, operational changes or other response measures, loss of consumer confidence in our security measures, and negative publicity that could materially and adversely affect our brand, business, results of operations and financial condition. These costs and losses may not be adequately covered by applicable insurance coverage or other contractual rights available to us.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must comply with increasingly and complex privacy and security laws and regulations in the United States. Further, in June 2018 California enacted the California Consumer Privacy Act (the “CCPA”), which went into effect on January 1, 2020. The CCPA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Although there are limited exemptions for health-related information, including Protected Health Information and clinical trial data, the CCPA may increase our compliance costs and potential liability. Further, the California Privacy Rights and Enforcement Act (the “CPRA”), which went into effect on January 1, 2023, significantly amends the CCPA and will impose additional data protection obligations on covered businesses, including additional consumer rights processes, limitations on data uses, new audit requirements for higher risk processing, and opt outs for certain uses of sensitive data. It will also create a new California data protection agency authorized to issue substantive regulations and could result in increased privacy and information security enforcement. Similar laws have been proposed or enacted in other states and at the federal level, and when passed, such laws may have potentially conflicting requirements that would make compliance challenging. Our operations are subject to the Telephone Consumer Protection Act and similar state laws.</w:t>
      </w:r>
    </w:p>
    <w:p>
      <w:pPr>
        <w:spacing w:after="0" w:line="7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As a general matter, compliance with laws,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materially and adversely affect our ability to acquire customers and otherwise materially and adversely affect our business, results of operations and financial condition.</w:t>
      </w:r>
    </w:p>
    <w:p>
      <w:pPr>
        <w:spacing w:after="0" w:line="2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and we may incur significant costs in enforcing or defending, our intellectual property and other proprietary rights.</w:t>
      </w:r>
    </w:p>
    <w:p>
      <w:pPr>
        <w:spacing w:after="0" w:line="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success depends in part on our brand image and our ability to enforce and defend our intellectual property and other proprietary rights and differentiate ourselves from our competitors. We rely upon a combination of trademark,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ind w:right="120"/>
        <w:spacing w:after="0" w:line="253" w:lineRule="auto"/>
        <w:rPr>
          <w:sz w:val="20"/>
          <w:szCs w:val="20"/>
          <w:color w:val="auto"/>
        </w:rPr>
      </w:pPr>
      <w:r>
        <w:rPr>
          <w:rFonts w:ascii="Times New Roman" w:cs="Times New Roman" w:eastAsia="Times New Roman" w:hAnsi="Times New Roman"/>
          <w:sz w:val="18"/>
          <w:szCs w:val="18"/>
          <w:color w:val="auto"/>
        </w:rPr>
        <w:t>patent, trade secret, copyright, and unfair competition laws, and other contractual provisions, to protect our intellectual property and other proprietary rights. We cannot assure you that the steps we take to protect our intellectual property and other proprietary rights will be adequate to prevent the infringement or other violation of such rights by others, including the imitation and misappropriation of our brand, which could damage our brand identity and the goodwill we have created. To the extent that our intellectual property and other proprietary rights are not adequately protected,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which could result in costly redesign efforts, discontinuance of certain service offerings or other competitive harm. We may have to litigate to enforce or determine the scope and enforceability of our intellectual property rights, which is expensive and could exceed applicable insurance coverage, could cause a diversion of resources and may not prove successful. The loss of intellectual property protection or the inability to obtain sufficient rights to use third-party intellectual property could harm our business and ability to compete.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believe that our services and operations do not infringe upon or otherwise violate the proprietary rights of third parties, we cannot guarantee that we do not, and will not in the future, infringe or otherwise violate the proprietary rights of third parties. Third parties have in the past, and may in the future, assert infringement or other intellectual property violation claims against us with respect to future products, services or operations. Any claim from a third party may result in a limitation on our ability to use our intellectual property. Even if we believe that intellectual property related claims are without merit, defending against such claims is time-consuming, expensive and could result in the diversion of the time and attention of our management and employees. Claims of intellectual property infringement are inherently uncertain, and might require us to redesign affected services, enter into costly settlement or license agreements, pay costly damage awards for which we may not have insurance coverage, or face a temporary or permanent injunction prohibiting us from marketing or selling certain of our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NYSE rules and, as a result, will qualify for, and may rely on, exemptions from certain corporate governance requirements.</w:t>
      </w:r>
    </w:p>
    <w:p>
      <w:pPr>
        <w:spacing w:after="0" w:line="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LGP has more than 50% of the voting power for the election of directors, and, as a result, we are considered a “controlled company” for the purposes of the New York Stock Exchange (“the NYSE”). Although we currently comply with the NYSE rules applicable to companies that do not qualify as a “controlled company,” as a “controlled company,” in the future we may elect not to comply with certain corporate governance standards, including the requirements:</w:t>
      </w:r>
    </w:p>
    <w:p>
      <w:pPr>
        <w:spacing w:after="0" w:line="6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 of independent directors;</w:t>
      </w:r>
    </w:p>
    <w:p>
      <w:pPr>
        <w:spacing w:after="0" w:line="116" w:lineRule="exact"/>
        <w:rPr>
          <w:rFonts w:ascii="Times New Roman" w:cs="Times New Roman" w:eastAsia="Times New Roman" w:hAnsi="Times New Roman"/>
          <w:sz w:val="18"/>
          <w:szCs w:val="18"/>
          <w:color w:val="auto"/>
        </w:rPr>
      </w:pPr>
    </w:p>
    <w:p>
      <w:pPr>
        <w:ind w:left="520" w:right="8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board of directors have a nominating and corporate governance committee that is composed entirely of independent directors with a written charter addressing the committee’s purpose and responsibilities;</w:t>
      </w:r>
    </w:p>
    <w:p>
      <w:pPr>
        <w:spacing w:after="0" w:line="54"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board of directors have a compensation committee that is composed entirely of independent directors with a written charter addressing the committee’s purpose and responsibilities;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annual performance evaluation of the nominating and corporate governance committee and compensation committee.</w:t>
      </w:r>
    </w:p>
    <w:p>
      <w:pPr>
        <w:spacing w:after="0" w:line="117" w:lineRule="exact"/>
        <w:rPr>
          <w:sz w:val="20"/>
          <w:szCs w:val="20"/>
          <w:color w:val="auto"/>
        </w:rPr>
      </w:pPr>
    </w:p>
    <w:p>
      <w:pPr>
        <w:jc w:val="both"/>
        <w:ind w:right="620"/>
        <w:spacing w:after="0" w:line="257" w:lineRule="auto"/>
        <w:rPr>
          <w:sz w:val="20"/>
          <w:szCs w:val="20"/>
          <w:color w:val="auto"/>
        </w:rPr>
      </w:pPr>
      <w:r>
        <w:rPr>
          <w:rFonts w:ascii="Times New Roman" w:cs="Times New Roman" w:eastAsia="Times New Roman" w:hAnsi="Times New Roman"/>
          <w:sz w:val="18"/>
          <w:szCs w:val="18"/>
          <w:color w:val="auto"/>
        </w:rPr>
        <w:t>For as long as LGP owns more than 50% of our common stock it will be able to exert a controlling influence over all matters requiring stockholder approval, including the nomination and election of directors and approval of significant corporate transactions, such as a merger or other sale of our Company or its assets. Even if LGP were to own or control less than a majority of our total outstanding shares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ind w:right="540"/>
        <w:spacing w:after="0" w:line="281" w:lineRule="auto"/>
        <w:rPr>
          <w:sz w:val="20"/>
          <w:szCs w:val="20"/>
          <w:color w:val="auto"/>
        </w:rPr>
      </w:pPr>
      <w:r>
        <w:rPr>
          <w:rFonts w:ascii="Times New Roman" w:cs="Times New Roman" w:eastAsia="Times New Roman" w:hAnsi="Times New Roman"/>
          <w:sz w:val="18"/>
          <w:szCs w:val="18"/>
          <w:color w:val="auto"/>
        </w:rPr>
        <w:t>common stock, it will be able to influence the outcome of corporate actions so long as it owns a significant portion of our total outstanding shares of common stock.</w:t>
      </w:r>
    </w:p>
    <w:p>
      <w:pPr>
        <w:spacing w:after="0" w:line="5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LGP may have interests that are different from our other stockholders and may vote in a way with which our other stockholders disagree and that may be averse to their respective interests. In addition, LGP’s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w:t>
      </w:r>
    </w:p>
    <w:p>
      <w:pPr>
        <w:spacing w:after="0" w:line="2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LGP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8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As a result of these provisions in our amended and restated certificate of incorporation, we may not receive the benefit from certain corporate opportunities, such as an acquisition target or other extraordinary transaction, that might have otherwise been available to us and potentially beneficial to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Moreover, holders of approximately 73% of our outstanding common stock as of the date of this Annual Report on Form 10-K have rights, pursuant to the Stockholders Agreement, to require us to file registration statements for the public sale of their shares or to include their shares in registration statements that we may file for ourselves or other stockholders. A registration statement covering such shares has been filed and has been declared effective. Any sales of securities by these stockholders could have a material and adverse effect on the trading price of our common stock.</w:t>
      </w:r>
    </w:p>
    <w:p>
      <w:pPr>
        <w:spacing w:after="0" w:line="28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of December 31, 2022 we are no longer an “emerging growth company”, and we are no longer able to take advantage of the reduced disclosure requirements applicable to “emerging growth companies”.</w:t>
      </w:r>
    </w:p>
    <w:p>
      <w:pPr>
        <w:spacing w:after="0" w:line="5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As of June 30, 2022, the market value of our ordinary shares that were held by non-affiliates exceeded $700.0 million and therefore, as of December 31, 2022, we no longer qualified as an emerging growth company under the Jumpstart Our Business Startups Act of 2012. On December 31, 2022, we became a large accelerated filer and the reduced disclosure obligations of emerging growth companies are no longer available to us. As an emerging growth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company, we took advantage of certain exemptions from various reporting requirements that are applicable to other public companies. As a result, we will need to comply with the independent auditor attestation requirements of Section 404 of the Sarbanes-Oxley Act of 2002, or the Sarbanes-Oxley Act, beginning with this Annual Report on Form 10-K for the year ended December 31, 2022, will be required to hold a say-on-frequency vote at our 2023 annual general meeting of stockholders, and will no longer be entitled to provide the reduced executive compensation disclosures permitted by emerging growth companies in this Annual Report on Form 10-K and our proxy statement for the 2023 annual general meeting of stockholders. We expect that our transition from “emerging growth company” to “large accelerated filer” will require additional attention from management and will result in increased costs to us, which could include higher legal fees, accounting fees and fees associated with investor relations activities, among others.</w:t>
      </w:r>
    </w:p>
    <w:p>
      <w:pPr>
        <w:spacing w:after="0" w:line="2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5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Section 404 of the Sarbanes-Oxley Act requires public companies to maintain effective internal control over financial reporting. In particular, we must perform system and process evaluation and testing of our internal control over financial reporting to allow management to report on the effectiveness of our internal control over financial reporting. In addition, we are required to have our independent registered public accounting firm attest to the effectiveness of our internal control over financial reporting beginning with this Annual Report on Form 10-K for the fiscal year ended December 31, 2022. Ensuring that we have adequate internal financial and accounting controls and procedures in place so that we can produce accurate financial statements on a timely basis is a costly and time-consuming effort that will need to be evaluated frequently. If we fail to maintain the effectiveness of our internal controls or fail to comply in a timely manner with the requirements of the Sarbanes-Oxley Act, or if we or our independent registered public accounting firm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common stock and we could be subject to sanctions or investigations by NYSE,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299" w:lineRule="exact"/>
        <w:rPr>
          <w:sz w:val="20"/>
          <w:szCs w:val="20"/>
          <w:color w:val="auto"/>
        </w:rPr>
      </w:pPr>
    </w:p>
    <w:p>
      <w:pPr>
        <w:jc w:val="both"/>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as well as provisions of the Delaware General Corporation Law ("DGCL"),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spacing w:after="0" w:line="6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such that not all members of the Board are elected at one time;</w:t>
      </w:r>
    </w:p>
    <w:p>
      <w:pPr>
        <w:spacing w:after="0" w:line="116" w:lineRule="exact"/>
        <w:rPr>
          <w:rFonts w:ascii="Times New Roman" w:cs="Times New Roman" w:eastAsia="Times New Roman" w:hAnsi="Times New Roman"/>
          <w:sz w:val="18"/>
          <w:szCs w:val="18"/>
          <w:color w:val="auto"/>
        </w:rPr>
      </w:pPr>
    </w:p>
    <w:p>
      <w:pPr>
        <w:ind w:left="520" w:right="16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total number of directors to be determined exclusively (subject to the rights of holders of any series of preferred stock to elect additional directors) by resolution of our Board and granting to our Board the sole power (subject to the rights of holders of any series of preferred stock or rights granted pursuant to the Stockholders’ Agreement) to fill any vacancy on the Board;</w:t>
      </w:r>
    </w:p>
    <w:p>
      <w:pPr>
        <w:spacing w:after="0" w:line="69"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stockholders may remove members of our Board only for cause and only by the affirmative vote of the holders of at least two-thirds of the voting power of our then-outstanding stock, following such time as LGP ceases to beneficially own, in the aggregate, at least 50% of the voting power of our common stock;</w:t>
      </w:r>
    </w:p>
    <w:p>
      <w:pPr>
        <w:spacing w:after="0" w:line="6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by our Board, without further stockholder approval, to thwart a takeover attempt;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1" w:name="page22"/>
    <w:bookmarkEnd w:id="21"/>
    <w:p>
      <w:pPr>
        <w:ind w:left="520" w:right="6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thus, requiring that all stockholder actions be taken at a meeting of our stockholders), if LGP ceases to beneficially own, in the aggregate, at least 50% of the voting power of our common stock;</w:t>
      </w:r>
    </w:p>
    <w:p>
      <w:pPr>
        <w:spacing w:after="0" w:line="54" w:lineRule="exact"/>
        <w:rPr>
          <w:rFonts w:ascii="Times New Roman" w:cs="Times New Roman" w:eastAsia="Times New Roman" w:hAnsi="Times New Roman"/>
          <w:sz w:val="18"/>
          <w:szCs w:val="18"/>
          <w:color w:val="auto"/>
        </w:rPr>
      </w:pPr>
    </w:p>
    <w:p>
      <w:pPr>
        <w:ind w:left="520" w:right="6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 except for LGP for so long as LGP beneficially owns, in the aggregate, at least 50% of the voting power of our common stock;</w:t>
      </w:r>
    </w:p>
    <w:p>
      <w:pPr>
        <w:spacing w:after="0" w:line="54" w:lineRule="exact"/>
        <w:rPr>
          <w:rFonts w:ascii="Times New Roman" w:cs="Times New Roman" w:eastAsia="Times New Roman" w:hAnsi="Times New Roman"/>
          <w:sz w:val="18"/>
          <w:szCs w:val="18"/>
          <w:color w:val="auto"/>
        </w:rPr>
      </w:pPr>
    </w:p>
    <w:p>
      <w:pPr>
        <w:ind w:left="520" w:right="6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or for proposing matters that can be acted upon at annual stockholder meetings; and</w:t>
      </w:r>
    </w:p>
    <w:p>
      <w:pPr>
        <w:spacing w:after="0" w:line="54" w:lineRule="exact"/>
        <w:rPr>
          <w:rFonts w:ascii="Times New Roman" w:cs="Times New Roman" w:eastAsia="Times New Roman" w:hAnsi="Times New Roman"/>
          <w:sz w:val="18"/>
          <w:szCs w:val="18"/>
          <w:color w:val="auto"/>
        </w:rPr>
      </w:pPr>
    </w:p>
    <w:p>
      <w:pPr>
        <w:ind w:left="520" w:right="18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two-thirds of the voting power of all outstanding stock entitled to vote thereon, voting together as a single class, to amend or repeal our certificate of incorporation or bylaws if LGP ceases to beneficially own, in the aggregate, at least 50% of the voting power of our common stock.</w:t>
      </w:r>
    </w:p>
    <w:p>
      <w:pPr>
        <w:spacing w:after="0" w:line="6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These provisions could discourage, delay or prevent a transaction involving a change in control. They could also discourage proxy contests and make it more difficult for stockholders to elect directors of their choosing and cause us to take corporate actions other than those that stockholders desire.</w:t>
      </w:r>
    </w:p>
    <w:p>
      <w:pPr>
        <w:spacing w:after="0" w:line="26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federal district courts of the United States will be the sole and exclusive forum for certain types of lawsuits, which could limit our stockholders' abilities to obtain a favorable judicial forum for disputes with us or our directors, officers or employees.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the amended and restated certificate of incorporation or the proposed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First Lien Term Loan and Revolving Commitment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We lease 25,350 and own 27,973 square feet of office space at our corporate headquarters in Tucson, Arizona. As of December 31, 2022, we leased 374 locations and owned 59 locations. We also operate 3 locations still owned by third-party developers. The chart below provides a breakdown of our operating car wash locations as of December 31,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80" w:type="dxa"/>
            <w:vAlign w:val="bottom"/>
          </w:tcPr>
          <w:p>
            <w:pPr>
              <w:spacing w:after="0"/>
              <w:rPr>
                <w:sz w:val="21"/>
                <w:szCs w:val="21"/>
                <w:color w:val="auto"/>
              </w:rPr>
            </w:pPr>
          </w:p>
        </w:tc>
        <w:tc>
          <w:tcPr>
            <w:tcW w:w="1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00" w:type="dxa"/>
            <w:vAlign w:val="bottom"/>
          </w:tcPr>
          <w:p>
            <w:pPr>
              <w:spacing w:after="0"/>
              <w:rPr>
                <w:sz w:val="21"/>
                <w:szCs w:val="21"/>
                <w:color w:val="auto"/>
              </w:rPr>
            </w:pPr>
          </w:p>
        </w:tc>
      </w:tr>
      <w:tr>
        <w:trPr>
          <w:trHeight w:val="243"/>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3"/>
        </w:trPr>
        <w:tc>
          <w:tcPr>
            <w:tcW w:w="9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8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10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45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Our executive officers as of February 24, 2023, are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44"/>
        </w:trPr>
        <w:tc>
          <w:tcPr>
            <w:tcW w:w="2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100" w:type="dxa"/>
            <w:vAlign w:val="bottom"/>
          </w:tcPr>
          <w:p>
            <w:pPr>
              <w:spacing w:after="0"/>
              <w:rPr>
                <w:sz w:val="24"/>
                <w:szCs w:val="24"/>
                <w:color w:val="auto"/>
              </w:rPr>
            </w:pPr>
          </w:p>
        </w:tc>
        <w:tc>
          <w:tcPr>
            <w:tcW w:w="528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Lai</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FF0FC"/>
          </w:tcPr>
          <w:p>
            <w:pPr>
              <w:spacing w:after="0"/>
              <w:rPr>
                <w:sz w:val="21"/>
                <w:szCs w:val="21"/>
                <w:color w:val="auto"/>
              </w:rPr>
            </w:pPr>
          </w:p>
        </w:tc>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Chairperson, President and Chief Executive Officer</w:t>
            </w:r>
          </w:p>
        </w:tc>
      </w:tr>
      <w:tr>
        <w:trPr>
          <w:trHeight w:val="23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Jedidiah Gold</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w:t>
            </w:r>
          </w:p>
        </w:tc>
        <w:tc>
          <w:tcPr>
            <w:tcW w:w="460" w:type="dxa"/>
            <w:vAlign w:val="bottom"/>
            <w:gridSpan w:val="2"/>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Mayra Chimienti</w:t>
            </w:r>
          </w:p>
        </w:tc>
        <w:tc>
          <w:tcPr>
            <w:tcW w:w="18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39</w:t>
            </w:r>
          </w:p>
        </w:tc>
        <w:tc>
          <w:tcPr>
            <w:tcW w:w="460" w:type="dxa"/>
            <w:vAlign w:val="bottom"/>
            <w:gridSpan w:val="2"/>
            <w:shd w:val="clear" w:color="auto" w:fill="CFF0FC"/>
          </w:tcPr>
          <w:p>
            <w:pPr>
              <w:spacing w:after="0"/>
              <w:rPr>
                <w:sz w:val="21"/>
                <w:szCs w:val="21"/>
                <w:color w:val="auto"/>
              </w:rPr>
            </w:pPr>
          </w:p>
        </w:tc>
        <w:tc>
          <w:tcPr>
            <w:tcW w:w="134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FF0FC"/>
          </w:tcPr>
          <w:p>
            <w:pPr>
              <w:spacing w:after="0"/>
              <w:rPr>
                <w:sz w:val="21"/>
                <w:szCs w:val="21"/>
                <w:color w:val="auto"/>
              </w:rPr>
            </w:pPr>
          </w:p>
        </w:tc>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Markus Hartmann</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460" w:type="dxa"/>
            <w:vAlign w:val="bottom"/>
            <w:gridSpan w:val="2"/>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9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Effective March 14, 2022, Mayra Chimienti was appointed Chief Operating Officer of the Company. Ms. Chimienti had served as the Company’s Vice President, Operations Services since July 2017. Ms. Chimienti joined the Company in 2007 and previously served as Director of Training &amp; Development from March 2013 to July 2017.</w:t>
      </w:r>
    </w:p>
    <w:p>
      <w:pPr>
        <w:spacing w:after="0" w:line="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Effective October 28, 2022, Markus Hartmann was named General Counsel and leads the Company’s legal function in ethics and compliance, intellectual property and other general corporate legal matters. Mr. Hartmann brings over 20 years of experience advising companies on wide-ranging critical corporate initiatives and most recently served as Senior Compliance Officer at Stryker Corporation (Spine Division) (NYSE: SYK), one of the world’s leading medical technology companies. Prior to joining Stryker in 2021, Mr. Hartmann served as Vice President – General Counsel and Corporate Secretary at Carrols Restaurant Group, Inc. (NASDAQ: TAST), one of the largest restaurant franchisees in the United States, and before that, as Vice President – Technical Compliance NAFTA for Mercedes-Benz Research &amp; Development North America, Inc. (a Daimler company). He began his career as an associate attorney with the law firm Hale &amp; Dorr LLP (now WilmerHale) and is a retired Colonel in the Marine Corp Reserve.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Our common stock has traded on The New York Stock Exchange (“NYSE”), under the symbol “MCW” since our initial public offering in June 2021.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February 15, 2023, there were 1,429 holders of record of our common stock. This number excludes stockholders whose stock is held in street name by banks, brokers and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currently intend to retain any future earnings to fund the development and expansion of our business, and, therefore, we do not anticipate paying cash dividends on our share capital in the foreseeable future. Any future determination to pay dividends will be at the discretion of our board of directors and will depend on our results of operations, financial condition, capital requirements, contractual restrictions, restrictions under our Credit Facilities and any other agreements governing our indebtedness and other factors deemed relevant by our board of directors.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31, 2022, we did not repurchase any equity securities that were not registered under the Securities Act.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following graph compares the cumulative stockholder return since June 25, 2021, the date our common stock began trading on NYSE with S&amp;P 1500 Consumer Services Index, S&amp;P 500 Total Return Index, and Russell 2000 Index. The graph assumes that the value of the investment in our stock and in each index was $100 at June 25, 2021,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248910" cy="2165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48910" cy="216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6/25/21</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Mister Car Wash, Inc.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1500 Consumer Services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500 Total Return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8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FF0FC"/>
          </w:tcPr>
          <w:p>
            <w:pPr>
              <w:spacing w:after="0"/>
              <w:rPr>
                <w:sz w:val="21"/>
                <w:szCs w:val="2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00" w:type="dxa"/>
            <w:vAlign w:val="bottom"/>
          </w:tcPr>
          <w:p>
            <w:pPr>
              <w:spacing w:after="0"/>
              <w:rPr>
                <w:sz w:val="20"/>
                <w:szCs w:val="20"/>
                <w:color w:val="auto"/>
              </w:rPr>
            </w:pPr>
          </w:p>
        </w:tc>
      </w:tr>
      <w:tr>
        <w:trPr>
          <w:trHeight w:val="440"/>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4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pose risks and challenges, including those discussed below and in Part I, Item 1A. "Risk Factors" included elsewhere in this Annual Report on Form 10-K.</w:t>
      </w:r>
    </w:p>
    <w:p>
      <w:pPr>
        <w:spacing w:after="0" w:line="53" w:lineRule="exact"/>
        <w:rPr>
          <w:sz w:val="20"/>
          <w:szCs w:val="20"/>
          <w:color w:val="auto"/>
        </w:rPr>
      </w:pPr>
    </w:p>
    <w:p>
      <w:pPr>
        <w:ind w:left="520" w:right="4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70" w:lineRule="exact"/>
        <w:rPr>
          <w:rFonts w:ascii="Times New Roman" w:cs="Times New Roman" w:eastAsia="Times New Roman" w:hAnsi="Times New Roman"/>
          <w:sz w:val="18"/>
          <w:szCs w:val="18"/>
          <w:color w:val="auto"/>
        </w:rPr>
      </w:pPr>
    </w:p>
    <w:p>
      <w:pPr>
        <w:ind w:left="520" w:right="200" w:hanging="512"/>
        <w:spacing w:after="0" w:line="283"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51" w:lineRule="exact"/>
        <w:rPr>
          <w:rFonts w:ascii="Times New Roman" w:cs="Times New Roman" w:eastAsia="Times New Roman" w:hAnsi="Times New Roman"/>
          <w:sz w:val="18"/>
          <w:szCs w:val="18"/>
          <w:color w:val="auto"/>
        </w:rPr>
      </w:pPr>
    </w:p>
    <w:p>
      <w:pPr>
        <w:ind w:left="520" w:right="8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 and anticipate further pursuit of this strategy in the future. During 2022, we successfully opened a total of 28 greenfield locations, with the expectation of driving the majority of our future location growth through greenfield development. We believe such a strategy will drive a more controllable pipeline of unit growth for future locations in existing and adjacent markets.</w:t>
      </w:r>
    </w:p>
    <w:p>
      <w:pPr>
        <w:spacing w:after="0" w:line="6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2022, we completed four business acquisitions of 11 properties. Following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ind w:right="120"/>
        <w:spacing w:after="0" w:line="265" w:lineRule="auto"/>
        <w:rPr>
          <w:sz w:val="20"/>
          <w:szCs w:val="20"/>
          <w:color w:val="auto"/>
        </w:rPr>
      </w:pPr>
      <w:r>
        <w:rPr>
          <w:rFonts w:ascii="Times New Roman" w:cs="Times New Roman" w:eastAsia="Times New Roman" w:hAnsi="Times New Roman"/>
          <w:sz w:val="18"/>
          <w:szCs w:val="18"/>
          <w:color w:val="auto"/>
        </w:rPr>
        <w:t>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2022 and December 31, 2021, we did not consummate any significant divestitures.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years ended December 31, 2022 and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64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3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400" w:type="dxa"/>
            <w:vAlign w:val="bottom"/>
          </w:tcPr>
          <w:p>
            <w:pPr>
              <w:spacing w:after="0"/>
              <w:rPr>
                <w:sz w:val="20"/>
                <w:szCs w:val="20"/>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3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40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6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(22,045 )</w:t>
            </w:r>
          </w:p>
        </w:tc>
        <w:tc>
          <w:tcPr>
            <w:tcW w:w="10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12.9 %</w:t>
            </w:r>
          </w:p>
        </w:tc>
        <w:tc>
          <w:tcPr>
            <w:tcW w:w="4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281,646</w:t>
            </w:r>
          </w:p>
        </w:tc>
        <w:tc>
          <w:tcPr>
            <w:tcW w:w="26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32.1 %</w:t>
            </w:r>
          </w:p>
        </w:tc>
        <w:tc>
          <w:tcPr>
            <w:tcW w:w="40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Count (end of period)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operating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fiscal year 2022, we increased our location count by 40 locations, including 28 greenfield locations and 12 business acquisition locations. One location, which was part of a 2021 acquisition, opened during the second quarter of 2022 and is included as an acquired location above. In fiscal year 2021, we increased our location count by 54 locations, including 17 greenfield locations, 37 business acquisition locations, and one asset purchase location, partially offset by one closed location.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4"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Opening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During 2022, comparable store sales increased 5% compared to an increase of 32% in 2021.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28" w:name="page29"/>
    <w:bookmarkEnd w:id="28"/>
    <w:p>
      <w:pPr>
        <w:ind w:right="100"/>
        <w:spacing w:after="0" w:line="265" w:lineRule="auto"/>
        <w:rPr>
          <w:sz w:val="20"/>
          <w:szCs w:val="20"/>
          <w:color w:val="auto"/>
        </w:rPr>
      </w:pPr>
      <w:r>
        <w:rPr>
          <w:rFonts w:ascii="Times New Roman" w:cs="Times New Roman" w:eastAsia="Times New Roman" w:hAnsi="Times New Roman"/>
          <w:sz w:val="18"/>
          <w:szCs w:val="18"/>
          <w:color w:val="auto"/>
        </w:rPr>
        <w:t>acquired new customers and retained previously acquired customers. There were approximately 1.9 million and approximately 1.7 million UWC Members as of December 31, 2022 and 2021, respectively. Our UWC program grew by approximately 0.2 million UWC Members, or approximately 13.8%, from December 31, 2021 to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UWC sales as a percentage of total wash sales represent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subscription offering. UWC sales were 68% and 64% of our total wash sales for the years ended December 31,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(loss) before interest expense, net, income tax provision (benefit), depreciation and amortization expense, (gain) loss on sale of assets, loss on extinguishment of debt, stock-based compensation expense, acquisition expenses, management fees, non-cash rent expense, expenses associated with the completion of our initial public offering in June 2021 ("the IPO"), expenses associated with the secondary public offering, and other nonrecurring charges. Adjusted EBITDA margin is defined as Adjusted EBITDA divided by net revenues for a given period.</w:t>
      </w:r>
    </w:p>
    <w:p>
      <w:pPr>
        <w:spacing w:after="0" w:line="7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7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Times New Roman" w:cs="Times New Roman" w:eastAsia="Times New Roman" w:hAnsi="Times New Roman"/>
          <w:sz w:val="17"/>
          <w:szCs w:val="17"/>
          <w:color w:val="231F20"/>
        </w:rPr>
        <w:t>Amended 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Lien Credit Agreement (as defined below) </w:t>
      </w:r>
      <w:r>
        <w:rPr>
          <w:rFonts w:ascii="Times New Roman" w:cs="Times New Roman" w:eastAsia="Times New Roman" w:hAnsi="Times New Roman"/>
          <w:sz w:val="17"/>
          <w:szCs w:val="17"/>
          <w:color w:val="000000"/>
        </w:rPr>
        <w:t>uses measures similar to Adjusted EBITDA to measure our compliance with certain covenants.</w:t>
      </w:r>
    </w:p>
    <w:p>
      <w:pPr>
        <w:spacing w:after="0" w:line="63" w:lineRule="exact"/>
        <w:rPr>
          <w:sz w:val="20"/>
          <w:szCs w:val="20"/>
          <w:color w:val="auto"/>
        </w:rPr>
      </w:pPr>
    </w:p>
    <w:p>
      <w:pPr>
        <w:ind w:left="520" w:right="16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16" w:lineRule="exact"/>
        <w:rPr>
          <w:rFonts w:ascii="Times New Roman" w:cs="Times New Roman" w:eastAsia="Times New Roman" w:hAnsi="Times New Roman"/>
          <w:sz w:val="18"/>
          <w:szCs w:val="18"/>
          <w:color w:val="auto"/>
        </w:rPr>
      </w:pPr>
    </w:p>
    <w:p>
      <w:pPr>
        <w:ind w:left="520" w:right="68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Adjusted EBITDA was approximately $281.6 million and $254.3 million for the years ended December 31, 2022 and 2021, respectively. Our Adjusted EBITDA margin was 32% and 34% for the years ended December 31, 2022 and 2021, respectively. The increase experienced in the year ended December 31, 2022 compared to the prior year is primarily attributable to an increase in car wash sales due to growth in UWC Members and the year-over-year addition of 40 locations, offset by an increase in operating costs and expenses. The following is a reconciliation of our net income (loss) to Adjusted EBITDA for the periods presented.</w:t>
      </w:r>
    </w:p>
    <w:p>
      <w:pPr>
        <w:spacing w:after="0" w:line="8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3040" w:type="dxa"/>
        <w:tblCellMar>
          <w:top w:w="0" w:type="dxa"/>
          <w:left w:w="0" w:type="dxa"/>
          <w:bottom w:w="0" w:type="dxa"/>
          <w:right w:w="0" w:type="dxa"/>
        </w:tblCellMar>
      </w:tblPr>
      <w:tr>
        <w:trPr>
          <w:trHeight w:val="169"/>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Reconciliation of net income (loss) to Adjusted EBITDA: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(22,045 )</w:t>
            </w:r>
          </w:p>
        </w:tc>
        <w:tc>
          <w:tcPr>
            <w:tcW w:w="6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(25,093 )</w:t>
            </w:r>
          </w:p>
        </w:tc>
        <w:tc>
          <w:tcPr>
            <w:tcW w:w="6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61,580</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assets, net (a)</w:t>
            </w:r>
          </w:p>
        </w:tc>
        <w:tc>
          <w:tcPr>
            <w:tcW w:w="5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(949 )</w:t>
            </w:r>
          </w:p>
        </w:tc>
        <w:tc>
          <w:tcPr>
            <w:tcW w:w="5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(23,188 )</w:t>
            </w:r>
          </w:p>
        </w:tc>
        <w:tc>
          <w:tcPr>
            <w:tcW w:w="6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expenses (c)</w:t>
            </w: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fees (d)</w:t>
            </w:r>
          </w:p>
        </w:tc>
        <w:tc>
          <w:tcPr>
            <w:tcW w:w="5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rent expense (e)</w:t>
            </w: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associated with initial public offering (f)</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Expenses associated with secondary public offering (g)</w:t>
            </w:r>
          </w:p>
        </w:tc>
        <w:tc>
          <w:tcPr>
            <w:tcW w:w="5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(h)</w:t>
            </w: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281,646</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32.1 %</w:t>
            </w:r>
          </w:p>
        </w:tc>
        <w:tc>
          <w:tcPr>
            <w:tcW w:w="5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34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83" w:lineRule="exact"/>
        <w:rPr>
          <w:sz w:val="20"/>
          <w:szCs w:val="20"/>
          <w:color w:val="auto"/>
        </w:rPr>
      </w:pPr>
    </w:p>
    <w:p>
      <w:pPr>
        <w:ind w:left="520" w:right="540" w:hanging="512"/>
        <w:spacing w:after="0" w:line="26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 leaseback transactions, store closures or the sale of property and equipment.</w:t>
      </w:r>
    </w:p>
    <w:p>
      <w:pPr>
        <w:spacing w:after="0" w:line="1" w:lineRule="exact"/>
        <w:rPr>
          <w:rFonts w:ascii="Times New Roman" w:cs="Times New Roman" w:eastAsia="Times New Roman" w:hAnsi="Times New Roman"/>
          <w:sz w:val="18"/>
          <w:szCs w:val="18"/>
          <w:color w:val="auto"/>
        </w:rPr>
      </w:pPr>
    </w:p>
    <w:p>
      <w:pPr>
        <w:ind w:left="520" w:right="300" w:hanging="512"/>
        <w:spacing w:after="0" w:line="264"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non-cash expense associated with our share-based payments, including approximately $201.9 million in stock-based compensation expense associated with our performance-based vesting stock options that vested on the consummation of our initial public offering in June 2021.</w:t>
      </w:r>
    </w:p>
    <w:p>
      <w:pPr>
        <w:spacing w:after="0" w:line="1" w:lineRule="exact"/>
        <w:rPr>
          <w:rFonts w:ascii="Times New Roman" w:cs="Times New Roman" w:eastAsia="Times New Roman" w:hAnsi="Times New Roman"/>
          <w:sz w:val="17"/>
          <w:szCs w:val="17"/>
          <w:color w:val="auto"/>
        </w:rPr>
      </w:pPr>
    </w:p>
    <w:p>
      <w:pPr>
        <w:ind w:left="520" w:right="3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ind w:left="520" w:right="60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fees paid to Leonard Green &amp; Partners, L.P. ("LGP") in accordance with our management services agreement, which terminated on the consummation of our initial public offering in June 2021.</w:t>
      </w: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expenses associated with the consummation of our initial public offering in June 2021.</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expenses incurred by us in connection with the secondary public offering in August 2021.</w:t>
      </w:r>
    </w:p>
    <w:p>
      <w:pPr>
        <w:spacing w:after="0" w:line="8" w:lineRule="exact"/>
        <w:rPr>
          <w:rFonts w:ascii="Times New Roman" w:cs="Times New Roman" w:eastAsia="Times New Roman" w:hAnsi="Times New Roman"/>
          <w:sz w:val="18"/>
          <w:szCs w:val="18"/>
          <w:color w:val="auto"/>
        </w:rPr>
      </w:pPr>
    </w:p>
    <w:p>
      <w:pPr>
        <w:ind w:left="520" w:right="160" w:hanging="512"/>
        <w:spacing w:after="0" w:line="264"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other nonrecurring or discrete items as determined by management not to be reflective of our ongoing operating performance, such as costs associated with severance pay, non-deferred legal fees and other expenses related to credit agreement amendments, legal settlements and legal</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fees related to contract terminations, and nonrecurring strategic project costs.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results of operations data for the years ended December 31, 2022 and 2021 have been derived from the consolidated financial statements included elsewhere in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left="185"/>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56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56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758,357</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265,171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266,069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254,815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5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300" w:type="dxa"/>
            <w:vAlign w:val="bottom"/>
          </w:tcPr>
          <w:p>
            <w:pPr>
              <w:spacing w:after="0"/>
              <w:rPr>
                <w:sz w:val="22"/>
                <w:szCs w:val="22"/>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(949 )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(23,188 )</w:t>
            </w:r>
          </w:p>
        </w:tc>
        <w:tc>
          <w:tcPr>
            <w:tcW w:w="220" w:type="dxa"/>
            <w:vAlign w:val="bottom"/>
          </w:tcPr>
          <w:p>
            <w:pPr>
              <w:spacing w:after="0"/>
              <w:rPr>
                <w:sz w:val="22"/>
                <w:szCs w:val="22"/>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688,787</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762,867</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color w:val="auto"/>
                <w:highlight w:val="white"/>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(4,510 )</w:t>
            </w:r>
          </w:p>
        </w:tc>
        <w:tc>
          <w:tcPr>
            <w:tcW w:w="22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color w:val="auto"/>
                <w:highlight w:val="white"/>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145,824</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5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(25,093 )</w:t>
            </w:r>
          </w:p>
        </w:tc>
        <w:tc>
          <w:tcPr>
            <w:tcW w:w="220" w:type="dxa"/>
            <w:vAlign w:val="bottom"/>
          </w:tcPr>
          <w:p>
            <w:pPr>
              <w:spacing w:after="0"/>
              <w:rPr>
                <w:sz w:val="21"/>
                <w:szCs w:val="21"/>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240" w:type="dxa"/>
            <w:vAlign w:val="bottom"/>
          </w:tcPr>
          <w:p>
            <w:pPr>
              <w:spacing w:after="0"/>
              <w:rPr>
                <w:sz w:val="19"/>
                <w:szCs w:val="19"/>
                <w:color w:val="auto"/>
              </w:rPr>
            </w:pPr>
          </w:p>
        </w:tc>
        <w:tc>
          <w:tcPr>
            <w:tcW w:w="4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758,357</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118,149</w:t>
            </w:r>
          </w:p>
        </w:tc>
        <w:tc>
          <w:tcPr>
            <w:tcW w:w="2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-3281680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132320" cy="325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-1715135</wp:posOffset>
            </wp:positionV>
            <wp:extent cx="7132320" cy="479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-1072515</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the increase in car wash sales due to growth in UWC Members and the year-over-year addition of 40 locations.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Labor and Chemicals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265,171</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increase in the cost of labor and chemicals is primarily driven by an increase in labor and benefits of approximately $25.6 million and an increase in wash chemicals and supplies of approximately $5.8 million during the year ended December 31, 2022, both attributable to an increase in volume and the year-over-year addition of 40 locations, as well as some inflationary pressures on both our labor and chemicals. The prior year period reflected the recognition of stock-based compensation expense of $31.3 million related to our performance-based vesting stock options that vested on the consummation of our IPO in June 2021, which offset the current year increases. As a percentage of net revenues, costs of labor and chemicals for the year ended December 31, 2022 decreased by 4% due to improved labor staffing and express volume mix as compared to the prior year period, as well as the prior year period recognition of stock-based compensation expense as noted above.</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8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266,069</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56,345</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increase in other store operating expenses was attributable to the year-over-year addition of 40 locations and some inflationary pressures on our utilities and maintenance expenses. Rent expense increased approximately $10.6 million with the addition of 44 new land and building leases.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0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254,815</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driven by a decrease of approximately $170.7 million in stock-based compensation costs driven by the prior year recognition of stock-based compensation expense related to the performance-based vesting stock options that vested on the consummation of our IPO in June 2021. This decrease was partially offset by an increase of approximately $7.9 million in salaries and benefits, an increase of approximately $4.6 million in stock-based compensation expense not related to the performance-based vesting stock options noted above and an increase of approximately $2.1 million in other costs, which were primarily attributable to the increased costs of being a public company and the amortization of intangible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6"/>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74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3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1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40" w:type="dxa"/>
            <w:vAlign w:val="bottom"/>
          </w:tcPr>
          <w:p>
            <w:pPr>
              <w:spacing w:after="0"/>
              <w:rPr>
                <w:sz w:val="20"/>
                <w:szCs w:val="20"/>
                <w:color w:val="auto"/>
              </w:rPr>
            </w:pPr>
          </w:p>
        </w:tc>
        <w:tc>
          <w:tcPr>
            <w:tcW w:w="15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(0 )%</w:t>
            </w: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The gain on sale of assets, net in 2022 was primarily driven by $8.4 million of gains associated with our sale-leaseback transactions, offset by a $6.3 million impairment loss associated with two properties that were impaired during the fourth quarter. The gain on sale of assets, net in 2021 was primarily attributable to gains associated with our sale-leaseback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98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4"/>
                <w:szCs w:val="14"/>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0"/>
                <w:szCs w:val="20"/>
                <w:color w:val="auto"/>
              </w:rPr>
            </w:pPr>
          </w:p>
        </w:tc>
        <w:tc>
          <w:tcPr>
            <w:tcW w:w="12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6 %</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decrease in other expense was primarily driven by the result of no loss on extinguishment of debt in the current year, which was offset by an increase in interest expense due to higher average interest rates, an increase in borrowing levels and the expiration of our interest rate swap in October 2022, as compared to the prior year period</w:t>
      </w:r>
      <w:r>
        <w:rPr>
          <w:rFonts w:ascii="Calibri" w:cs="Calibri" w:eastAsia="Calibri" w:hAnsi="Calibri"/>
          <w:sz w:val="19"/>
          <w:szCs w:val="19"/>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(25,093</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58,017</w:t>
            </w:r>
          </w:p>
        </w:tc>
        <w:tc>
          <w:tcPr>
            <w:tcW w:w="1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0"/>
                <w:szCs w:val="20"/>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5"/>
        </w:trPr>
        <w:tc>
          <w:tcPr>
            <w:tcW w:w="4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4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685" w:right="239" w:bottom="1440" w:gutter="0" w:footer="0" w:header="0"/>
        </w:sectPr>
      </w:pPr>
    </w:p>
    <w:bookmarkStart w:id="32" w:name="page33"/>
    <w:bookmarkEnd w:id="32"/>
    <w:p>
      <w:pPr>
        <w:ind w:right="240"/>
        <w:spacing w:after="0" w:line="265" w:lineRule="auto"/>
        <w:rPr>
          <w:sz w:val="20"/>
          <w:szCs w:val="20"/>
          <w:color w:val="auto"/>
        </w:rPr>
      </w:pPr>
      <w:r>
        <w:rPr>
          <w:rFonts w:ascii="Times New Roman" w:cs="Times New Roman" w:eastAsia="Times New Roman" w:hAnsi="Times New Roman"/>
          <w:sz w:val="18"/>
          <w:szCs w:val="18"/>
          <w:color w:val="auto"/>
        </w:rPr>
        <w:t>The increase in income tax provision in 2022 was primarily due to the Company’s income before taxes generated during the current year, as compared to loss before taxes generated in 2021. Additional income tax benefits were also recorded in 2021 related to income tax deductions related to stock option exercises, net of income tax expense related to non-deductible executive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expansion, acquisitions of new locations and to service our indebtedness. Historically, these cash requirements have been met through funds raised by the sale of common equity, utilization of our Revolving Commitment, First Lien Term Loan, sale-leaseback transactions and cash provided by operations. As of December 31, 2022 and December 31, 2021, we had cash and cash equivalents of $65.2 million and $19.7 million, respectively, and $148.6 million and $149.5 million, respectively, of available borrowing capacity under our Revolving Commitment. On June 4, 2021, we entered into an amendment to our amended and restated First Lien Credit Agreement to, among other things, increase the commitments under the Revolving Commitment from $75.0 million to $150.0 million. In December 2021, in connection with the Clean Streak Ventures acquisition, we entered into Amendment No. 3 to Amended and Restated First Lien Credit Agreement (“Amended First Lien Credit Agreement”) increasing the principal term loan borrowings by $290 million to $903 million. For a description of our Credit Facilities, please see Note 9 Debt in the consolidated financial statements included elsewhere in this Annual Report on Form 10-K. As of December 31, 2022, we were in compliance with the covenants under our Credit Facilities and we expect to comply with our covenants in the next 12 months from the issuance date of the financial statements included in this Annual Report on Form 10-K.</w:t>
      </w:r>
    </w:p>
    <w:p>
      <w:pPr>
        <w:spacing w:after="0" w:line="8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resulting operations, as well as planned capital expenditures, for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summary cash flow information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00" w:type="dxa"/>
            <w:vAlign w:val="bottom"/>
          </w:tcPr>
          <w:p>
            <w:pPr>
              <w:ind w:left="30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229,201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173,354</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(190,131 )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(543,832 )</w:t>
            </w:r>
          </w:p>
        </w:tc>
      </w:tr>
      <w:tr>
        <w:trPr>
          <w:trHeight w:val="24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 during period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(98,016 )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consists of net income (loss) adjusted for certain non-cash items,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depreciation of property and equipment, gains on disposal of property and equipment, amortization of leased assets and deferred income taxes, as well as the effect of changes in other working capital amounts.</w:t>
      </w:r>
    </w:p>
    <w:p>
      <w:pPr>
        <w:spacing w:after="0" w:line="6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net cash provided by operating activities was $229.2 million and was comprised of net income of $112.9 million, increased by $154.8 million related to non-cash adjustments, which includes $22.3 million for stock-based compensation expense. Other non-cash adjustments included depreciation and amortization, loss on extinguishment of debt and deferred income tax. Changes in working capital decreased cash provided by operating activities by $38.5 million, primarily due to $42.7 million of payments towards operating lease liabilities and a decrease in prepaid expenses and other current assets of $4.3 million. The change in other receivables was primarily driven by the collection of payroll tax withholding and exercise proceeds receivables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33" w:name="page34"/>
    <w:bookmarkEnd w:id="33"/>
    <w:p>
      <w:pPr>
        <w:ind w:right="20"/>
        <w:spacing w:after="0" w:line="281" w:lineRule="auto"/>
        <w:rPr>
          <w:sz w:val="20"/>
          <w:szCs w:val="20"/>
          <w:color w:val="auto"/>
        </w:rPr>
      </w:pPr>
      <w:r>
        <w:rPr>
          <w:rFonts w:ascii="Times New Roman" w:cs="Times New Roman" w:eastAsia="Times New Roman" w:hAnsi="Times New Roman"/>
          <w:sz w:val="18"/>
          <w:szCs w:val="18"/>
          <w:color w:val="auto"/>
        </w:rPr>
        <w:t>outstanding in the prior year, partially offset by increases in construction receivables associated with an increased number of build-to-suit arrangements and insurance receivables.</w:t>
      </w:r>
    </w:p>
    <w:p>
      <w:pPr>
        <w:spacing w:after="0" w:line="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2021, net cash provided by operating activities was $173.4 million and was comprised of net loss of $22.0 million, increased by $257.0 million related to non-cash adjustments and an increase of $216.6 million for stock-based compensation expense. Stock-based compensation expense included $201.9 million associated with performance vesting options which vested upon completion of the initial public offering in June 2021. Other non-cash adjustments included depreciation and amortization, loss on extinguishment of debt and deferred income tax. Changes in working capital decreased cash provided by operating activities by $61.6 million, primarily due to $34.3 million of payments towards operating lease liabilities, decreased other noncurrent liabilities coupled with a $18.5 million increase in other receivables. The increase in other receivables was driven by $8.5 million payroll tax withholding and exercise proceeds receivables, $4.9 million of income tax receivables, and $5.6 million of construction receivables associated with an increased number of build-to-suit arrangements.</w:t>
      </w:r>
    </w:p>
    <w:p>
      <w:pPr>
        <w:spacing w:after="0" w:line="79"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 and acquisition of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washes.</w:t>
      </w:r>
    </w:p>
    <w:p>
      <w:pPr>
        <w:spacing w:after="0" w:line="5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$190.1 million and was primarily comprised of purchases in property and equipment to support our greenfield and other initiatives, and the acquisition of car washes, partially offset by sale-leaseback transactions and the sale of property and equipment.</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was $543.8 million and was primarily comprised of purchases in property and equipment to support our greenfield and other initiatives, and the acquisition of car washes, partially offset by sale-leaseback transactions and the sale of property and equipment.</w:t>
      </w:r>
    </w:p>
    <w:p>
      <w:pPr>
        <w:spacing w:after="0" w:line="6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financing activities primarily consists of proceeds from our initial public offering along with proceeds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on our long-term debt and Revolving Commitment.</w:t>
      </w:r>
    </w:p>
    <w:p>
      <w:pPr>
        <w:spacing w:after="0" w:line="5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$6.3 million and was primarily comprised of proceeds from issuance of common stock under employee plans, partially offset by payments of long-term debt and finance lease obligations.</w:t>
      </w:r>
    </w:p>
    <w:p>
      <w:pPr>
        <w:spacing w:after="0" w:line="5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$272.5 million and was primarily comprised of proceeds from our initial public offering and long-term debt, partially offset by payments of offering costs pursuant to initial public offering, long-term debt, and debt issuance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consolidated financial statements included elsewhere in this Annual Report on Form 10-K, for a description of our other significant accounting policies. We believe that the following critical accounting policies are affected by significant judgments and estimates used in the preparation of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recognize revenue in accordance with ASC 606, Revenue from Contracts with Customers. Under ASC 606, revenue is recognized upon transfer of control of promised services or goods to customers in an amount that reflects the consideration we expect to receive for those services or goods. We have two primary sources of revenue. First, we offer the UWC program to our customers. UWC entitles a UWC Member to unlimited washes for a monthly fee,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4" w:name="page35"/>
    <w:bookmarkEnd w:id="34"/>
    <w:p>
      <w:pPr>
        <w:ind w:right="20"/>
        <w:spacing w:after="0" w:line="260" w:lineRule="auto"/>
        <w:rPr>
          <w:sz w:val="20"/>
          <w:szCs w:val="20"/>
          <w:color w:val="auto"/>
        </w:rPr>
      </w:pPr>
      <w:r>
        <w:rPr>
          <w:rFonts w:ascii="Times New Roman" w:cs="Times New Roman" w:eastAsia="Times New Roman" w:hAnsi="Times New Roman"/>
          <w:sz w:val="18"/>
          <w:szCs w:val="18"/>
          <w:color w:val="auto"/>
        </w:rPr>
        <w:t>cancelable at any time. UWC Members are automatically charged on a credit or debit card on the same day of the month that they originally signed up. The UWC revenue is recognized ratably over the month in which it is earned and amounts unearned are recorded as deferred revenue on the consolidated balance sheets based on the date of the re-charge. Second, the revenue from car wash and, prior to 2021, quick lube services is recognized at the point in time services are rendered and the customer pays. Discounts are applied as a reduction of revenue at the time of payment.</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of recognition does not require significant judgment as it is based on the UWC monthly charge and deferral or the date of car wash sale, none of which require a significant amount of estimation. However, in determining the amount and timing of revenue from contracts with customers, we make judgments as to whether uncertainty as to collectability of the consideration that we are owed precludes recognition of the revenue on an accrual basis. These judgments are based on the facts specific to each circumstance. Primary factors considered include past payment history and our subjective assessment of the likelihood of receiving payment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are reviewed for impairment whenever events or changes in circumstances indicate that the carrying amount of an asset may not be recoverable. If circumstances require a long-lived asset or asset group to be tested for possible impairment, we first compare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Approximately $6.3 million of impairment losses associated with our long-lived assets were recognized during the year ended December 31, 2022. No impairments were recorded for the year ended December 31, 2021. See Note 4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the net tangible and identifiable intangible assets acquired in a business combination. Goodwill is tested for impairment at the reporting unit level annually on October 31 or more frequently if events or changes in circumstances indicate that the asset may be impaired. We first assess qualitative factors to determine whether events or circumstances existed that would lead us to conclude it is more likely than not that the fair value of the reporting unit is below its carrying amount. If we determine that it is more likely than not that the fair value of the reporting unit is below the carrying amount, a quantitative goodwill assessment is required. In the quantitative evaluation, the fair value of the reporting unit is determined and compared to the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as impairment of goodwill in our consolidated statements of operations and comprehensive income (loss). No impairment losses associated with our goodwill were recognized during the years ended December 31, 2022, and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deferred tax assets and liabilities are determined based on the temporary differences between the financial statement and tax bases of assets and liabilities using enacted tax rates in effect for the year in which the differences are expected to reverse. We classify all deferred income tax assets and liabilities as noncurrent on our balance sheet. The effect of a change in tax rates on deferred tax assets and liabilities is recognized within the provision for (benefit from) income taxes on the consolidated statement of operations and comprehensive income (loss) in the period that includes the enactment date.</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reduce deferred tax assets, if necessary, by a valuation allowance if it is more likely than not that we will not realize some or all of the deferred tax assets. In making such a determination,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believe it is more likely than not that our federal deferred tax assets will be realized in the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35" w:name="page36"/>
    <w:bookmarkEnd w:id="35"/>
    <w:p>
      <w:pPr>
        <w:ind w:right="20"/>
        <w:spacing w:after="0" w:line="260" w:lineRule="auto"/>
        <w:rPr>
          <w:sz w:val="20"/>
          <w:szCs w:val="20"/>
          <w:color w:val="auto"/>
        </w:rPr>
      </w:pPr>
      <w:r>
        <w:rPr>
          <w:rFonts w:ascii="Times New Roman" w:cs="Times New Roman" w:eastAsia="Times New Roman" w:hAnsi="Times New Roman"/>
          <w:sz w:val="18"/>
          <w:szCs w:val="18"/>
          <w:color w:val="auto"/>
        </w:rPr>
        <w:t>future based primarily on the timing and reversal of existing taxable temporary differences in that jurisdiction. However, we determined that an amount of our state deferred tax assets is not more likely than not to be realized in the future based primarily on prior years’ cumulative financial results in one state jurisdiction and such state's currently enacted legislation. Refer to Note 8 Income Taxes in our consolidated financial statements and for additional information on the composition of these valuation allowances and for information on the impact of U.S. tax reform legislation.</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file income tax returns in the U.S. federal and state jurisdictions and believe our accrual for tax liabilities is adequate for all open audit years based on many factors including past experience and interpretations of tax law. We recognize the tax benefit from an uncertain tax position if we believe it is more likely than not that the tax position will be sustained, in a court of last resort, based on the technical merits of the position. This assessment relies on estimates and assumptions and any changes in the recognition or measurement of these benefits or liabilities are reflected in the period in which the change in judgment occurs.</w:t>
      </w:r>
    </w:p>
    <w:p>
      <w:pPr>
        <w:spacing w:after="0" w:line="7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within income tax provision (benefit) on our consolidated statement of operations and comprehensive income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Stock-based compensation represents the cost related to stock-based awards granted to employees. We measure stock-based compensation cost at grant date, based upon the estimated fair value of the award, and recognize cost as expense using the accelerate attribution method over the employee requisite service period. We estimate the fair value of stock options using Black-Scholes and Monte Carlo option models. We estimate the fair value of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record deferred tax assets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(loss) in the period in which the tax deduction arises.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80"/>
        <w:spacing w:after="0" w:line="226" w:lineRule="exact"/>
        <w:rPr>
          <w:sz w:val="20"/>
          <w:szCs w:val="20"/>
          <w:color w:val="auto"/>
        </w:rPr>
      </w:pPr>
      <w:r>
        <w:rPr>
          <w:rFonts w:ascii="Times New Roman" w:cs="Times New Roman" w:eastAsia="Times New Roman" w:hAnsi="Times New Roman"/>
          <w:sz w:val="17"/>
          <w:szCs w:val="17"/>
          <w:color w:val="auto"/>
        </w:rPr>
        <w:t>See the sections titled “Summary of Significant Accounting Policies—Recent Accounting Pronouncements” and “—Recently issued accounting pronouncements not yet adopted” in Note 2 to our consolidated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December 31, 2022, we had $901.2 million of variable-rate debt outstanding under our First Lien Term Loan. As of December 31, 2021, we had $903.3 million of variable-rate debt outstanding under our First Lien Term Loan. Based on the balance outstanding under our First Lien Term Loan as of December 31, 2022, an increase or decrease of 100 basis points in the effective interest rate on the First Lien Term Loan would cause an increase or decrease in interest expense of approximately $9 million over the next 12 months.</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 This interest rate swap matured on October 20, 2022 and no new swap was entered into. See Note 11 for additional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8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0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Deloitte &amp; Touche LLP, Independent Registered Public Accounting Firm</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20" w:type="dxa"/>
            <w:vAlign w:val="bottom"/>
          </w:tcPr>
          <w:p>
            <w:pPr>
              <w:spacing w:after="0"/>
              <w:rPr>
                <w:sz w:val="18"/>
                <w:szCs w:val="18"/>
                <w:color w:val="auto"/>
              </w:rPr>
            </w:pPr>
          </w:p>
        </w:tc>
        <w:tc>
          <w:tcPr>
            <w:tcW w:w="5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424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2022, 2021 and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Pr>
          <w:p>
            <w:pPr>
              <w:spacing w:after="0"/>
              <w:rPr>
                <w:sz w:val="18"/>
                <w:szCs w:val="18"/>
                <w:color w:val="auto"/>
              </w:rPr>
            </w:pPr>
          </w:p>
        </w:tc>
        <w:tc>
          <w:tcPr>
            <w:tcW w:w="9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2022, 2021 and 2020</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20" w:type="dxa"/>
            <w:vAlign w:val="bottom"/>
          </w:tcPr>
          <w:p>
            <w:pPr>
              <w:spacing w:after="0"/>
              <w:rPr>
                <w:sz w:val="18"/>
                <w:szCs w:val="18"/>
                <w:color w:val="auto"/>
              </w:rPr>
            </w:pPr>
          </w:p>
        </w:tc>
        <w:tc>
          <w:tcPr>
            <w:tcW w:w="6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1340" w:type="dxa"/>
            <w:vAlign w:val="bottom"/>
            <w:tcBorders>
              <w:top w:val="single" w:sz="8" w:color="0000FF"/>
            </w:tcBorders>
          </w:tcPr>
          <w:p>
            <w:pPr>
              <w:spacing w:after="0"/>
              <w:rPr>
                <w:sz w:val="18"/>
                <w:szCs w:val="18"/>
                <w:color w:val="auto"/>
              </w:rPr>
            </w:pPr>
          </w:p>
        </w:tc>
        <w:tc>
          <w:tcPr>
            <w:tcW w:w="198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20" w:type="dxa"/>
            <w:vAlign w:val="bottom"/>
          </w:tcPr>
          <w:p>
            <w:pPr>
              <w:spacing w:after="0"/>
              <w:rPr>
                <w:sz w:val="18"/>
                <w:szCs w:val="18"/>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65"/>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2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1"/>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Mister Car Wash,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Mister Car Wash,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subsidiaries (the "Company") as of December 31, 2022 and 2021, the related consolidated statements of operations and comprehensive income (loss),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expressed an unqualified opinion on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 Refer to Note 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Company recognizes revenues in two streams: (1) revenues recognized over time with their subscription membership Unlimited Wash Club (“UWC”) program which entitles the customer to unlimited washes for a monthly fee, cancellable at any time, and (2) revenues recognized at a point in time from car washes. The Company’s revenue recognition process utilizes point-of-sale systems for the initiating, processing, and recording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ind w:right="260"/>
        <w:spacing w:after="0" w:line="281" w:lineRule="auto"/>
        <w:rPr>
          <w:sz w:val="20"/>
          <w:szCs w:val="20"/>
          <w:color w:val="auto"/>
        </w:rPr>
      </w:pPr>
      <w:r>
        <w:rPr>
          <w:rFonts w:ascii="Times New Roman" w:cs="Times New Roman" w:eastAsia="Times New Roman" w:hAnsi="Times New Roman"/>
          <w:sz w:val="18"/>
          <w:szCs w:val="18"/>
          <w:color w:val="auto"/>
        </w:rPr>
        <w:t>transactions. Given the Company’s high volume of individually low monetary value transactions, performing audit procedures to test revenues required significant audit effort, including the involvement of data analytics specialists.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revenues included the following, among others:</w:t>
      </w:r>
    </w:p>
    <w:p>
      <w:pPr>
        <w:spacing w:after="0" w:line="332"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internal controls over the Company’s accounting for revenues.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data analytics specialists, we extracted journal entries to analyze the Company’s revenue transactions.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recorded revenues and credit card receivables to cash receipts per the bank.</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transactions and agreed the amounts recognized to source documents, then tested the mathematical accuracy and the timing of the recorded revenues.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of deferred revenue and compared it to the recorded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0" w:name="page41"/>
    <w:bookmarkEnd w:id="40"/>
    <w:p>
      <w:pPr>
        <w:ind w:left="47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106,137</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560,874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472,448</w:t>
            </w:r>
          </w:p>
        </w:tc>
        <w:tc>
          <w:tcPr>
            <w:tcW w:w="100" w:type="dxa"/>
            <w:vAlign w:val="bottom"/>
          </w:tcPr>
          <w:p>
            <w:pPr>
              <w:spacing w:after="0"/>
              <w:rPr>
                <w:sz w:val="24"/>
                <w:szCs w:val="24"/>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776,689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718,533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Pr>
          <w:p>
            <w:pPr>
              <w:spacing w:after="0"/>
              <w:rPr>
                <w:sz w:val="20"/>
                <w:szCs w:val="20"/>
                <w:color w:val="auto"/>
              </w:rPr>
            </w:pPr>
          </w:p>
        </w:tc>
      </w:tr>
      <w:tr>
        <w:trPr>
          <w:trHeight w:val="28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2,686,232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2,448,102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130,229</w:t>
            </w:r>
          </w:p>
        </w:tc>
        <w:tc>
          <w:tcPr>
            <w:tcW w:w="100" w:type="dxa"/>
            <w:vAlign w:val="bottom"/>
          </w:tcPr>
          <w:p>
            <w:pPr>
              <w:spacing w:after="0"/>
              <w:rPr>
                <w:sz w:val="20"/>
                <w:szCs w:val="20"/>
                <w:color w:val="auto"/>
              </w:rPr>
            </w:pPr>
          </w:p>
        </w:tc>
      </w:tr>
      <w:tr>
        <w:trPr>
          <w:trHeight w:val="240"/>
        </w:trPr>
        <w:tc>
          <w:tcPr>
            <w:tcW w:w="7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debt, net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896,336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717,552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1,885,104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1,790,950</w:t>
            </w:r>
          </w:p>
        </w:tc>
        <w:tc>
          <w:tcPr>
            <w:tcW w:w="100" w:type="dxa"/>
            <w:vAlign w:val="bottom"/>
          </w:tcPr>
          <w:p>
            <w:pPr>
              <w:spacing w:after="0"/>
              <w:rPr>
                <w:sz w:val="20"/>
                <w:szCs w:val="20"/>
                <w:color w:val="auto"/>
              </w:rPr>
            </w:pPr>
          </w:p>
        </w:tc>
      </w:tr>
      <w:tr>
        <w:trPr>
          <w:trHeight w:val="240"/>
        </w:trPr>
        <w:tc>
          <w:tcPr>
            <w:tcW w:w="7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306,626,530 and 300,120,451 shares outstanding as of</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783,579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752,343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(98,423 )</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801,128</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657,152</w:t>
            </w:r>
          </w:p>
        </w:tc>
        <w:tc>
          <w:tcPr>
            <w:tcW w:w="100" w:type="dxa"/>
            <w:vAlign w:val="bottom"/>
            <w:tcBorders>
              <w:top w:val="single" w:sz="8" w:color="CFF0FC"/>
            </w:tcBorders>
          </w:tcPr>
          <w:p>
            <w:pPr>
              <w:spacing w:after="0"/>
              <w:rPr>
                <w:sz w:val="20"/>
                <w:szCs w:val="20"/>
                <w:color w:val="auto"/>
              </w:rPr>
            </w:pPr>
          </w:p>
        </w:tc>
      </w:tr>
      <w:tr>
        <w:trPr>
          <w:trHeight w:val="28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2,686,232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2,448,102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-5325110</wp:posOffset>
            </wp:positionV>
            <wp:extent cx="76835" cy="316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-5325110</wp:posOffset>
            </wp:positionV>
            <wp:extent cx="68580"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-4229100</wp:posOffset>
            </wp:positionV>
            <wp:extent cx="1250315" cy="334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50315" cy="33401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-2816225</wp:posOffset>
            </wp:positionV>
            <wp:extent cx="76835" cy="325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3251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-1720215</wp:posOffset>
            </wp:positionV>
            <wp:extent cx="76835" cy="325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325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768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758,357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574,941</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266,069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224,419</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(949 )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(23,188 )</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(37,888 )</w:t>
            </w:r>
          </w:p>
        </w:tc>
      </w:tr>
      <w:tr>
        <w:trPr>
          <w:trHeight w:val="236"/>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688,787</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762,867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431,843</w:t>
            </w:r>
          </w:p>
        </w:tc>
        <w:tc>
          <w:tcPr>
            <w:tcW w:w="100" w:type="dxa"/>
            <w:vAlign w:val="bottom"/>
            <w:tcBorders>
              <w:top w:val="single" w:sz="8" w:color="CFF0FC"/>
            </w:tcBorders>
          </w:tcPr>
          <w:p>
            <w:pPr>
              <w:spacing w:after="0"/>
              <w:rPr>
                <w:sz w:val="20"/>
                <w:szCs w:val="20"/>
                <w:color w:val="auto"/>
              </w:rPr>
            </w:pPr>
          </w:p>
        </w:tc>
      </w:tr>
      <w:tr>
        <w:trPr>
          <w:trHeight w:val="236"/>
        </w:trPr>
        <w:tc>
          <w:tcPr>
            <w:tcW w:w="6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187,719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143,098</w:t>
            </w:r>
          </w:p>
        </w:tc>
        <w:tc>
          <w:tcPr>
            <w:tcW w:w="100" w:type="dxa"/>
            <w:vAlign w:val="bottom"/>
            <w:shd w:val="clear" w:color="auto" w:fill="CFF0FC"/>
          </w:tcPr>
          <w:p>
            <w:pPr>
              <w:spacing w:after="0"/>
              <w:rPr>
                <w:sz w:val="20"/>
                <w:szCs w:val="20"/>
                <w:color w:val="auto"/>
              </w:rPr>
            </w:pPr>
          </w:p>
        </w:tc>
      </w:tr>
      <w:tr>
        <w:trPr>
          <w:trHeight w:val="47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100" w:type="dxa"/>
            <w:vAlign w:val="bottom"/>
            <w:shd w:val="clear" w:color="auto" w:fill="CFF0FC"/>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21"/>
                <w:szCs w:val="21"/>
                <w:color w:val="auto"/>
              </w:rPr>
            </w:pP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(47,138 )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(25,093 )</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FF0FC"/>
          </w:tcPr>
          <w:p>
            <w:pPr>
              <w:spacing w:after="0"/>
              <w:rPr>
                <w:sz w:val="21"/>
                <w:szCs w:val="2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(22,045 )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60,403</w:t>
            </w:r>
          </w:p>
        </w:tc>
        <w:tc>
          <w:tcPr>
            <w:tcW w:w="100" w:type="dxa"/>
            <w:vAlign w:val="bottom"/>
          </w:tcPr>
          <w:p>
            <w:pPr>
              <w:spacing w:after="0"/>
              <w:rPr>
                <w:sz w:val="20"/>
                <w:szCs w:val="20"/>
                <w:color w:val="auto"/>
              </w:rPr>
            </w:pPr>
          </w:p>
        </w:tc>
      </w:tr>
      <w:tr>
        <w:trPr>
          <w:trHeight w:val="236"/>
        </w:trPr>
        <w:tc>
          <w:tcPr>
            <w:tcW w:w="6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interest rate swap</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(1,117 )</w:t>
            </w: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9"/>
        </w:trPr>
        <w:tc>
          <w:tcPr>
            <w:tcW w:w="6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(0.08 )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23"/>
                <w:szCs w:val="23"/>
                <w:color w:val="auto"/>
              </w:rPr>
            </w:pP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303,372,095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261,773,267</w:t>
            </w:r>
          </w:p>
        </w:tc>
        <w:tc>
          <w:tcPr>
            <w:tcW w:w="100" w:type="dxa"/>
            <w:vAlign w:val="bottom"/>
          </w:tcPr>
          <w:p>
            <w:pPr>
              <w:spacing w:after="0"/>
              <w:rPr>
                <w:sz w:val="21"/>
                <w:szCs w:val="21"/>
                <w:color w:val="auto"/>
              </w:rPr>
            </w:pPr>
          </w:p>
        </w:tc>
      </w:tr>
      <w:tr>
        <w:trPr>
          <w:trHeight w:val="236"/>
        </w:trPr>
        <w:tc>
          <w:tcPr>
            <w:tcW w:w="6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327,560,407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275,920,367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-3390265</wp:posOffset>
            </wp:positionV>
            <wp:extent cx="7683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-3390265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-3390265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-2285365</wp:posOffset>
            </wp:positionV>
            <wp:extent cx="7683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-2285365</wp:posOffset>
            </wp:positionV>
            <wp:extent cx="6858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-1968500</wp:posOffset>
            </wp:positionV>
            <wp:extent cx="76835" cy="325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-1968500</wp:posOffset>
            </wp:positionV>
            <wp:extent cx="68580" cy="325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325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-1172210</wp:posOffset>
            </wp:positionV>
            <wp:extent cx="2098040" cy="334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98040" cy="33401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-684530</wp:posOffset>
            </wp:positionV>
            <wp:extent cx="209804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98040" cy="20574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112,900</w:t>
            </w:r>
          </w:p>
        </w:tc>
        <w:tc>
          <w:tcPr>
            <w:tcW w:w="80" w:type="dxa"/>
            <w:vAlign w:val="bottom"/>
          </w:tcPr>
          <w:p>
            <w:pPr>
              <w:spacing w:after="0"/>
              <w:rPr>
                <w:sz w:val="15"/>
                <w:szCs w:val="15"/>
                <w:color w:val="auto"/>
              </w:rPr>
            </w:pP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(22,045 )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60,403</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45,289</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22,305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216,579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sale of assets, net</w:t>
            </w: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(949 )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(23,188 )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(37,888 )</w:t>
            </w:r>
          </w:p>
        </w:tc>
      </w:tr>
      <w:tr>
        <w:trPr>
          <w:trHeight w:val="175"/>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41,099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36,005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34,280</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Non-cash interest income</w:t>
            </w: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(302 )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29,382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(27,330 )</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21,640</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(2,668 )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receivables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(17,956 )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(742 )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Inventory, net</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(2,661 )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(4,324 )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(3,531 )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(2,813 )</w:t>
            </w: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(6,336 )</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(4,297 )</w:t>
            </w:r>
          </w:p>
        </w:tc>
      </w:tr>
      <w:tr>
        <w:trPr>
          <w:trHeight w:val="175"/>
        </w:trPr>
        <w:tc>
          <w:tcPr>
            <w:tcW w:w="66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(42,637 )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(34,266 )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(30,784 )</w:t>
            </w:r>
          </w:p>
        </w:tc>
      </w:tr>
      <w:tr>
        <w:trPr>
          <w:trHeight w:val="175"/>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(3,011 )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(4,100 )</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100" w:type="dxa"/>
            <w:vAlign w:val="bottom"/>
            <w:shd w:val="clear" w:color="auto" w:fill="CFF0FC"/>
          </w:tcPr>
          <w:p>
            <w:pPr>
              <w:spacing w:after="0"/>
              <w:rPr>
                <w:sz w:val="15"/>
                <w:szCs w:val="15"/>
                <w:color w:val="auto"/>
              </w:rPr>
            </w:pPr>
          </w:p>
        </w:tc>
      </w:tr>
      <w:tr>
        <w:trPr>
          <w:trHeight w:val="169"/>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229,201</w:t>
            </w: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173,354</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101,846</w:t>
            </w:r>
          </w:p>
        </w:tc>
        <w:tc>
          <w:tcPr>
            <w:tcW w:w="100" w:type="dxa"/>
            <w:vAlign w:val="bottom"/>
            <w:tcBorders>
              <w:top w:val="single" w:sz="8" w:color="CFF0FC"/>
            </w:tcBorders>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(191,615 )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(125,764 )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(58,744 )</w:t>
            </w: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of car wash operations, net of cash</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(86,703 )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(514,003 )</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(33,584 )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95,935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23,589</w:t>
            </w:r>
          </w:p>
        </w:tc>
        <w:tc>
          <w:tcPr>
            <w:tcW w:w="100" w:type="dxa"/>
            <w:vAlign w:val="bottom"/>
          </w:tcPr>
          <w:p>
            <w:pPr>
              <w:spacing w:after="0"/>
              <w:rPr>
                <w:sz w:val="15"/>
                <w:szCs w:val="15"/>
                <w:color w:val="auto"/>
              </w:rPr>
            </w:pPr>
          </w:p>
        </w:tc>
      </w:tr>
      <w:tr>
        <w:trPr>
          <w:trHeight w:val="17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sale of Oil Change Express</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55,386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(190,131 )</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(543,832 )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(13,353 )</w:t>
            </w:r>
          </w:p>
        </w:tc>
      </w:tr>
      <w:tr>
        <w:trPr>
          <w:trHeight w:val="169"/>
        </w:trPr>
        <w:tc>
          <w:tcPr>
            <w:tcW w:w="66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pursuant to initial public offering</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468,750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plans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repurchases of common stock</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(308 )</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(372 )</w:t>
            </w: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secondary public offering for employee tax withholdings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withholdings paid on behalf of employees for secondary public offering</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(20,859 )</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45,625</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revolving line of credit</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111,681</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on debt borrowings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(2,100 )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(456,972 )</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(8,400 )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revolving line of credit</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(125,681 )</w:t>
            </w: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of debt extinguishment costs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(28 )</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deferred debt issuance costs</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(4,263 )</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(577 )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(495 )</w:t>
            </w: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issuance costs pursuant to initial public offering</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(29,194 )</w:t>
            </w:r>
          </w:p>
        </w:tc>
        <w:tc>
          <w:tcPr>
            <w:tcW w:w="3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272,462</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22,676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34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 and restricted cash during period</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(98,016 )</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111,169</w:t>
            </w:r>
          </w:p>
        </w:tc>
        <w:tc>
          <w:tcPr>
            <w:tcW w:w="100" w:type="dxa"/>
            <w:vAlign w:val="bottom"/>
          </w:tcPr>
          <w:p>
            <w:pPr>
              <w:spacing w:after="0"/>
              <w:rPr>
                <w:sz w:val="24"/>
                <w:szCs w:val="24"/>
                <w:color w:val="auto"/>
              </w:rPr>
            </w:pPr>
          </w:p>
        </w:tc>
      </w:tr>
      <w:tr>
        <w:trPr>
          <w:trHeight w:val="17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19,858</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117,874</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65,222</w:t>
            </w:r>
          </w:p>
        </w:tc>
        <w:tc>
          <w:tcPr>
            <w:tcW w:w="8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19,858</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117,874</w:t>
            </w:r>
          </w:p>
        </w:tc>
        <w:tc>
          <w:tcPr>
            <w:tcW w:w="100" w:type="dxa"/>
            <w:vAlign w:val="bottom"/>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40,605</w:t>
            </w:r>
          </w:p>
        </w:tc>
        <w:tc>
          <w:tcPr>
            <w:tcW w:w="80" w:type="dxa"/>
            <w:vAlign w:val="bottom"/>
          </w:tcPr>
          <w:p>
            <w:pPr>
              <w:spacing w:after="0"/>
              <w:rPr>
                <w:sz w:val="15"/>
                <w:szCs w:val="15"/>
                <w:color w:val="auto"/>
              </w:rPr>
            </w:pP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39,126</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56,669</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(7,437 )</w:t>
            </w: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in accounts payable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9,816</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100" w:type="dxa"/>
            <w:vAlign w:val="bottom"/>
            <w:shd w:val="clear" w:color="auto" w:fill="CFF0FC"/>
          </w:tcPr>
          <w:p>
            <w:pPr>
              <w:spacing w:after="0"/>
              <w:rPr>
                <w:sz w:val="15"/>
                <w:szCs w:val="15"/>
                <w:color w:val="auto"/>
              </w:rPr>
            </w:pPr>
          </w:p>
        </w:tc>
      </w:tr>
      <w:tr>
        <w:trPr>
          <w:trHeight w:val="1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accrued in other accrued expenses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18,772</w:t>
            </w:r>
          </w:p>
        </w:tc>
        <w:tc>
          <w:tcPr>
            <w:tcW w:w="80" w:type="dxa"/>
            <w:vAlign w:val="bottom"/>
          </w:tcPr>
          <w:p>
            <w:pPr>
              <w:spacing w:after="0"/>
              <w:rPr>
                <w:sz w:val="15"/>
                <w:szCs w:val="15"/>
                <w:color w:val="auto"/>
              </w:rPr>
            </w:pP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 exercise proceeds in other receivables</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r>
      <w:tr>
        <w:trPr>
          <w:trHeight w:val="18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property and equipment additions from financing obligations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15,597</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-4210050</wp:posOffset>
            </wp:positionV>
            <wp:extent cx="76835"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-4210050</wp:posOffset>
            </wp:positionV>
            <wp:extent cx="6858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-4210050</wp:posOffset>
            </wp:positionV>
            <wp:extent cx="6858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-3413760</wp:posOffset>
            </wp:positionV>
            <wp:extent cx="7683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-3413760</wp:posOffset>
            </wp:positionV>
            <wp:extent cx="6858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-3413760</wp:posOffset>
            </wp:positionV>
            <wp:extent cx="6858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-1496060</wp:posOffset>
            </wp:positionV>
            <wp:extent cx="76835"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-1496060</wp:posOffset>
            </wp:positionV>
            <wp:extent cx="68580"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-1496060</wp:posOffset>
            </wp:positionV>
            <wp:extent cx="68580" cy="231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-1153795</wp:posOffset>
            </wp:positionV>
            <wp:extent cx="76835"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-1153795</wp:posOffset>
            </wp:positionV>
            <wp:extent cx="68580"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-1153795</wp:posOffset>
            </wp:positionV>
            <wp:extent cx="6858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72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261,749,196</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(156,580 )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(63,602 )</w:t>
            </w:r>
          </w:p>
        </w:tc>
        <w:tc>
          <w:tcPr>
            <w:tcW w:w="0" w:type="dxa"/>
            <w:vAlign w:val="bottom"/>
          </w:tcPr>
          <w:p>
            <w:pPr>
              <w:spacing w:after="0"/>
              <w:rPr>
                <w:sz w:val="1"/>
                <w:szCs w:val="1"/>
                <w:color w:val="auto"/>
              </w:rPr>
            </w:pPr>
          </w:p>
        </w:tc>
      </w:tr>
      <w:tr>
        <w:trPr>
          <w:trHeight w:val="21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Adoption of new accounting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standards, net of tax</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repurchased</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(26,224 )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(1,117 )</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(1,117 )</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60,403</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261,907,622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(76,378 )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pursuant to</w:t>
            </w: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initial public offering, net of</w:t>
            </w: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issuance costs of $29,194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31,250,000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439,243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7,289,354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repurchased</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(334,205 )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(2,760 )</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(2,760 )</w:t>
            </w: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(22,045 )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(22,045 )</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300,120,451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752,343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(98,423 )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517,422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5,525,619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interest rate swap</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306,626,530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783,579</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801,128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-3064510</wp:posOffset>
            </wp:positionV>
            <wp:extent cx="7683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-3064510</wp:posOffset>
            </wp:positionV>
            <wp:extent cx="7683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-3064510</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-3064510</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-3064510</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-1412240</wp:posOffset>
            </wp:positionV>
            <wp:extent cx="7683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-1412240</wp:posOffset>
            </wp:positionV>
            <wp:extent cx="7683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-1412240</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-1412240</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-1412240</wp:posOffset>
            </wp:positionV>
            <wp:extent cx="6858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231F20"/>
        </w:rPr>
        <w:t>Mister Car Wash, Inc., together with its subsidiaries (collectively, the "Company"), is a Delaware corporation based in Tucson, Arizona and provider of conveyorized car wash services. The Company operates two location formats: Express Exterior Locations, which offer express exterior cleaning services, and Interior Cleaning Locations, which offer both express exterior cleaning services and interior cleaning services. As of December 31, 2022, the Company operated 436 car washes in 21 states. As of December 31, 2021, the Company operated 396 car washes in 21 states.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Beginning the end of March 2020 through the first part of April 2020, to ensure the safety of its team members and customers and in compliance with local regulations, the Company temporarily suspended operations at more than 300 of its locations due to the COVID-19 pandemic. During this period, safety protocols were upgraded, and we modified the operating model by temporarily removing all interior cleaning services from locations offering those services. The washes were closed for, on average, 34 days. As the Company opened washes, only exterior cleaning services were offered until July 2020 when interior clean services became available at select locations. In August 2020, all Interior Cleaning Locations were offering interior cleaning services again.</w:t>
      </w:r>
    </w:p>
    <w:p>
      <w:pPr>
        <w:spacing w:after="0" w:line="7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As a result of the temporary suspension of operations, the Company furloughed approximately 5,500 team members, reduced the pay for the remaining team members and amended nearly all leases to allow for up to three months of rent deferrals. None of the amendments resulted in remeasurements. As of December 31, 2022 and 2021, respectively, all back pay for reduced salaries and deferred lease payments had been repaid.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Stock Split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2021, the Company's board of directors (the "Board") and the stockholders of the Company approved a 96-for-1 forward stock split of the Company’s outstanding common stock, which was effected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June 2021, the Company completed its initial public offering (“IPO”) of 43,125,000 shares of common stock at a public offering price of $15.00 per share. The Company sold 31,250,000 shares of common stock and the selling stockholders identified </w:t>
      </w:r>
      <w:r>
        <w:rPr>
          <w:rFonts w:ascii="Times New Roman" w:cs="Times New Roman" w:eastAsia="Times New Roman" w:hAnsi="Times New Roman"/>
          <w:sz w:val="18"/>
          <w:szCs w:val="18"/>
          <w:color w:val="231F20"/>
        </w:rPr>
        <w:t>in the Company’s final prospectus that forms a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Company’s Registration Statement on Form S-1 (File No. 333-256697), filed with the SEC pursuant to Rule 424(b)(4) on June 28, 2021 (the “Prospectus”), </w:t>
      </w:r>
      <w:r>
        <w:rPr>
          <w:rFonts w:ascii="Times New Roman" w:cs="Times New Roman" w:eastAsia="Times New Roman" w:hAnsi="Times New Roman"/>
          <w:sz w:val="18"/>
          <w:szCs w:val="18"/>
          <w:color w:val="000000"/>
        </w:rPr>
        <w:t>sold an aggregate amount of 11,875,000 shares of common stock, which selling stockholder amount included the underwriters' option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purchase up to an additional 5,625,000 shares of common stock. The Company received gross proceeds of approximately $468,750 before deducting underwriting discounts, commissions and offering related issuance costs; the Company did not receive any proceeds from the sale of shares by the selling stockholders. The consolidated financial statements as of December 31, 2022, including share and per share amounts, include the effects of the IPO.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Secondary Public Offering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August 2021, the Company completed a secondary public offering of 12,000,000 shares of common stock sold by the selling stockholders identified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Company’s final prospectus that forms a part of the Company’s Registration Statement on Form S-1 (File No. 333-258186), filed with the SEC pursuant to Rule 424(b)(5) on August 24, 2021. T</w:t>
      </w:r>
      <w:r>
        <w:rPr>
          <w:rFonts w:ascii="Times New Roman" w:cs="Times New Roman" w:eastAsia="Times New Roman" w:hAnsi="Times New Roman"/>
          <w:sz w:val="18"/>
          <w:szCs w:val="18"/>
          <w:color w:val="000000"/>
        </w:rPr>
        <w:t>he Company did not receive any proceeds from the sale of shares by the selling stockholders, and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incurred $498 of expenses in connection with the secondary public offering, which were recorded in general and administrative expenses in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consolidated statements of operations and comprehensive income (loss).</w:t>
      </w:r>
    </w:p>
    <w:p>
      <w:pPr>
        <w:spacing w:after="0" w:line="286" w:lineRule="exact"/>
        <w:rPr>
          <w:sz w:val="20"/>
          <w:szCs w:val="20"/>
          <w:color w:val="auto"/>
        </w:rPr>
      </w:pPr>
    </w:p>
    <w:p>
      <w:pPr>
        <w:ind w:right="7660" w:firstLine="8"/>
        <w:spacing w:after="0" w:line="377" w:lineRule="auto"/>
        <w:tabs>
          <w:tab w:leader="none" w:pos="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All material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Disclosure</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 determined that there is one reportable segment, with activities related to providing car wash services. The car wash locations are geographically diversified and have similar economic characteristics and nature of services. The Company's Chief Operating Decision Maker (“CODM”) is the Chief Executive Officer.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jc w:val="both"/>
        <w:ind w:right="500"/>
        <w:spacing w:after="0" w:line="265"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 Company places its temporary cash investments with high credit quality financial institutions. At times, such investments may exceed federally insured limits; however, management does not believe the Company is exposed to any significant credit risk on counter party cash and cash equivalents.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2022 and 2021, the Company had $70 and $120, respectively, in restricted cash set aside for the funding of various maintenance expenses.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due for consumer credit card sales and other trade accounts receivable. Management determines the allowance for doubtful accounts and writes off trade receivables when deemed uncollectible on a specific customer identification basis. Recoveries of trade receivables previously written off are recorded when received. Accounts receivable are presented net of an allowance for doubtful accounts of $76 and $70 at December 31, 2022 and 2021, respectively. The activity in the allowance for doubtful accounts was immaterial for the years ended December 31, 2022, 2021 and 2020.</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Receivables</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Other receivables consist primarily of payroll tax withholding and exercise proceeds receivables, construction receivables and insurance receivable from non-healthcare related insurance claims.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6" w:name="page47"/>
    <w:bookmarkEnd w:id="46"/>
    <w:p>
      <w:pPr>
        <w:ind w:right="340"/>
        <w:spacing w:after="0" w:line="281" w:lineRule="auto"/>
        <w:rPr>
          <w:sz w:val="20"/>
          <w:szCs w:val="20"/>
          <w:color w:val="auto"/>
        </w:rPr>
      </w:pPr>
      <w:r>
        <w:rPr>
          <w:rFonts w:ascii="Times New Roman" w:cs="Times New Roman" w:eastAsia="Times New Roman" w:hAnsi="Times New Roman"/>
          <w:sz w:val="18"/>
          <w:szCs w:val="18"/>
          <w:color w:val="auto"/>
        </w:rPr>
        <w:t>The Company records payroll tax withholding and exercise proceeds receivable for amounts due to the Company from a third-party broker for amounts used to cover tax liability and exercise proceeds resulting from employee exercises of share-based payment awards.</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For certain build-to-suit lease arrangements, the Company is responsible for the construction of a lessor owned facility using our designs. As construction occurs, the Company will recognize a construction receivable on the Company's consolidated balance sheets due from the lessor. To the extent costs exceed the amount to be reimbursed by the lessor, the Company will consider such costs prepaid rent, which are added to the associated operating lease right of use asset once the lease commences.</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carries a broad range of insurance coverage, including general and business auto liability, commercial property, workers’ compensation, cyber risk, and general umbrella policies. The Company will record receivables from its non-healthcare insurance carriers related to these insurance claims, which are included in other receivables. The receivables are paid when the claim is finalized and the reserved amounts on these claims are expected to be paid within one year.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withholding and exercise proceeds receivable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receivable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20"/>
                <w:szCs w:val="20"/>
                <w:color w:val="auto"/>
              </w:rPr>
            </w:pPr>
          </w:p>
        </w:tc>
      </w:tr>
      <w:tr>
        <w:trPr>
          <w:trHeight w:val="24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receivables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Net</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Inventory, net consists primarily of chemical washing solutions and is stated at the lower of cost or net realizable value using the average cost method. The activity in the reserve for obsolescence accounts was immaterial for the years ended December 31, 2022, 2021 and 2020.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for the periods presented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FF0FC"/>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r>
      <w:tr>
        <w:trPr>
          <w:trHeight w:val="23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gross</w:t>
            </w: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FF0FC"/>
          </w:tcPr>
          <w:p>
            <w:pPr>
              <w:spacing w:after="0"/>
              <w:rPr>
                <w:sz w:val="20"/>
                <w:szCs w:val="20"/>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16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r>
      <w:tr>
        <w:trPr>
          <w:trHeight w:val="27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Property and equipment purchased are stated at cost less accumulated depreciation. Assets acquired in business combinations are recorded at fair value. Depreciation and amortization are recorded using the straight-line method over the estimated useful lives of the property or related lease term. Amortization of assets under finance leases is included in depreciation expense. Estimated useful lives range from 10 to 40 years for buildings and leasehold improvements, and from 3 to 7 years for machinery and equipment.</w:t>
      </w:r>
    </w:p>
    <w:p>
      <w:pPr>
        <w:spacing w:after="0" w:line="7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as incurred. Expenditures for major renewals and betterments that extend the useful lives of existing equipment are capitalized.</w:t>
      </w:r>
    </w:p>
    <w:p>
      <w:pPr>
        <w:spacing w:after="0" w:line="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items that are disposed of, the cost and related accumulated depreciation are removed from the accounts and any resulting gain or loss is recognized as (gain) loss on sale of assets, net in the accompanying consolidated statements of operations and comprehensive income (loss).</w:t>
      </w:r>
    </w:p>
    <w:p>
      <w:pPr>
        <w:spacing w:after="0" w:line="5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Company periodically reviews the carrying value of long-lived assets held and used for possible impairment when events and circumstances warrant such a review.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Other Intangible Assets, Net and Goodwill</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classifies intangible assets into three categories: (1) intangible assets with definite lives subject to amortization, (2) intangible assets with indefinite lives not subject to amortization and (3) goodwill. The Company determines the useful lives of its identifiable intangible assets after considering the specific facts and circumstances related to each intangible asset. The Company considers the following factors when determining useful lives: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Intangible assets that are deemed to have definite lives are amortized, primarily on a straight-line basis, over their useful lives, generally ranging from 2 to 10 years. When facts and circumstances indicate that the carrying value of definite-lived intangible assets may not be recoverable, management assesses the recoverability of the carrying value by preparing estimates of sales volume and the resulting profit and cash flows expected to result from the use of the asset or asset group and its eventual disposition. If the sum of the expected future cash flows (undiscounted and without interest charges) is less than the carrying amount, the Company recognizes an impairment loss. The impairment loss recognized is the amount by which the carrying amount of the asset or asset group exceeds the fair value. The Company uses a variety of methodologies to determine the fair value of these assets, including discounted cash flow models, which are consistent with the assumptions hypothetical marketplace participants would use.</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tests intangible assets determined to have indefinite useful lives, including trade names and trademarks, for impairment annually, or more frequently if events or circumstances indicate that assets might be impaired. The Company uses a variety of methodologies in conducting impairment assessments of indefinite-lived intangible assets, including, but not limited to, discounted cash flow models, which are based on the assumptions the Company believes hypothetical marketplace participants would use. For indefinite-lived intangible assets, other than goodwill, if the carrying amount exceeds the fair value, an impairment charge is recognized in an amount equal to that excess. The Company has the option to perform a qualitative assessment of indefinite-lived intangible assets, other than goodwill, rather than completing the impairment test. The Company must assess whether it is more likely than not that the fair value of the intangible asset is less than its carrying amount. If the Company concludes that this is the case, it must perform the testing described above. Otherwise, the Company does not need to perform any further assessment. The Company completed its indefinite-life intangible asset impairment analysis as of October 31, 2022 and 2021 and concluded that it was not more likely than not that the carrying value of the asset may not be recoverable.</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evaluates its goodwill for impairment at the reporting unit-level on an annual basis (or more frequently if events or circumstances indicate that the related carrying amount may be impaired). The Company evaluates qualitative factors to determine if performing the quantitative impairment test is required. If it is determined that it is more likely than not, as defined in the guidance, that the carrying value is less than the fair value, the potential for goodwill impairment is evaluated and the amount of impairment loss, if any, is measured and recognized. If the Company determines that it is not more likely than not that the carrying value is less than the fair value, no further evaluation is performed. The Company completed its goodwill impairment test as of October 31, 2022 and 2021 and concluded that it is not more likely than not that the carrying value is less than the fair value, and therefore, no further evaluation was performed.</w:t>
      </w:r>
    </w:p>
    <w:p>
      <w:pPr>
        <w:spacing w:after="0" w:line="79"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The Company allocated $16,191 of goodwill to the quick lube facilities disposed of on December 11, 2020. See Note 17 Dispositions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Debt Issuance Costs</w:t>
      </w:r>
    </w:p>
    <w:p>
      <w:pPr>
        <w:spacing w:after="0" w:line="12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Debt issuance costs related to a recognized debt liability are presented in the consolidated balance sheets as a direct deduction from the carrying value of the related liability except for debt issuance costs related to the Company’s Revolving Commitment arrangement. In the case of the line-of-credit arrangement, regardless of whether there are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8" w:name="page49"/>
    <w:bookmarkEnd w:id="48"/>
    <w:p>
      <w:pPr>
        <w:ind w:right="220"/>
        <w:spacing w:after="0" w:line="281" w:lineRule="auto"/>
        <w:rPr>
          <w:sz w:val="20"/>
          <w:szCs w:val="20"/>
          <w:color w:val="auto"/>
        </w:rPr>
      </w:pPr>
      <w:r>
        <w:rPr>
          <w:rFonts w:ascii="Times New Roman" w:cs="Times New Roman" w:eastAsia="Times New Roman" w:hAnsi="Times New Roman"/>
          <w:sz w:val="18"/>
          <w:szCs w:val="18"/>
          <w:color w:val="auto"/>
        </w:rPr>
        <w:t>any outstanding borrowings on the line-of-credit arrangement, related debt issuance costs are presented in Other assets in the accompanying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 costs associated with the funding of long-term debt are amortized to interest expense over the term of the applicable loan.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a pay fixed, receive variable interest rate swap contract (“Swap”) to manage its exposure to changes in interest rates. The Swap is recognized in the consolidated balance sheets at fair value. The Swap is a cash flow hedge and is recorded using hedge accounting, as such, changes in the fair value of the Swap are recorded in Other comprehensive income (loss), net of tax until the hedged item is recognized in earnings. Amounts reported in Other comprehensive income (loss), net of tax related to the Swap are reclassified to interest expense as interest payments are made on the Company’s variable-rate debt. The Swap matured on October 20, 2022.</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Company assesses, both at the inception of the hedge and on an ongoing basis, whether the derivative used as a hedging instrument is highly effective in offsetting the changes in the cash flow of the hedged item. If it is determined that the derivative is not highly effective as a hedge or ceases to be highly effective, the Company will discontinue hedge accounting prospectively. See Note 10 Fair Value Measurements and Note 11 Interest Rate Swap for additional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determines if a contract contains a lease at inception. The Company’s material operating leases consist of car wash locations, warehouses and office space. U.S. GAAP requires that the Company’s leases be evaluated and classified as operating or finance leases for financial reporting purposes. The classification evaluation begins at the commencement date, and the lease term used in the evaluation includes the non-cancelable period for which the Company has the right to use the underlying asset, together with renewal option periods when the exercise of the renewal option is reasonably certain and failure to exercise such option would result in an economic penalty. Nearly all of the Company’s car wash and office space leases are classified as operating leases.</w:t>
      </w:r>
    </w:p>
    <w:p>
      <w:pPr>
        <w:spacing w:after="0" w:line="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disburses cash for leasehold improvements, furniture and fixtures and equipment to build out and equip the Company’s leased premises. Tenant improvement allowance incentives may be available to partially offset the cost of developing and opening the related car washes, pursuant to agreed-upon terms in the respective lease agreements. Tenant improvement allowances can take the form of cash payments upon the opening of the related car washes, full or partial credits against rents otherwise payable by the Company, or a combination thereof. All tenant improvement allowances received by the Company are recorded as a contra operating lease right of use asset and amortized over the term of the lease.</w:t>
      </w:r>
    </w:p>
    <w:p>
      <w:pPr>
        <w:spacing w:after="0" w:line="7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lease term used for straight-line rent expense is calculated from the commencement date (the date the Company takes possession of the premises) through the lease termination date (including any options where exercise is reasonably certain and failure to exercise such option would result in an economic penalty). The initial lease term of the Company’s operating leases ranges from 6 to 50 years. The Company records rent expense on a straight-line basis beginning on the lease commencement date.</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Maintenance, insurance and property tax expenses are generally accounted for on an accrual basis as variable lease costs. The Company recognizes variable lease cost for operating leases in the period when changes in facts and circumstances on which the variable lease payments are based occur. All operating lease rent expense is included in equipment and facilities or general and administrative expense on the consolidated statements of operations and comprehensive income (loss).</w:t>
      </w:r>
    </w:p>
    <w:p>
      <w:pPr>
        <w:spacing w:after="0" w:line="74"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The Company records a lease liability for its operating leases equal to the present value of future payments discounted at the estimated fully collateralized incremental borrowing rate (discount rate) corresponding with the lease term as the rate implicit in the Company’s leases is not readily determinable. The Company’s operating lease liability calculation is the total rent payable during the lease term, including rent escalations in which the amount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ind w:right="180"/>
        <w:spacing w:after="0" w:line="258" w:lineRule="auto"/>
        <w:rPr>
          <w:sz w:val="20"/>
          <w:szCs w:val="20"/>
          <w:color w:val="auto"/>
        </w:rPr>
      </w:pPr>
      <w:r>
        <w:rPr>
          <w:rFonts w:ascii="Times New Roman" w:cs="Times New Roman" w:eastAsia="Times New Roman" w:hAnsi="Times New Roman"/>
          <w:sz w:val="18"/>
          <w:szCs w:val="18"/>
          <w:color w:val="auto"/>
        </w:rPr>
        <w:t>future rent is certain or fixed on the straight-line basis over the term of the lease (including any rent holiday period beginning upon the Company’s possession of the premises, and any fixed payments stated in the lease). A corresponding operating lease asset is also recorded equaling the initial amount of the operating lease liability, plus any lease payments made to the lessor before or at the lease commencement date and any initial direct costs incurred, less any lease incentives received. The difference between the minimum rents paid and the straight-line rent is reflected within the associated operating lease right of use asset.</w:t>
      </w:r>
    </w:p>
    <w:p>
      <w:pPr>
        <w:spacing w:after="0" w:line="7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 Additionally, the Company does not enter into lease transactions with related parties.</w:t>
      </w:r>
    </w:p>
    <w:p>
      <w:pPr>
        <w:spacing w:after="0" w:line="5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 makes judgments regarding the reasonably certain lease term for each car wash property lease, which can impact the classification and accounting for a lease as finance or operating and/or escalations in payments that are taken into consideration when calculating straight-line rent, and the term over which leasehold improvements for each car wash are amortized. These judgments may produce materially different amounts of depreciation, amortization and rent expense than would be reported if different assumed lease terms were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a five-step model to recognize revenue from customer contracts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two main streams. First, the Company offers an Unlimited Wash Club ("UWC") program to its customers. The UWC program entitles the customer to unlimited washes for a monthly fee, cancelable at any time. The customer and the Company enter into a contract that falls under the definition of a customer contract under ASC 606. Customers are automatically charged on a credit or debit card on the same day of the month that they originally signed up. The Company’s performance obligations is to provide unlimited car wash services for a monthly fee. The UWC revenue is recognized ratably daily over the month in which it is earned and amounts unearned are recorded as deferred revenue on the consolidated balance sheets. Accounts receivable, net and deferred revenue as of January 1, 2020 were $5,125 and $21,258, respectively. All amounts recorded as deferred revenue at year end are recognized as revenue in the following year. Second, revenue from car wash and, prior to 2021, quick lube services are recognized at the point in time services are rendered and the customer pays with cash or credit. Revenues are net of sales tax, refunds and discounts applied as a reduction of revenue at the time of payment.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the Company's net revenues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593,067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486,580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339,836</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282,424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268,981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232,210</w:t>
            </w:r>
          </w:p>
        </w:tc>
        <w:tc>
          <w:tcPr>
            <w:tcW w:w="100" w:type="dxa"/>
            <w:vAlign w:val="bottom"/>
          </w:tcPr>
          <w:p>
            <w:pPr>
              <w:spacing w:after="0"/>
              <w:rPr>
                <w:sz w:val="20"/>
                <w:szCs w:val="20"/>
                <w:color w:val="auto"/>
              </w:rPr>
            </w:pPr>
          </w:p>
        </w:tc>
      </w:tr>
      <w:tr>
        <w:trPr>
          <w:trHeight w:val="247"/>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758,357</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574,941</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promotes and sells a limited number of prepaid products, which include discounted car wash packages and gift cards that are not material to the financial statements. The Company records the sale of these items as deferred revenue, which is reduced for estimated breakage, which is not material to the financial statements. Revenue is recognized based on the terms of the packages and when the prepaid packages or gift cards are redeemed by the customer.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Labor and Chemicals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0" w:name="page51"/>
    <w:bookmarkEnd w:id="50"/>
    <w:p>
      <w:pPr>
        <w:spacing w:after="0" w:line="265" w:lineRule="auto"/>
        <w:rPr>
          <w:sz w:val="20"/>
          <w:szCs w:val="20"/>
          <w:color w:val="auto"/>
        </w:rPr>
      </w:pPr>
      <w:r>
        <w:rPr>
          <w:rFonts w:ascii="Times New Roman" w:cs="Times New Roman" w:eastAsia="Times New Roman" w:hAnsi="Times New Roman"/>
          <w:sz w:val="18"/>
          <w:szCs w:val="18"/>
          <w:color w:val="auto"/>
        </w:rPr>
        <w:t>Cost of labor and chemicals include labor costs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on held-for-use assets at the car wash and warehouse locations.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Sales and marketing expenses are expensed as incurred and include costs for advertising, onsite collateral, promotional events and sponsorships, and customer retention. Advertising costs totaled approximately $4,634, $4,868 and $3,222 for the years ended December 31, 2022, 2021, and 2020, respectively, and are recorded in other store operating expenses in the consolidated statements of operations and comprehensive income (loss).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6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 has adopted a more likely than not threshold for financial statement recognition and measurement of an uncertain tax position taken or expected to be taken in a tax return. The Company recognizes interest and penalties related to uncertain tax positions in income tax (benefit) provision in the consolidated statements of operations and comprehensive income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Taxes</w:t>
      </w:r>
    </w:p>
    <w:p>
      <w:pPr>
        <w:spacing w:after="0" w:line="121"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The Company collects sales taxes from customers for taxable services provided and products sold and remits those collected sales and use taxes to the applicable state authorities on a monthly basis. The Company has adopted a policy of presenting such taxes on revenues on a net basis (excluded from revenues) in the Company’s consolidated statements of operations and comprehensive income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represents the cost related to stock-based awards granted to employees. The Company measures stock-based compensation cost at grant date, based upon the estimated fair value of the award, and recognizes cost as expense using the tranche over the employee requisite service period. The Company estimates the fair value of stock options and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The Company has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records deferred tax assets for awards that result in deductions in the Company’s income tax returns, based upon the amount of compensation cost recognized and the Company’s statutory tax rate. The tax effect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1" w:name="page52"/>
    <w:bookmarkEnd w:id="51"/>
    <w:p>
      <w:pPr>
        <w:spacing w:after="0" w:line="265" w:lineRule="auto"/>
        <w:rPr>
          <w:sz w:val="20"/>
          <w:szCs w:val="20"/>
          <w:color w:val="auto"/>
        </w:rPr>
      </w:pPr>
      <w:r>
        <w:rPr>
          <w:rFonts w:ascii="Times New Roman" w:cs="Times New Roman" w:eastAsia="Times New Roman" w:hAnsi="Times New Roman"/>
          <w:sz w:val="18"/>
          <w:szCs w:val="18"/>
          <w:color w:val="auto"/>
        </w:rPr>
        <w:t>differences between the compensation cost of an award recognized for financial reporting purposes and the deduction for an award for tax purposes is recognized as an income tax expense or benefit in the consolidated statements of operations and comprehensive income (loss) in the period in which the tax deduction arises.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each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including applying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w:t>
      </w:r>
    </w:p>
    <w:p>
      <w:pPr>
        <w:spacing w:after="0" w:line="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For all business acquisitions, the Company recognizes, separately from goodwill, the identifiable assets acquired, and liabilities assumed at their estimated acquisition-date fair values. The Company measures and recognizes goodwill as of the acquisition date as the excess of the aggregate of the fair value of consideration transferred over the fair value of assets acquired and liabilities assumed.</w:t>
      </w:r>
    </w:p>
    <w:p>
      <w:pPr>
        <w:spacing w:after="0" w:line="6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To the extent contingencies such as pre-acquisition environmental matters, contingent purchase price consideration, litigation, and related legal fees are resolved or settled during a reporting period after a business combination occurs, the effect of changes in such contingencies is included in results of operations in the periods in which the adjustments are determined. The Company recognizes third-party transaction-related costs as general and administrative in the period in which those costs are incurred.</w:t>
      </w:r>
    </w:p>
    <w:p>
      <w:pPr>
        <w:spacing w:after="0" w:line="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If information about facts and circumstances existing as of the acquisition date is incomplete by the end of the reporting period in which a business combination occurs, the Company reports provisional amounts for the items for which the accounting is incomplete. This period will not exceed one year from the acquisition date. Any material adjustments recognized during the measurement period are reflected prospectively in the consolidated financial statements of the subsequent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 discloses the fair value of its financial instruments based on the fair value hierarchy. The levels of the fair value hierarchy are described as follows:</w:t>
      </w:r>
    </w:p>
    <w:p>
      <w:pPr>
        <w:spacing w:after="0" w:line="5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Level 1—Financial assets and liabilities whose values are based on unadjusted quoted market prices for identical assets and liabilities in an active market that the Company has the ability to access.</w:t>
      </w:r>
    </w:p>
    <w:p>
      <w:pPr>
        <w:spacing w:after="0" w:line="5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Level 2—Financial assets and liabilities whose values are based on quoted prices in markets that are not active, or model inputs that are observable for substantially the full term of the asset or liability.</w:t>
      </w:r>
    </w:p>
    <w:p>
      <w:pPr>
        <w:spacing w:after="0" w:line="55"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Level 3—Financial assets and liabilities whose values are based on prices or valuation techniques that require inputs that are both unobservable and significant to the overall fair value measurement.</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observable market data, when available, in making fair value measurements. When inputs used to measure fair value fall within different levels of the hierarchy, the level within which the fair value measurement is categorized is based on the lowest level input that is significant to the fair value measurement. A contingent consideration liability related to one of the Company's 2021 acquisitions was measured at fair value (Level 3) on a recurring basis as of December 31, 2022 and 2021. See Note 10 Fair Value Measurements for additional information regarding the contingent consideration liability.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common shares outstanding for the period. Diluted net income (loss) per share is computed by dividing net income (loss)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(loss) per share if their effect is antidilutive. Reconciliations of the numerators and denominators of the basic and diluted net income (loss) per share calculations for the periods presented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(22,045 )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60,403</w:t>
            </w:r>
          </w:p>
        </w:tc>
        <w:tc>
          <w:tcPr>
            <w:tcW w:w="100" w:type="dxa"/>
            <w:vAlign w:val="bottom"/>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303,372,095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261,773,267</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23,617,488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14,147,100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327,560,407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275,920,367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4"/>
                <w:szCs w:val="24"/>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-538480</wp:posOffset>
            </wp:positionV>
            <wp:extent cx="2072005" cy="3594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72005" cy="35941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for the periods presented because including them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2,204,216</w:t>
            </w:r>
          </w:p>
        </w:tc>
        <w:tc>
          <w:tcPr>
            <w:tcW w:w="24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30,752,951</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00" w:type="dxa"/>
            <w:vAlign w:val="bottom"/>
            <w:shd w:val="clear" w:color="auto" w:fill="CFF0FC"/>
          </w:tcPr>
          <w:p>
            <w:pPr>
              <w:spacing w:after="0"/>
              <w:rPr>
                <w:sz w:val="20"/>
                <w:szCs w:val="20"/>
                <w:color w:val="auto"/>
              </w:rPr>
            </w:pPr>
          </w:p>
        </w:tc>
      </w:tr>
      <w:tr>
        <w:trPr>
          <w:trHeight w:val="23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1,683,077</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7"/>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194,263</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-24765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consolidated balance sheets were reclassified from prepaid expenses and other current assets and recorded against the IPO proceeds as a reduction to additional paid-in capital. There were no deferred offering costs capitalized as of December 31, 2022 and December 31,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Period Reclassification</w:t>
      </w:r>
    </w:p>
    <w:p>
      <w:pPr>
        <w:spacing w:after="0" w:line="12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Certain prior period amounts related to other receivables within accounts receivable, net and prepaid expenses and other current assets in the accompanying consolidated financial statements have been reclassified to conform to the current period presentation. There was no change to prior period current or total assets. Certain prior period amounts related to accrued payroll and related expenses within other accrued expenses in the accompanying consolidated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financial statements have been reclassified to conform to the current period presentation. There was no change to prior period current or total liabilities.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removing a variety of exceptions within the framework of ASC 740. The Company early adopted ASU No. 2019-12 on April 1, 2021, and the amendments applicable to the Company were applied prospectively. The adoption of this standard did not have an impact on the Company’s consolidated financial statements or disclosures for the year ended December 31, 2021.</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(“ASU No. 2020-04”) and issued the following subsequent amendments to ASU No. 2020-04: ASU No. 2021-01. The new guidance is intended to ease the potential burden in accounting for (or recognizing the effects of) reference rate reform on financial reporting. Reference rate reform is necessary due to the phase out of the London Interbank Offered Rate (“LIBOR”) at the end of 2021. The adoption of this guidance is optional and provides relief around modification and hedge accounting as it specifically arises from changing reference rates, in addition to optional expedients for cash flow hedges. The guidance will be effective from March 12, 2020 through December 31, 2022. The Company adopted ASU No. 2020-04 on April 1, 2021, and the adoption of this standard did not have an impact on the Company’s consolidated financial statements or disclosures. The Company continues to evaluate the impact of the guidance and may apply other elections as applicable as additional changes in the market occur.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 Not Yet Adopted</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which replaces the existing incurred loss impairment model with an expected credit loss model and requires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measured at amortized cost to be presented at the net amount expected to be collected. The guidance will be effective for the Company beginning January 1, 2023, and interim periods therein. Early adoption is permitted. The Company will adopt this new standard in the first quarter of 2023 and does not believe it will have a material effect on its consolidated financial statements and related disclosures.</w:t>
      </w:r>
    </w:p>
    <w:p>
      <w:pPr>
        <w:spacing w:after="0" w:line="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231F20"/>
        </w:rPr>
        <w:t>(“ASU No. 2021-08”)</w:t>
      </w:r>
      <w:r>
        <w:rPr>
          <w:rFonts w:ascii="Times New Roman" w:cs="Times New Roman" w:eastAsia="Times New Roman" w:hAnsi="Times New Roman"/>
          <w:sz w:val="18"/>
          <w:szCs w:val="18"/>
          <w:color w:val="auto"/>
        </w:rPr>
        <w:t>. The guidance improves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by addressing diversity in practice and certain inconsistencies in application. Under current U.S. GAAP, an acquirer generally recognizes contract assets acquired and liabilities assumed in a business combination at fair value on the acquisition date. The amendments in this update require that an acquirer recognize and measure contract assets and contract liabilities acquired in a business combination in accordance with ASC Topic 606 as if it had originated the contracts. The amendments in this update are effective for fiscal years beginning after December 15, 2022, including interim periods within those fiscal years. Early adoption is permitted, including adoption in an interim period. The Company is currently evaluating the effect that ASU No. 2021-08 will have on its consolidated financial statements and related disclosures.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3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5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-709930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94,594</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171,540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229,453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188,053</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(223,288 )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(175,017 )</w:t>
            </w: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 finance leases</w:t>
            </w:r>
          </w:p>
        </w:tc>
        <w:tc>
          <w:tcPr>
            <w:tcW w:w="1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(2,284 )</w:t>
            </w:r>
          </w:p>
        </w:tc>
        <w:tc>
          <w:tcPr>
            <w:tcW w:w="1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560,874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-658495</wp:posOffset>
            </wp:positionV>
            <wp:extent cx="6858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Depreciation expense was $52,715, $43,970 and $38,010 for the years ended December 31, 2022, 2021 and 2020, respectively. Amortization expense on finance leases was $991, $970 and $336 for the years ended December 31, 2022, 2021 and 2020, respectively. In December 2022, the Company recorded $6,252 of impairment losses primarily related to the land and building of two locations, using independent third-party appraisals to determine the change in market values. These losses are recorded in gain on sale of assets, net on the consolidated statements of operations and comprehensive income (loss).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intangibles assets, net consisted of the following as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31"/>
        </w:trPr>
        <w:tc>
          <w:tcPr>
            <w:tcW w:w="5540" w:type="dxa"/>
            <w:vAlign w:val="bottom"/>
          </w:tcPr>
          <w:p>
            <w:pPr>
              <w:spacing w:after="0"/>
              <w:rPr>
                <w:sz w:val="11"/>
                <w:szCs w:val="11"/>
                <w:color w:val="auto"/>
              </w:rPr>
            </w:pPr>
          </w:p>
        </w:tc>
        <w:tc>
          <w:tcPr>
            <w:tcW w:w="1160" w:type="dxa"/>
            <w:vAlign w:val="bottom"/>
            <w:gridSpan w:val="2"/>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1"/>
                <w:szCs w:val="11"/>
                <w:color w:val="auto"/>
              </w:rPr>
            </w:pPr>
          </w:p>
        </w:tc>
        <w:tc>
          <w:tcPr>
            <w:tcW w:w="1120" w:type="dxa"/>
            <w:vAlign w:val="bottom"/>
            <w:gridSpan w:val="2"/>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r>
      <w:tr>
        <w:trPr>
          <w:trHeight w:val="187"/>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r>
      <w:tr>
        <w:trPr>
          <w:trHeight w:val="23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0"/>
                <w:szCs w:val="20"/>
                <w:color w:val="auto"/>
              </w:rPr>
            </w:pPr>
          </w:p>
        </w:tc>
      </w:tr>
      <w:tr>
        <w:trPr>
          <w:trHeight w:val="280"/>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174,490</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4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172,975</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weighted average amortization period for CPC Unity System, Customer relationships, and Covenants not to compete are 10.0 years, 7.0 years and 6.3 years,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finite-lived intangible assets was $7,874, $5,619 and $6,943 for the years ended December 31, 2022, 2021 and 2020,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estimated future amortization expense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5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8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30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80" w:type="dxa"/>
            <w:vAlign w:val="bottom"/>
            <w:tcBorders>
              <w:bottom w:val="single" w:sz="8" w:color="CFF0FC"/>
            </w:tcBorders>
            <w:shd w:val="clear" w:color="auto" w:fill="CFF0FC"/>
          </w:tcPr>
          <w:p>
            <w:pPr>
              <w:spacing w:after="0"/>
              <w:rPr>
                <w:sz w:val="24"/>
                <w:szCs w:val="24"/>
                <w:color w:val="auto"/>
              </w:rPr>
            </w:pPr>
          </w:p>
        </w:tc>
        <w:tc>
          <w:tcPr>
            <w:tcW w:w="2260" w:type="dxa"/>
            <w:vAlign w:val="bottom"/>
          </w:tcPr>
          <w:p>
            <w:pPr>
              <w:spacing w:after="0"/>
              <w:rPr>
                <w:sz w:val="24"/>
                <w:szCs w:val="24"/>
                <w:color w:val="auto"/>
              </w:rPr>
            </w:pPr>
          </w:p>
        </w:tc>
      </w:tr>
      <w:tr>
        <w:trPr>
          <w:trHeight w:val="412"/>
        </w:trPr>
        <w:tc>
          <w:tcPr>
            <w:tcW w:w="4360" w:type="dxa"/>
            <w:vAlign w:val="bottom"/>
          </w:tcPr>
          <w:p>
            <w:pPr>
              <w:spacing w:after="0"/>
              <w:rPr>
                <w:sz w:val="24"/>
                <w:szCs w:val="24"/>
                <w:color w:val="auto"/>
              </w:rPr>
            </w:pPr>
          </w:p>
        </w:tc>
        <w:tc>
          <w:tcPr>
            <w:tcW w:w="30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57"/>
        </w:trPr>
        <w:tc>
          <w:tcPr>
            <w:tcW w:w="43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-538480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-521970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737,415</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323,477</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provisional adjustments</w:t>
            </w: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(8,262 )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(671 )</w:t>
            </w:r>
          </w:p>
        </w:tc>
      </w:tr>
      <w:tr>
        <w:trPr>
          <w:trHeight w:val="240"/>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expense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Greenfield development accruals represent property and equipment costs, primarily related to land and buildings and improvements not yet invoiced as of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5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4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(9,748 )</w:t>
            </w:r>
          </w:p>
        </w:tc>
      </w:tr>
      <w:tr>
        <w:trPr>
          <w:trHeight w:val="243"/>
        </w:trPr>
        <w:tc>
          <w:tcPr>
            <w:tcW w:w="4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5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(4,872 )</w:t>
            </w: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5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25,646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(22,781 )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5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(4,549 )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29,383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(27,330 )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21,640</w:t>
            </w:r>
          </w:p>
        </w:tc>
        <w:tc>
          <w:tcPr>
            <w:tcW w:w="100" w:type="dxa"/>
            <w:vAlign w:val="bottom"/>
          </w:tcPr>
          <w:p>
            <w:pPr>
              <w:spacing w:after="0"/>
              <w:rPr>
                <w:sz w:val="20"/>
                <w:szCs w:val="20"/>
                <w:color w:val="auto"/>
              </w:rPr>
            </w:pPr>
          </w:p>
        </w:tc>
      </w:tr>
      <w:tr>
        <w:trPr>
          <w:trHeight w:val="28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34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32,924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(25,093 )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shd w:val="clear" w:color="auto" w:fill="CFF0FC"/>
          </w:tcPr>
          <w:p>
            <w:pPr>
              <w:spacing w:after="0"/>
              <w:rPr>
                <w:sz w:val="24"/>
                <w:szCs w:val="24"/>
                <w:color w:val="auto"/>
              </w:rPr>
            </w:pPr>
          </w:p>
        </w:tc>
      </w:tr>
      <w:tr>
        <w:trPr>
          <w:trHeight w:val="412"/>
        </w:trPr>
        <w:tc>
          <w:tcPr>
            <w:tcW w:w="402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jc w:val="right"/>
              <w:ind w:right="790"/>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57"/>
        </w:trPr>
        <w:tc>
          <w:tcPr>
            <w:tcW w:w="40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-1480820</wp:posOffset>
            </wp:positionV>
            <wp:extent cx="7683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-1480820</wp:posOffset>
            </wp:positionV>
            <wp:extent cx="6858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-855345</wp:posOffset>
            </wp:positionV>
            <wp:extent cx="76835"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-855345</wp:posOffset>
            </wp:positionV>
            <wp:extent cx="6858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-538480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-521970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-538480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6" w:name="page57"/>
    <w:bookmarkEnd w:id="56"/>
    <w:p>
      <w:pPr>
        <w:ind w:right="680"/>
        <w:spacing w:after="0" w:line="281" w:lineRule="auto"/>
        <w:rPr>
          <w:sz w:val="20"/>
          <w:szCs w:val="20"/>
          <w:color w:val="auto"/>
        </w:rPr>
      </w:pPr>
      <w:r>
        <w:rPr>
          <w:rFonts w:ascii="Times New Roman" w:cs="Times New Roman" w:eastAsia="Times New Roman" w:hAnsi="Times New Roman"/>
          <w:sz w:val="18"/>
          <w:szCs w:val="18"/>
          <w:color w:val="auto"/>
        </w:rPr>
        <w:t>A reconciliation of the statutory income tax rate provision (benefit) to the Company’s provision (benefit) consisted of the following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at the statutory rate</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30,623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credits</w:t>
            </w:r>
          </w:p>
        </w:tc>
        <w:tc>
          <w:tcPr>
            <w:tcW w:w="84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 adjustment</w:t>
            </w:r>
          </w:p>
        </w:tc>
        <w:tc>
          <w:tcPr>
            <w:tcW w:w="8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4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(4,571 )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tax law (CARES Act)</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(3,906 )</w:t>
            </w:r>
          </w:p>
        </w:tc>
      </w:tr>
      <w:tr>
        <w:trPr>
          <w:trHeight w:val="24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65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32,924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(25,093 )</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3"/>
        </w:trPr>
        <w:tc>
          <w:tcPr>
            <w:tcW w:w="6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6"/>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40" w:type="dxa"/>
            <w:vAlign w:val="bottom"/>
            <w:gridSpan w:val="4"/>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840" w:type="dxa"/>
            <w:vAlign w:val="bottom"/>
          </w:tcPr>
          <w:p>
            <w:pPr>
              <w:spacing w:after="0"/>
              <w:rPr>
                <w:sz w:val="20"/>
                <w:szCs w:val="20"/>
                <w:color w:val="auto"/>
              </w:rPr>
            </w:pP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200,061</w:t>
            </w:r>
          </w:p>
        </w:tc>
        <w:tc>
          <w:tcPr>
            <w:tcW w:w="28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2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47,626</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(NOL) carryforwards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credit carryforward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273,769</w:t>
            </w: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(566 )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2"/>
        </w:trPr>
        <w:tc>
          <w:tcPr>
            <w:tcW w:w="658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Net deferred tax assets</w:t>
            </w:r>
          </w:p>
        </w:tc>
        <w:tc>
          <w:tcPr>
            <w:tcW w:w="8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278,893</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273,647</w:t>
            </w:r>
          </w:p>
        </w:tc>
        <w:tc>
          <w:tcPr>
            <w:tcW w:w="100" w:type="dxa"/>
            <w:vAlign w:val="bottom"/>
            <w:tcBorders>
              <w:top w:val="single" w:sz="8" w:color="CFF0FC"/>
            </w:tcBorders>
          </w:tcPr>
          <w:p>
            <w:pPr>
              <w:spacing w:after="0"/>
              <w:rPr>
                <w:sz w:val="20"/>
                <w:szCs w:val="20"/>
                <w:color w:val="auto"/>
              </w:rPr>
            </w:pPr>
          </w:p>
        </w:tc>
      </w:tr>
      <w:tr>
        <w:trPr>
          <w:trHeight w:val="251"/>
        </w:trPr>
        <w:tc>
          <w:tcPr>
            <w:tcW w:w="6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(193,967 )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(180,018 )</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(55,476 )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(46,254 )</w:t>
            </w: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(81,876 )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(68,539 )</w:t>
            </w:r>
          </w:p>
        </w:tc>
      </w:tr>
      <w:tr>
        <w:trPr>
          <w:trHeight w:val="24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(969 )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(1,439 )</w:t>
            </w:r>
          </w:p>
        </w:tc>
      </w:tr>
      <w:tr>
        <w:trPr>
          <w:trHeight w:val="20"/>
        </w:trPr>
        <w:tc>
          <w:tcPr>
            <w:tcW w:w="65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(332,288 )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(296,250 )</w:t>
            </w:r>
          </w:p>
        </w:tc>
      </w:tr>
      <w:tr>
        <w:trPr>
          <w:trHeight w:val="28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8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280" w:type="dxa"/>
            <w:vAlign w:val="bottom"/>
            <w:tcBorders>
              <w:bottom w:val="single" w:sz="8" w:color="CFF0FC"/>
              <w:right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-3877945</wp:posOffset>
            </wp:positionV>
            <wp:extent cx="7683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-3877945</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-3877945</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-1754505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-1437640</wp:posOffset>
            </wp:positionV>
            <wp:extent cx="68580" cy="316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316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685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had federal and state net operating loss ("NOL") carryforwards available of $104,097 and $31,808 at December 31, 2022, respectively. The federal NOL carryforwards can be carried forward indefinitely while $31,008 of the state NOL carryforwards have indefinite lives and the remaining amounts will expire between 2030 and 2042. The Company had federal interest expense carryforwards of $26,335 at December 31, 2022, which can be carried forward indefinitely. The Company also had state interest expense carryforwards in seven states where the amounts vary by jurisdiction, which also have indefinite lives. The Company had federal general business credits of $3,274 at December 31, 2022, which can be carried forward for 20 years and if unused, will expire between 2037 and 2042.</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noted above, the Company had deferred tax assets related to both federal and state NOL and interest expense carryforwards. When determining the need for a valuation allowance, the Company considers all available positive and negative evidence, including taxable income in prior carryback years (if carryback is permitted under the relevant tax law), the timing of the reversal of existing taxable temporary differences, tax planning strategies and projected future taxable income. The Company adjusts the valuation allowance in the period management determines it is more likely than not that the Company will not realize some or all of the deferred tax assets.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For financial reporting purposes, the Company established valuation allowances of $566 and $122 at December 31, 2022 and 2021, respectively, to offset deferred tax assets. The current and prior year valuation allowance relates to state interest expense carryovers and state net operating losses, respectively.</w:t>
      </w:r>
    </w:p>
    <w:p>
      <w:pPr>
        <w:spacing w:after="0" w:line="3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Past ownership changes and other equity transactions may have triggered Sections 382 and 383 of the Internal Revenue Code, resulting in certain annual limitations on the utilization of existing federal and state net operating losses and credits. Such provisions may limit the potential future tax benefit to be realized by the Company from its accumulated net operating losses and tax credit carryforwards.</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9, 2022, the Creating Helpful Incentives to Produce Semiconductors (“CHIPS”) Act of 2022 was signed into law. The CHIPS Act is designed to boost domestic semiconductor manufacturing and encourage US research activities. Later that month, on August 16, 2022, the Inflation Reduction Act (“IRA”) of 2022 was signed into law. The IRA creates a new book-minimum tax on certain large corporations and an excise tax on stock buybacks while also providing incentives to address climate change mitigation and clean energy, among other items. Most of these changes will become effective for the 2023 tax year and after initial evaluation, the Company does not currently expect these laws to have a material effect on the consolidated financial statements.</w:t>
      </w:r>
    </w:p>
    <w:p>
      <w:pPr>
        <w:spacing w:after="0" w:line="11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income tax benefit recorded in 2022 is different from the expected statutory federal and state tax benefit primarily due to a $4,571 income tax benefit related to equity award exercises and/or vesting in 2022, which is net of the impact of the internal revenue code rules and regulations related to the deductibility of executive compensation by publicly held companies</w:t>
      </w:r>
      <w:r>
        <w:rPr>
          <w:rFonts w:ascii="Calibri" w:cs="Calibri" w:eastAsia="Calibri" w:hAnsi="Calibri"/>
          <w:sz w:val="19"/>
          <w:szCs w:val="19"/>
          <w:color w:val="auto"/>
        </w:rPr>
        <w:t>.</w:t>
      </w:r>
    </w:p>
    <w:p>
      <w:pPr>
        <w:spacing w:after="0" w:line="13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tax jurisdictions and is subject to varying statutes of limitation in each jurisdiction. As of December 31, 2022, the Company is not under audit for federal or state income tax purposes. In general, the Company’s federal tax return may be subject to examination for the 2019 through 2021 tax years, while for state purposes, the 2018 through 2021 years are generally open to examination, with some states having either a three- or four-year statute of limitations. The Company’s usage of NOL carryovers also permits taxing authorities to adjust aspects of tax returns that may be outside of these statutes of limitation.</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(benefit) provision. The Company neither accrued for nor recognized any interest or penalties in income tax expense as of December 31, 2022 or 2021. The Company has not accrued for any uncertain tax positions as of December 31, 2022 or 2021 and believes that it is unlikely that there will be a significant increase or decrease of any unrecognized tax benefits within the next twelve months.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long-term debt consisted of the following as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4"/>
                <w:szCs w:val="14"/>
                <w:color w:val="auto"/>
              </w:rPr>
            </w:pPr>
          </w:p>
        </w:tc>
        <w:tc>
          <w:tcPr>
            <w:tcW w:w="1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4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8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lien term loan</w:t>
            </w:r>
          </w:p>
        </w:tc>
        <w:tc>
          <w:tcPr>
            <w:tcW w:w="1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903,301</w:t>
            </w: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(5,371 )</w:t>
            </w: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(6,965 )</w:t>
            </w:r>
          </w:p>
        </w:tc>
      </w:tr>
      <w:tr>
        <w:trPr>
          <w:trHeight w:val="238"/>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current maturities of debt</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First lien term loan, net</w:t>
            </w:r>
          </w:p>
        </w:tc>
        <w:tc>
          <w:tcPr>
            <w:tcW w:w="14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Credit agreement, net</w:t>
            </w:r>
          </w:p>
        </w:tc>
        <w:tc>
          <w:tcPr>
            <w:tcW w:w="14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896,336</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240" w:type="dxa"/>
            <w:vAlign w:val="bottom"/>
          </w:tcPr>
          <w:p>
            <w:pPr>
              <w:spacing w:after="0"/>
              <w:rPr>
                <w:sz w:val="19"/>
                <w:szCs w:val="19"/>
                <w:color w:val="auto"/>
              </w:rPr>
            </w:pPr>
          </w:p>
        </w:tc>
        <w:tc>
          <w:tcPr>
            <w:tcW w:w="178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17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896,336</w:t>
            </w:r>
          </w:p>
        </w:tc>
        <w:tc>
          <w:tcPr>
            <w:tcW w:w="100" w:type="dxa"/>
            <w:vAlign w:val="bottom"/>
            <w:shd w:val="clear" w:color="auto" w:fill="CFF0FC"/>
          </w:tcPr>
          <w:p>
            <w:pPr>
              <w:spacing w:after="0"/>
              <w:rPr>
                <w:sz w:val="24"/>
                <w:szCs w:val="24"/>
                <w:color w:val="auto"/>
              </w:rPr>
            </w:pPr>
          </w:p>
        </w:tc>
      </w:tr>
      <w:tr>
        <w:trPr>
          <w:trHeight w:val="457"/>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231F20"/>
              </w:rPr>
              <w:t>As of December 31, 2022, annual maturities of debt were as follows:</w:t>
            </w:r>
          </w:p>
        </w:tc>
        <w:tc>
          <w:tcPr>
            <w:tcW w:w="14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5240" w:type="dxa"/>
            <w:vAlign w:val="bottom"/>
          </w:tcPr>
          <w:p>
            <w:pPr>
              <w:spacing w:after="0"/>
              <w:rPr>
                <w:sz w:val="24"/>
                <w:szCs w:val="24"/>
                <w:color w:val="auto"/>
              </w:rPr>
            </w:pPr>
          </w:p>
        </w:tc>
        <w:tc>
          <w:tcPr>
            <w:tcW w:w="14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-1335405</wp:posOffset>
            </wp:positionV>
            <wp:extent cx="68580" cy="3422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3422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-838200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-821055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8" w:name="page59"/>
    <w:bookmarkEnd w:id="58"/>
    <w:tbl>
      <w:tblPr>
        <w:tblLayout w:type="fixed"/>
        <w:tblInd w:w="1140" w:type="dxa"/>
        <w:tblCellMar>
          <w:top w:w="0" w:type="dxa"/>
          <w:left w:w="0" w:type="dxa"/>
          <w:bottom w:w="0" w:type="dxa"/>
          <w:right w:w="0" w:type="dxa"/>
        </w:tblCellMar>
      </w:tblPr>
      <w:tr>
        <w:trPr>
          <w:trHeight w:val="187"/>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80" w:type="dxa"/>
            <w:vAlign w:val="bottom"/>
          </w:tcPr>
          <w:p>
            <w:pPr>
              <w:spacing w:after="0"/>
              <w:rPr>
                <w:sz w:val="20"/>
                <w:szCs w:val="20"/>
                <w:color w:val="auto"/>
              </w:rPr>
            </w:pPr>
          </w:p>
        </w:tc>
      </w:tr>
      <w:tr>
        <w:trPr>
          <w:trHeight w:val="24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maturities of debt</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231F20"/>
        </w:rPr>
        <w:t>As of December 31, 2022 and 2021, unamortized debt issuance costs was $5,729 and $6,965, respectively, and accumulated amortization of debt issuance costs was $4,446 and $2,482, respectively.</w:t>
      </w:r>
    </w:p>
    <w:p>
      <w:pPr>
        <w:spacing w:after="0" w:line="5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231F20"/>
        </w:rPr>
        <w:t>For the years ended December 31, 2022, 2021 and 2020, the amortization of debt issuance costs in interest expense, net in the consolidated statements of operations and comprehensive income (loss) was approximately $1,698, $1,155 and $1,139,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231F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231F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231F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2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231F20"/>
        </w:rPr>
        <w:t>In February 2020, the Company entered into Amendment No. 1 to Amended and Restated First Lien Credit Agreement (“Amended First Lien Credit Agreement”) which amended and restated the Amended and Restated First Lien Credit Agreement entered into in May 2019 ("First Lien Credit Agreement"). The Amended First Lien Credit Agreement changed the interest rate spreads associated with the First Lien Credit Agreement where (i) the variable margin associated with the Base Rate interest rate plus a variable margin based on the Company’s First Lien Net Leverage Ratio changed from</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2.25% to 2.50% to 2.00% to 2.25% and (ii) the variable margin associated with the Eurodollar Rate interest rate for one, two, three or six months plus a variable margin based on the Company’s First Lien Net Leverage Ratio changed from 3.25% to 3.50% to 3.00% to 3.25%. In connection with the Amended First Lien Credit Agreement, the Company expensed $1,918 of previously unamortized debt issuance costs as a loss on extinguishment of debt in the consolidated statements of operations and comprehensive income (loss).</w:t>
      </w:r>
    </w:p>
    <w:p>
      <w:pPr>
        <w:spacing w:after="0" w:line="80"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231F20"/>
        </w:rPr>
        <w:t>In February 2020 and March 2020, the Company borrowed $30,000 and $10,000, respectively, under the delayed draw facility under the First Lien Term Loan, utilizing the full $40,000 available under the delayed draw facility. As a result of the additional borrowings under the delayed draw facility, the quarterly principal payments associated with the First Lien Term Loan increased from $2,000 to $2,100.</w:t>
      </w:r>
    </w:p>
    <w:p>
      <w:pPr>
        <w:spacing w:after="0" w:line="6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31F20"/>
        </w:rPr>
        <w:t>In June 2021, the Company made a voluntary prepayment of $190,400 of outstanding principal under the First Lien Term Loan funded by the net proceeds from the IPO. In connection with the voluntary prepayment, the Company expensed $1,037 of previously unamortized debt issuance costs as a loss on extinguishment of debt in the consolidated statements of operations and comprehensive income (loss). The early prepayment resulted in the elimination of required quarterly amortization principal payments through 2026.</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In December 2021, in connection with the Clean Streak Ventures acquisition, the Company entered into Amendment No. 3 to the Amended and Restated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Lien Credit Agreement (“Amended First Lien Credit Agreement”) which amended and restated the Amended and Restated First Lien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entered into in May 2019 ("First Lien Credit Agreement"). Under the terms of the Amended First Lien Credit Agreement, the previous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Term Loan was increased by $290,000 to $903,301 with the balance due on May 14, 2026. The incremental increase in aggregate principal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$290,000 resulted in $285,962 of proceeds net of discount and deferred debt issuance costs. In connection with the Amendment No. 3 to Amended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First Lien Credit Agreement, the Company expensed $21 of previously unamortized debt issuance costs as a loss on extinguishment of debt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9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In December 2022, the Company entered into Amendment No. 4 to its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5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 xml:space="preserve">As of December 31, 2022 and 2021, the amount outstanding under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was $901,201 and $903,301 respectively. </w:t>
      </w:r>
      <w:r>
        <w:rPr>
          <w:rFonts w:ascii="Times New Roman" w:cs="Times New Roman" w:eastAsia="Times New Roman" w:hAnsi="Times New Roman"/>
          <w:sz w:val="18"/>
          <w:szCs w:val="18"/>
          <w:color w:val="231F20"/>
        </w:rPr>
        <w:t>As of December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2022 and 2021, the interest rate on the First Lien Term Loan was 7.42% and 3.10%, respectively.</w:t>
      </w:r>
    </w:p>
    <w:p>
      <w:pPr>
        <w:spacing w:after="0" w:line="5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The Amended First Lien Credit Agreement requires the Company to maintain compliance with a First Lien Net Leverage Ratio. As of December 31, 2022, the Company was in compliance with the First Lien Net Leverage Ratio financial covenant of the Amended First Lien Credit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May 2019, as a part of the Amended and Restated First Lien Credit Agreement, the Revolving Commitment was increased from $50,000 to $75,000 and the expiration date was changed from August 21, 2019 to May 14, 2024. The Company had the option of selecting either a Base Rate interest rate plus a variable margin based on the Company’s First Lien Net Leverage Ratio (ranging from 2.0% to 2.5%) or a Eurodollar Rate interest rate for one, two, three or six months plus a variable margin based on the Company’s First Lien Net Leverage Ratio (ranging from 3.0% to 3.5%).</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First Lien Term Loan (provided that clause (b) shall not apply if the maturity date for the First Lien Term Loan is extended to a date that is at least six months after June 4, 2026, the First Lien Term Loan is refinanced having a maturity date at least six months after June 4, 2026, or the First Lien Term Loan is paid in full), (c) the date that 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the amendment, the Company expensed $87 of previously unamortized deferred debt issuance costs as a loss on extinguishment of debt in the consolidated statements of operations and comprehensive income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there were no amounts outstanding under the Revolving Commitment.</w:t>
      </w:r>
    </w:p>
    <w:p>
      <w:pPr>
        <w:spacing w:after="0" w:line="117"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231F20"/>
        </w:rPr>
        <w:t>The maximum available borrowing capacity under the Revolving Commitment is reduced by outstanding letters of credit under the Revolving Commitment. As of December 31, 2022 and 2021, the available borrowing capacity under the Revolving Commitment was $148,581 and $149,503, respectively.</w:t>
      </w:r>
    </w:p>
    <w:p>
      <w:pPr>
        <w:spacing w:after="0" w:line="6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In addition, an unused commitment fee based on the Company’s First Lien Net Leverage Ratio is payable on the average of the unused borrowing capacity under the Revolving Commitment. As of December 31, 2022 and 2021, the unused commitment fee was 0.25%.</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has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Amendment No. 2 to Amended and Restated First Lien Credit Agreement. Letters of credit under the Revolving Commitment reduce the maximum available borrowing capacity under the Revolving Commitment. As of December 31, 2022 and 2021, the amounts associated with outstanding letters of credit were $1,419 and $497, respectively, and unused letters of credit under the Revolving Commitment were $8,581 and $9,503,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which are measured at fair value on a recurring basis as of December 31, 2022:</w:t>
      </w:r>
    </w:p>
    <w:p>
      <w:pPr>
        <w:spacing w:after="0" w:line="23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16510</wp:posOffset>
            </wp:positionV>
            <wp:extent cx="33820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8" w:lineRule="exact"/>
        <w:rPr>
          <w:sz w:val="20"/>
          <w:szCs w:val="20"/>
          <w:color w:val="auto"/>
        </w:rPr>
      </w:pPr>
    </w:p>
    <w:p>
      <w:pPr>
        <w:ind w:left="6220"/>
        <w:spacing w:after="0"/>
        <w:tabs>
          <w:tab w:leader="none" w:pos="7560" w:val="left"/>
          <w:tab w:leader="none" w:pos="8940" w:val="left"/>
          <w:tab w:leader="none" w:pos="1032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16510</wp:posOffset>
            </wp:positionV>
            <wp:extent cx="33820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5800" w:val="left"/>
          <w:tab w:leader="none" w:pos="6520" w:val="left"/>
          <w:tab w:leader="none" w:pos="7220" w:val="left"/>
          <w:tab w:leader="none" w:pos="8160" w:val="left"/>
          <w:tab w:leader="none" w:pos="8600" w:val="left"/>
          <w:tab w:leader="none" w:pos="9540" w:val="left"/>
          <w:tab w:leader="none" w:pos="9960" w:val="left"/>
          <w:tab w:leader="none" w:pos="10700" w:val="left"/>
        </w:tabs>
        <w:rPr>
          <w:sz w:val="20"/>
          <w:szCs w:val="20"/>
          <w:color w:val="auto"/>
        </w:rPr>
      </w:pPr>
      <w:r>
        <w:rPr>
          <w:rFonts w:ascii="Times New Roman" w:cs="Times New Roman" w:eastAsia="Times New Roman" w:hAnsi="Times New Roman"/>
          <w:sz w:val="18"/>
          <w:szCs w:val="18"/>
          <w:color w:val="auto"/>
        </w:rPr>
        <w:t>Contingent consideration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7"/>
          <w:szCs w:val="17"/>
          <w:color w:val="auto"/>
        </w:rPr>
        <w:t>5,250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2021:</w:t>
      </w:r>
    </w:p>
    <w:p>
      <w:pPr>
        <w:spacing w:after="0" w:line="232"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16510</wp:posOffset>
            </wp:positionV>
            <wp:extent cx="33820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8" w:lineRule="exact"/>
        <w:rPr>
          <w:sz w:val="20"/>
          <w:szCs w:val="20"/>
          <w:color w:val="auto"/>
        </w:rPr>
      </w:pPr>
    </w:p>
    <w:p>
      <w:pPr>
        <w:ind w:left="6220"/>
        <w:spacing w:after="0"/>
        <w:tabs>
          <w:tab w:leader="none" w:pos="7560" w:val="left"/>
          <w:tab w:leader="none" w:pos="8940" w:val="left"/>
          <w:tab w:leader="none" w:pos="1032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16510</wp:posOffset>
            </wp:positionV>
            <wp:extent cx="33820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36" w:lineRule="exact"/>
        <w:rPr>
          <w:sz w:val="20"/>
          <w:szCs w:val="20"/>
          <w:color w:val="auto"/>
        </w:rPr>
      </w:pPr>
    </w:p>
    <w:p>
      <w:pPr>
        <w:ind w:left="200"/>
        <w:spacing w:after="0"/>
        <w:tabs>
          <w:tab w:leader="none" w:pos="5800" w:val="left"/>
          <w:tab w:leader="none" w:pos="6660" w:val="left"/>
          <w:tab w:leader="none" w:pos="7220" w:val="left"/>
          <w:tab w:leader="none" w:pos="8160" w:val="left"/>
          <w:tab w:leader="none" w:pos="8600" w:val="left"/>
          <w:tab w:leader="none" w:pos="9440" w:val="left"/>
          <w:tab w:leader="none" w:pos="9960" w:val="left"/>
          <w:tab w:leader="none" w:pos="10920" w:val="left"/>
        </w:tabs>
        <w:rPr>
          <w:sz w:val="20"/>
          <w:szCs w:val="20"/>
          <w:color w:val="auto"/>
        </w:rPr>
      </w:pPr>
      <w:r>
        <w:rPr>
          <w:rFonts w:ascii="Times New Roman" w:cs="Times New Roman" w:eastAsia="Times New Roman" w:hAnsi="Times New Roman"/>
          <w:sz w:val="18"/>
          <w:szCs w:val="18"/>
          <w:color w:val="auto"/>
        </w:rPr>
        <w:t>Interest rate swap</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268</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36" w:lineRule="exact"/>
        <w:rPr>
          <w:sz w:val="20"/>
          <w:szCs w:val="20"/>
          <w:color w:val="auto"/>
        </w:rPr>
      </w:pPr>
    </w:p>
    <w:p>
      <w:pPr>
        <w:ind w:left="200"/>
        <w:spacing w:after="0"/>
        <w:tabs>
          <w:tab w:leader="none" w:pos="5800" w:val="left"/>
          <w:tab w:leader="none" w:pos="6520" w:val="left"/>
          <w:tab w:leader="none" w:pos="7220" w:val="left"/>
          <w:tab w:leader="none" w:pos="8160" w:val="left"/>
          <w:tab w:leader="none" w:pos="8600" w:val="left"/>
          <w:tab w:leader="none" w:pos="9540" w:val="left"/>
          <w:tab w:leader="none" w:pos="9960" w:val="left"/>
          <w:tab w:leader="none" w:pos="10700" w:val="left"/>
        </w:tabs>
        <w:rPr>
          <w:sz w:val="20"/>
          <w:szCs w:val="20"/>
          <w:color w:val="auto"/>
        </w:rPr>
      </w:pPr>
      <w:r>
        <w:rPr>
          <w:rFonts w:ascii="Times New Roman" w:cs="Times New Roman" w:eastAsia="Times New Roman" w:hAnsi="Times New Roman"/>
          <w:sz w:val="18"/>
          <w:szCs w:val="18"/>
          <w:color w:val="auto"/>
        </w:rPr>
        <w:t>Contingent consideration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5,750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7"/>
          <w:szCs w:val="17"/>
          <w:color w:val="auto"/>
        </w:rPr>
        <w:t>5,750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11 Interest Rate Swap for additional information on the interest rate swap.</w:t>
      </w:r>
    </w:p>
    <w:p>
      <w:pPr>
        <w:spacing w:after="0" w:line="6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231F20"/>
        </w:rPr>
        <w:t>As of December 31, 2022 and 2021, the fair value of the Company’s First Lien Term Loan approximated its carrying value due to the debt's variable interest rate terms.</w:t>
      </w:r>
    </w:p>
    <w:p>
      <w:pPr>
        <w:spacing w:after="0" w:line="5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231F20"/>
        </w:rPr>
        <w:t>As of December 31, 2022, the Company also recognized assets in cash investments of $5,032, of which $4,992 are held in commercial paper and categorized as Level 2 assets and $40 held in money market funds, which are categorized as Level 1 assets. These investments have maturities of less than 90 days and are recorded within Cash and cash equivalents on the consolidated balance sheet. As of December 31, 2021, the Company did not record any cash investments.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1" w:name="page62"/>
    <w:bookmarkEnd w:id="61"/>
    <w:p>
      <w:pPr>
        <w:ind w:right="60" w:firstLine="45"/>
        <w:spacing w:after="0" w:line="254" w:lineRule="auto"/>
        <w:rPr>
          <w:sz w:val="20"/>
          <w:szCs w:val="20"/>
          <w:color w:val="auto"/>
        </w:rPr>
      </w:pPr>
      <w:r>
        <w:rPr>
          <w:rFonts w:ascii="Times New Roman" w:cs="Times New Roman" w:eastAsia="Times New Roman" w:hAnsi="Times New Roman"/>
          <w:sz w:val="18"/>
          <w:szCs w:val="18"/>
          <w:color w:val="231F20"/>
        </w:rPr>
        <w:t>and 2021, the Company recognized a Level 3 contingent consideration liability in connection with the Downtowner Car Wash acquisition. The Company measured its contingent consideration liability arising from its 2021 acquisition using Level 3 unobservable inputs. The contingent consideration liability is associated with the achievement of certain targets and is estimated at each balance sheet date by considering among other factors, results of completed periods and the Company's most recent financial projection for future periods subject to earn-out payments. There are two components to the contingent consideration: a payment when the Company obtains the certificate of occupancy for the car wash and opens to the public in 2023 and an annual payment based on certain financial metrics of the business. A change in the forecasted revenue or projected opening dates could result in a significantly lower or higher fair value measurement. The Company determined that there were no significant changes to the unobservable inputs that would have resulted in a change in fair value of this contingent consideration liability at December 31,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During the years ended </w:t>
      </w:r>
      <w:r>
        <w:rPr>
          <w:rFonts w:ascii="Times New Roman" w:cs="Times New Roman" w:eastAsia="Times New Roman" w:hAnsi="Times New Roman"/>
          <w:sz w:val="18"/>
          <w:szCs w:val="18"/>
          <w:color w:val="000000"/>
        </w:rPr>
        <w:t>December 31, 2022 and 2021, there were no transfers between fair value measurement levels.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Rate Swap</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May 2020, the Company entered into a pay-fixed, receive-floating interest rate swap (the “Swap”) to mitigate variability in forecasted interest payments on an amortizing notional of $550,000 of the Company’s variable-rate First Lien Term Loan. The Company designated the Swap as a cash flow hedge. In October 2022, this interest rate swap expired and the Company did not enter into a new one.</w:t>
      </w:r>
    </w:p>
    <w:p>
      <w:pPr>
        <w:spacing w:after="0" w:line="6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As of December 31, 2021, the fair value of the Swap was reported as a debit balance of $268 and was included in prepaid and other current assets in the accompanying consolidated balance sheets.</w:t>
      </w:r>
    </w:p>
    <w:p>
      <w:pPr>
        <w:spacing w:after="0" w:line="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231F20"/>
        </w:rPr>
        <w:t>For the years ended December 31, 2022 and 2021, amounts reported in other comprehensive income (loss) in the accompanying consolidated statements of operations and comprehensive income (loss) are net of tax of $0 and $449,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Company’s incremental borrowing rate for a lease is the rate of interest it expects to pay on a collateralized basis to borrow an amount equal to the lease payments under similar terms. To determine the incremental borrowing rates used to discount the lease payments, the Company estimated its synthetic credit rating and utilized market data for similarly situated companies.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information related to leases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560" w:type="dxa"/>
            <w:vAlign w:val="bottom"/>
          </w:tcPr>
          <w:p>
            <w:pPr>
              <w:spacing w:after="0"/>
              <w:rPr>
                <w:sz w:val="14"/>
                <w:szCs w:val="14"/>
                <w:color w:val="auto"/>
              </w:rPr>
            </w:pPr>
          </w:p>
        </w:tc>
        <w:tc>
          <w:tcPr>
            <w:tcW w:w="452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Pr>
          <w:p>
            <w:pPr>
              <w:spacing w:after="0"/>
              <w:rPr>
                <w:sz w:val="14"/>
                <w:szCs w:val="14"/>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776,689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718,533</w:t>
            </w:r>
          </w:p>
        </w:tc>
        <w:tc>
          <w:tcPr>
            <w:tcW w:w="100" w:type="dxa"/>
            <w:vAlign w:val="bottom"/>
          </w:tcPr>
          <w:p>
            <w:pPr>
              <w:spacing w:after="0"/>
              <w:rPr>
                <w:sz w:val="20"/>
                <w:szCs w:val="20"/>
                <w:color w:val="auto"/>
              </w:rPr>
            </w:pPr>
          </w:p>
        </w:tc>
      </w:tr>
      <w:tr>
        <w:trPr>
          <w:trHeight w:val="247"/>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791,009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733,737</w:t>
            </w:r>
          </w:p>
        </w:tc>
        <w:tc>
          <w:tcPr>
            <w:tcW w:w="10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37,345</w:t>
            </w:r>
          </w:p>
        </w:tc>
        <w:tc>
          <w:tcPr>
            <w:tcW w:w="100" w:type="dxa"/>
            <w:vAlign w:val="bottom"/>
            <w:shd w:val="clear" w:color="auto" w:fill="CFF0FC"/>
          </w:tcPr>
          <w:p>
            <w:pPr>
              <w:spacing w:after="0"/>
              <w:rPr>
                <w:sz w:val="21"/>
                <w:szCs w:val="21"/>
                <w:color w:val="auto"/>
              </w:rPr>
            </w:pPr>
          </w:p>
        </w:tc>
      </w:tr>
      <w:tr>
        <w:trPr>
          <w:trHeight w:val="238"/>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7"/>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717,552</w:t>
            </w:r>
          </w:p>
        </w:tc>
        <w:tc>
          <w:tcPr>
            <w:tcW w:w="100" w:type="dxa"/>
            <w:vAlign w:val="bottom"/>
          </w:tcPr>
          <w:p>
            <w:pPr>
              <w:spacing w:after="0"/>
              <w:rPr>
                <w:sz w:val="20"/>
                <w:szCs w:val="20"/>
                <w:color w:val="auto"/>
              </w:rPr>
            </w:pPr>
          </w:p>
        </w:tc>
      </w:tr>
      <w:tr>
        <w:trPr>
          <w:trHeight w:val="243"/>
        </w:trPr>
        <w:tc>
          <w:tcPr>
            <w:tcW w:w="2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815,589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770,815</w:t>
            </w:r>
          </w:p>
        </w:tc>
        <w:tc>
          <w:tcPr>
            <w:tcW w:w="10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-1609090</wp:posOffset>
            </wp:positionV>
            <wp:extent cx="68580" cy="3422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3422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38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4"/>
                <w:szCs w:val="24"/>
                <w:color w:val="auto"/>
                <w:vertAlign w:val="superscript"/>
              </w:rPr>
              <w:t>(1)</w:t>
            </w:r>
          </w:p>
        </w:tc>
        <w:tc>
          <w:tcPr>
            <w:tcW w:w="382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89,250</w:t>
            </w:r>
          </w:p>
        </w:tc>
        <w:tc>
          <w:tcPr>
            <w:tcW w:w="2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79,420</w:t>
            </w:r>
          </w:p>
        </w:tc>
        <w:tc>
          <w:tcPr>
            <w:tcW w:w="100" w:type="dxa"/>
            <w:vAlign w:val="bottom"/>
            <w:shd w:val="clear" w:color="auto" w:fill="CFF0FC"/>
          </w:tcPr>
          <w:p>
            <w:pPr>
              <w:spacing w:after="0"/>
              <w:rPr>
                <w:sz w:val="20"/>
                <w:szCs w:val="20"/>
                <w:color w:val="auto"/>
              </w:rPr>
            </w:pPr>
          </w:p>
        </w:tc>
      </w:tr>
      <w:tr>
        <w:trPr>
          <w:trHeight w:val="23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38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FF0FC"/>
          </w:tcPr>
          <w:p>
            <w:pPr>
              <w:spacing w:after="0"/>
              <w:rPr>
                <w:sz w:val="21"/>
                <w:szCs w:val="21"/>
                <w:color w:val="auto"/>
              </w:rPr>
            </w:pPr>
          </w:p>
        </w:tc>
      </w:tr>
      <w:tr>
        <w:trPr>
          <w:trHeight w:val="238"/>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38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43"/>
        </w:trPr>
        <w:tc>
          <w:tcPr>
            <w:tcW w:w="38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Variable lease expense</w:t>
            </w:r>
            <w:r>
              <w:rPr>
                <w:rFonts w:ascii="Times New Roman" w:cs="Times New Roman" w:eastAsia="Times New Roman" w:hAnsi="Times New Roman"/>
                <w:sz w:val="24"/>
                <w:szCs w:val="24"/>
                <w:color w:val="auto"/>
                <w:vertAlign w:val="superscript"/>
              </w:rPr>
              <w:t>(2)</w:t>
            </w:r>
          </w:p>
        </w:tc>
        <w:tc>
          <w:tcPr>
            <w:tcW w:w="38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tcPr>
          <w:p>
            <w:pPr>
              <w:spacing w:after="0"/>
              <w:rPr>
                <w:sz w:val="21"/>
                <w:szCs w:val="21"/>
                <w:color w:val="auto"/>
              </w:rPr>
            </w:pPr>
          </w:p>
        </w:tc>
      </w:tr>
      <w:tr>
        <w:trPr>
          <w:trHeight w:val="276"/>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106,558</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2"/>
        </w:trPr>
        <w:tc>
          <w:tcPr>
            <w:tcW w:w="3880" w:type="dxa"/>
            <w:vAlign w:val="bottom"/>
          </w:tcPr>
          <w:p>
            <w:pPr>
              <w:spacing w:after="0"/>
              <w:rPr>
                <w:sz w:val="24"/>
                <w:szCs w:val="24"/>
                <w:color w:val="auto"/>
              </w:rPr>
            </w:pPr>
          </w:p>
        </w:tc>
        <w:tc>
          <w:tcPr>
            <w:tcW w:w="382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38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-538480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-521970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2" w:name="page63"/>
    <w:bookmarkEnd w:id="62"/>
    <w:p>
      <w:pPr>
        <w:ind w:left="520" w:right="620" w:hanging="512"/>
        <w:spacing w:after="0" w:line="26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expense includes an immaterial amount of sublease income and is included in other store operating expenses and general and administrative on the consolidated statement of operating and comprehensive income (loss).</w:t>
      </w:r>
    </w:p>
    <w:p>
      <w:pPr>
        <w:spacing w:after="0" w:line="1" w:lineRule="exact"/>
        <w:rPr>
          <w:rFonts w:ascii="Times New Roman" w:cs="Times New Roman" w:eastAsia="Times New Roman" w:hAnsi="Times New Roman"/>
          <w:sz w:val="18"/>
          <w:szCs w:val="18"/>
          <w:color w:val="auto"/>
        </w:rPr>
      </w:pPr>
    </w:p>
    <w:p>
      <w:pPr>
        <w:ind w:left="520" w:right="60" w:hanging="512"/>
        <w:spacing w:after="0" w:line="26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primarily of property taxes, property insurance, and common area or other maintenance costs for the Company’s building leases.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89,573</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0" w:type="dxa"/>
            <w:vAlign w:val="bottom"/>
          </w:tcPr>
          <w:p>
            <w:pPr>
              <w:spacing w:after="0"/>
              <w:rPr>
                <w:sz w:val="20"/>
                <w:szCs w:val="20"/>
                <w:color w:val="auto"/>
              </w:rPr>
            </w:pP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92,048</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assets obtained in exchange for lease liabilities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finance lease term</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1"/>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7.34 %</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6.61 %</w:t>
            </w:r>
          </w:p>
        </w:tc>
      </w:tr>
      <w:tr>
        <w:trPr>
          <w:trHeight w:val="243"/>
        </w:trPr>
        <w:tc>
          <w:tcPr>
            <w:tcW w:w="20" w:type="dxa"/>
            <w:vAlign w:val="bottom"/>
          </w:tcPr>
          <w:p>
            <w:pPr>
              <w:spacing w:after="0"/>
              <w:rPr>
                <w:sz w:val="21"/>
                <w:szCs w:val="21"/>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finance lease discount rate</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7.33 %</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48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2022, lease obligation maturities were as follows: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93,910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843,312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1,313,125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(512,983 )</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(13,756 )</w:t>
            </w:r>
          </w:p>
        </w:tc>
        <w:tc>
          <w:tcPr>
            <w:tcW w:w="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800,142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(40,367 )</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(668 )</w:t>
            </w:r>
          </w:p>
        </w:tc>
        <w:tc>
          <w:tcPr>
            <w:tcW w:w="60" w:type="dxa"/>
            <w:vAlign w:val="bottom"/>
          </w:tcPr>
          <w:p>
            <w:pPr>
              <w:spacing w:after="0"/>
              <w:rPr>
                <w:sz w:val="20"/>
                <w:szCs w:val="20"/>
                <w:color w:val="auto"/>
              </w:rPr>
            </w:pPr>
          </w:p>
        </w:tc>
      </w:tr>
      <w:tr>
        <w:trPr>
          <w:trHeight w:val="280"/>
        </w:trPr>
        <w:tc>
          <w:tcPr>
            <w:tcW w:w="20" w:type="dxa"/>
            <w:vAlign w:val="bottom"/>
          </w:tcPr>
          <w:p>
            <w:pPr>
              <w:spacing w:after="0"/>
              <w:rPr>
                <w:sz w:val="24"/>
                <w:szCs w:val="24"/>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759,775</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-2611120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Starting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2022, the Company entered into seven leases that had not yet commenced related to build-to-suit arrangements for car wash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leases will commence in years 2023 through 2025 with initial lease terms of 15 to 20 years.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2021, the Company entered into eight leases that had not yet commenced related to build-to-suit arrangements for car wash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leases commenced in 2022 or will commence in the remainder of 2023 with initial lease terms of five to 20 years.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During the year ended December 31, 2022, the Company completed six sale-leaseback transactions related to car wash locations with aggregate consideration of $89,932, resulting in net gains of $8,359, which is included in gain on sale of assets, net in the consolidated statements of operations and comprehensive income (loss). Contemporaneously with the closing of the sales, the Company entered into lease agreements for the properties for initial 15-to 20-year terms. For the sale-leaseback transactions consummated for the year ended December 31, 2022, the cumulative initial annual rents for the properties were approximately $5,062, subject to annual escalations. These leases are accounted for as operating leases.</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63" w:name="page64"/>
    <w:bookmarkEnd w:id="63"/>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2021, </w:t>
      </w:r>
      <w:r>
        <w:rPr>
          <w:rFonts w:ascii="Times New Roman" w:cs="Times New Roman" w:eastAsia="Times New Roman" w:hAnsi="Times New Roman"/>
          <w:sz w:val="18"/>
          <w:szCs w:val="18"/>
          <w:color w:val="231F20"/>
        </w:rPr>
        <w:t>the Company completed nine sale-leaseback transactions related to car wash locations with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consideration of $96,584, resulting in net gains of $24,881, which is included in gain on sale of assets, net in the consolidated statements of operations and comprehensive income (loss). Contemporaneously with the closing of the sales, the Company entered into lease agreements for the properties for initial 15-to 20-year terms. For the sale-leaseback transactions consummated for the year ended </w:t>
      </w:r>
      <w:r>
        <w:rPr>
          <w:rFonts w:ascii="Times New Roman" w:cs="Times New Roman" w:eastAsia="Times New Roman" w:hAnsi="Times New Roman"/>
          <w:sz w:val="18"/>
          <w:szCs w:val="18"/>
          <w:color w:val="000000"/>
        </w:rPr>
        <w:t>December 31, 2021,</w:t>
      </w:r>
      <w:r>
        <w:rPr>
          <w:rFonts w:ascii="Times New Roman" w:cs="Times New Roman" w:eastAsia="Times New Roman" w:hAnsi="Times New Roman"/>
          <w:sz w:val="18"/>
          <w:szCs w:val="18"/>
          <w:color w:val="231F20"/>
        </w:rPr>
        <w:t xml:space="preserve"> the cumulative initial annual rents for the properties were approximately $5,702, subject to annual escalations. These leases are accounted for as operating leases.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2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As of December 31, 2022, there were 1,000,000,000 shares of common stock authorized, 309,800,757 shares of common stock issued, and 306,626,530 shares of common stock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2021, there were 303,294,678 shares of common stock issued, and 300,120,451 shares of common stock issued and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there were 5,000,000 shares of preferred stock authorized and none were issued or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cost method to account for treasury stock. As of December 31, 2022 and 2021, the Company had 3,174,227 shares of treasury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cost of treasury stock included in additional paid-in capital in the consolidated balance sheets was $6,091.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2014 Plan</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5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1" w:lineRule="exact"/>
        <w:rPr>
          <w:sz w:val="20"/>
          <w:szCs w:val="20"/>
          <w:color w:val="auto"/>
        </w:rPr>
      </w:pPr>
    </w:p>
    <w:p>
      <w:pPr>
        <w:jc w:val="both"/>
        <w:ind w:firstLine="8"/>
        <w:spacing w:after="0" w:line="264" w:lineRule="auto"/>
        <w:tabs>
          <w:tab w:leader="none" w:pos="215"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w:t>
      </w:r>
    </w:p>
    <w:p>
      <w:pPr>
        <w:spacing w:after="0" w:line="2" w:lineRule="exact"/>
        <w:rPr>
          <w:rFonts w:ascii="Times New Roman" w:cs="Times New Roman" w:eastAsia="Times New Roman" w:hAnsi="Times New Roman"/>
          <w:sz w:val="17"/>
          <w:szCs w:val="17"/>
          <w:color w:val="231F20"/>
        </w:rPr>
      </w:pPr>
    </w:p>
    <w:p>
      <w:pPr>
        <w:ind w:right="40" w:firstLine="8"/>
        <w:spacing w:after="0" w:line="251" w:lineRule="auto"/>
        <w:tabs>
          <w:tab w:leader="none" w:pos="244"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Plan</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4" w:name="page65"/>
    <w:bookmarkEnd w:id="64"/>
    <w:p>
      <w:pPr>
        <w:ind w:right="80"/>
        <w:spacing w:after="0" w:line="254" w:lineRule="auto"/>
        <w:rPr>
          <w:sz w:val="20"/>
          <w:szCs w:val="20"/>
          <w:color w:val="auto"/>
        </w:rPr>
      </w:pPr>
      <w:r>
        <w:rPr>
          <w:rFonts w:ascii="Times New Roman" w:cs="Times New Roman" w:eastAsia="Times New Roman" w:hAnsi="Times New Roman"/>
          <w:sz w:val="18"/>
          <w:szCs w:val="18"/>
          <w:color w:val="231F20"/>
        </w:rPr>
        <w:t>In June 2021, the Board adopted the 2021 Incentive Award Plan (the “2021 Plan”), which was subsequently approved by the Company's stockholders and became effective on June 25, 2021. Under the 2021 Plan, the Company may grant incentive stock options, nonqualified stock options, restricted stock units ("RSUs"), restricted stock, and other stock- or cash-based awards to its employees, directors, officers, and non-employee consultants. Initially, the 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8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231F20"/>
        </w:rPr>
        <w:t>RSUs granted under the 2021 Plan are equity-classified and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7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ESPP</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ended on November 9, 2021.</w:t>
      </w:r>
    </w:p>
    <w:p>
      <w:pPr>
        <w:spacing w:after="0" w:line="7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231F20"/>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is determined using the Black-Scholes option-pricing model.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 Valuation</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Plan during </w:t>
      </w:r>
      <w:r>
        <w:rPr>
          <w:rFonts w:ascii="Times New Roman" w:cs="Times New Roman" w:eastAsia="Times New Roman" w:hAnsi="Times New Roman"/>
          <w:sz w:val="18"/>
          <w:szCs w:val="18"/>
          <w:color w:val="000000"/>
        </w:rPr>
        <w:t>the period presented as follows</w:t>
      </w:r>
      <w:r>
        <w:rPr>
          <w:rFonts w:ascii="Times New Roman" w:cs="Times New Roman" w:eastAsia="Times New Roman" w:hAnsi="Times New Roman"/>
          <w:sz w:val="18"/>
          <w:szCs w:val="18"/>
          <w:color w:val="231F20"/>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69"/>
        </w:trPr>
        <w:tc>
          <w:tcPr>
            <w:tcW w:w="3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40" w:type="dxa"/>
            <w:vAlign w:val="bottom"/>
            <w:gridSpan w:val="2"/>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20" w:type="dxa"/>
            <w:vAlign w:val="bottom"/>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7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9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- 53.90%</w:t>
            </w:r>
          </w:p>
        </w:tc>
        <w:tc>
          <w:tcPr>
            <w:tcW w:w="18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9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- 38.64%</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- 0.07%</w:t>
            </w: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- 0.49</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720" w:type="dxa"/>
            <w:vAlign w:val="bottom"/>
          </w:tcPr>
          <w:p>
            <w:pPr>
              <w:spacing w:after="0"/>
              <w:rPr>
                <w:sz w:val="20"/>
                <w:szCs w:val="20"/>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spacing w:after="0"/>
              <w:rPr>
                <w:sz w:val="20"/>
                <w:szCs w:val="20"/>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440"/>
        </w:trPr>
        <w:tc>
          <w:tcPr>
            <w:tcW w:w="3660" w:type="dxa"/>
            <w:vAlign w:val="bottom"/>
          </w:tcPr>
          <w:p>
            <w:pPr>
              <w:spacing w:after="0"/>
              <w:rPr>
                <w:sz w:val="24"/>
                <w:szCs w:val="24"/>
                <w:color w:val="auto"/>
              </w:rPr>
            </w:pPr>
          </w:p>
        </w:tc>
        <w:tc>
          <w:tcPr>
            <w:tcW w:w="37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7"/>
        </w:trPr>
        <w:tc>
          <w:tcPr>
            <w:tcW w:w="36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Time Vesting Options granted under the 2014 Plan and 2021 Plan during the periods presented as follows</w:t>
      </w:r>
      <w:r>
        <w:rPr>
          <w:rFonts w:ascii="Times New Roman" w:cs="Times New Roman" w:eastAsia="Times New Roman" w:hAnsi="Times New Roman"/>
          <w:sz w:val="18"/>
          <w:szCs w:val="18"/>
          <w:color w:val="231F20"/>
        </w:rPr>
        <w: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9"/>
        </w:trPr>
        <w:tc>
          <w:tcPr>
            <w:tcW w:w="6260" w:type="dxa"/>
            <w:vAlign w:val="bottom"/>
          </w:tcPr>
          <w:p>
            <w:pPr>
              <w:spacing w:after="0"/>
              <w:rPr>
                <w:sz w:val="14"/>
                <w:szCs w:val="14"/>
                <w:color w:val="auto"/>
              </w:rPr>
            </w:pPr>
          </w:p>
        </w:tc>
        <w:tc>
          <w:tcPr>
            <w:tcW w:w="156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156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8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- 36.95%</w:t>
            </w:r>
          </w:p>
        </w:tc>
        <w:tc>
          <w:tcPr>
            <w:tcW w:w="16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- 44.89%</w:t>
            </w:r>
          </w:p>
        </w:tc>
        <w:tc>
          <w:tcPr>
            <w:tcW w:w="1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- 30.84%</w:t>
            </w: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- 1.00%</w:t>
            </w: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6.0 - 6.26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20"/>
                <w:szCs w:val="20"/>
                <w:color w:val="auto"/>
              </w:rPr>
            </w:pPr>
          </w:p>
        </w:tc>
        <w:tc>
          <w:tcPr>
            <w:tcW w:w="17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Company’s stock option activity during the most recent period presented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Time Vesting</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18,513,356</w:t>
            </w:r>
          </w:p>
        </w:tc>
        <w:tc>
          <w:tcPr>
            <w:tcW w:w="2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12,239,595</w:t>
            </w: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30,752,951</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445,675</w:t>
            </w:r>
          </w:p>
        </w:tc>
        <w:tc>
          <w:tcPr>
            <w:tcW w:w="24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445,675</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(2,891,074 )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(2,357,317 )</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(5,248,391 )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(416,335 )</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(416,335 )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15,651,622</w:t>
            </w: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9,882,278</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25,533,900</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or expected to vest as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15,287,046</w:t>
            </w:r>
          </w:p>
        </w:tc>
        <w:tc>
          <w:tcPr>
            <w:tcW w:w="2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9,882,278</w:t>
            </w: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25,169,324</w:t>
            </w:r>
          </w:p>
        </w:tc>
        <w:tc>
          <w:tcPr>
            <w:tcW w:w="2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2022</w:t>
            </w: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11,946,702</w:t>
            </w: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9,882,278</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21,828,980</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-495935</wp:posOffset>
            </wp:positionV>
            <wp:extent cx="2911475" cy="316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11475" cy="31686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-24765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most recent period presented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2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30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24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Time Vesting</w:t>
            </w:r>
          </w:p>
        </w:tc>
        <w:tc>
          <w:tcPr>
            <w:tcW w:w="220" w:type="dxa"/>
            <w:vAlign w:val="bottom"/>
          </w:tcPr>
          <w:p>
            <w:pPr>
              <w:spacing w:after="0"/>
              <w:rPr>
                <w:sz w:val="11"/>
                <w:szCs w:val="11"/>
                <w:color w:val="auto"/>
              </w:rPr>
            </w:pPr>
          </w:p>
        </w:tc>
        <w:tc>
          <w:tcPr>
            <w:tcW w:w="156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Performance Vesting</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Time Vesting</w:t>
            </w:r>
          </w:p>
        </w:tc>
        <w:tc>
          <w:tcPr>
            <w:tcW w:w="220" w:type="dxa"/>
            <w:vAlign w:val="bottom"/>
          </w:tcPr>
          <w:p>
            <w:pPr>
              <w:spacing w:after="0"/>
              <w:rPr>
                <w:sz w:val="11"/>
                <w:szCs w:val="11"/>
                <w:color w:val="auto"/>
              </w:rPr>
            </w:pPr>
          </w:p>
        </w:tc>
        <w:tc>
          <w:tcPr>
            <w:tcW w:w="114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2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5,266,469</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3,704,919</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445,675</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during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1,590,890</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416,335</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total grant date fair value of Time Vesting Options granted during the year ended December 31, 2022 was approximately $2,162. The total intrinsic value of options exercised during the years ended December 31, 2022, 2021 and 2020 was $63,104, $99,844 and $25,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stock options vested during the years ended December 31, 2022, 2021 and 2020 was </w:t>
      </w:r>
      <w:r>
        <w:rPr>
          <w:rFonts w:ascii="Times New Roman" w:cs="Times New Roman" w:eastAsia="Times New Roman" w:hAnsi="Times New Roman"/>
          <w:sz w:val="18"/>
          <w:szCs w:val="18"/>
          <w:color w:val="000000"/>
        </w:rPr>
        <w:t>$19,717, $328,839 and $14,169, respectively.</w:t>
      </w:r>
    </w:p>
    <w:p>
      <w:pPr>
        <w:spacing w:after="0" w:line="11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weighted-average fair value of time vesting options granted in 2022, 2021 and 2020, estimated on the dates of grant using the Black-Scholes option pricing model, was $4.85, $5.12 and $0.68, respectively.</w:t>
      </w:r>
    </w:p>
    <w:p>
      <w:pPr>
        <w:spacing w:after="0" w:line="5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and 2021, the weighted-average remaining contractual life of outstanding stock options was approximately 4.16 </w:t>
      </w:r>
      <w:r>
        <w:rPr>
          <w:rFonts w:ascii="Times New Roman" w:cs="Times New Roman" w:eastAsia="Times New Roman" w:hAnsi="Times New Roman"/>
          <w:sz w:val="18"/>
          <w:szCs w:val="18"/>
          <w:color w:val="000000"/>
        </w:rPr>
        <w:t>years and 4.73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6" w:name="page67"/>
    <w:bookmarkEnd w:id="66"/>
    <w:p>
      <w:pPr>
        <w:ind w:right="200"/>
        <w:spacing w:after="0" w:line="281"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and 2021, the weighted-average remaining contractual life of currently exercisable stock options was approximately 3.94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3.74 years</w:t>
      </w:r>
      <w:r>
        <w:rPr>
          <w:rFonts w:ascii="Times New Roman" w:cs="Times New Roman" w:eastAsia="Times New Roman" w:hAnsi="Times New Roman"/>
          <w:sz w:val="18"/>
          <w:szCs w:val="18"/>
          <w:color w:val="231F2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the Company’s RSU activity during the periods presented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4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 Grant Date 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8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1,683,077</w:t>
            </w:r>
          </w:p>
        </w:tc>
        <w:tc>
          <w:tcPr>
            <w:tcW w:w="30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1,220,555</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(517,422 )</w:t>
            </w:r>
          </w:p>
        </w:tc>
        <w:tc>
          <w:tcPr>
            <w:tcW w:w="5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(310,351 )</w:t>
            </w:r>
          </w:p>
        </w:tc>
        <w:tc>
          <w:tcPr>
            <w:tcW w:w="5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2,075,859</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that vested during the year ended December 31, 2022 was $5,549.</w:t>
      </w:r>
    </w:p>
    <w:p>
      <w:pPr>
        <w:spacing w:after="0" w:line="1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and 2021, the weighted-average remaining contractual life of outstanding RSUs was approximately 9.01 years and 9.51 years,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231F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caption, recorded in the consolidated statements of operations and comprehensive income (loss) for the periods presented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180,079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0"/>
                <w:szCs w:val="20"/>
                <w:color w:val="auto"/>
              </w:rPr>
            </w:pPr>
          </w:p>
        </w:tc>
      </w:tr>
      <w:tr>
        <w:trPr>
          <w:trHeight w:val="280"/>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for stock-based compensation expense</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(3,932 )</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(50,932 )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r>
      <w:tr>
        <w:trPr>
          <w:trHeight w:val="20"/>
        </w:trPr>
        <w:tc>
          <w:tcPr>
            <w:tcW w:w="6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-205105</wp:posOffset>
            </wp:positionV>
            <wp:extent cx="2260600" cy="2057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260600" cy="205740"/>
                    </a:xfrm>
                    <a:prstGeom prst="rect">
                      <a:avLst/>
                    </a:prstGeom>
                    <a:noFill/>
                  </pic:spPr>
                </pic:pic>
              </a:graphicData>
            </a:graphic>
          </wp:anchor>
        </w:drawing>
      </w:r>
    </w:p>
    <w:p>
      <w:pPr>
        <w:spacing w:after="0" w:line="21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award type, recorded in the consolidated statements of operations and comprehensive income (loss) for the periods presented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20"/>
                <w:szCs w:val="20"/>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Vesting Options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0"/>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As of December 31, 2022</w:t>
      </w:r>
      <w:r>
        <w:rPr>
          <w:rFonts w:ascii="Times New Roman" w:cs="Times New Roman" w:eastAsia="Times New Roman" w:hAnsi="Times New Roman"/>
          <w:sz w:val="18"/>
          <w:szCs w:val="18"/>
          <w:color w:val="231F20"/>
        </w:rPr>
        <w:t>, total</w:t>
      </w:r>
      <w:r>
        <w:rPr>
          <w:rFonts w:ascii="Times New Roman" w:cs="Times New Roman" w:eastAsia="Times New Roman" w:hAnsi="Times New Roman"/>
          <w:sz w:val="18"/>
          <w:szCs w:val="18"/>
          <w:color w:val="auto"/>
        </w:rPr>
        <w:t xml:space="preserve"> unrecognized </w:t>
      </w:r>
      <w:r>
        <w:rPr>
          <w:rFonts w:ascii="Times New Roman" w:cs="Times New Roman" w:eastAsia="Times New Roman" w:hAnsi="Times New Roman"/>
          <w:sz w:val="18"/>
          <w:szCs w:val="18"/>
          <w:color w:val="231F20"/>
        </w:rPr>
        <w:t>compensation expense related to unvested Time Vesting Options was</w:t>
      </w:r>
      <w:r>
        <w:rPr>
          <w:rFonts w:ascii="Times New Roman" w:cs="Times New Roman" w:eastAsia="Times New Roman" w:hAnsi="Times New Roman"/>
          <w:sz w:val="18"/>
          <w:szCs w:val="18"/>
          <w:color w:val="auto"/>
        </w:rPr>
        <w:t xml:space="preserve"> $7,959</w:t>
      </w:r>
      <w:r>
        <w:rPr>
          <w:rFonts w:ascii="Times New Roman" w:cs="Times New Roman" w:eastAsia="Times New Roman" w:hAnsi="Times New Roman"/>
          <w:sz w:val="18"/>
          <w:szCs w:val="18"/>
          <w:color w:val="231F20"/>
        </w:rPr>
        <w:t>, which is expected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recognized over a weighted-average period of 3.27 years.</w:t>
      </w:r>
    </w:p>
    <w:p>
      <w:pPr>
        <w:spacing w:after="0" w:line="5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As of December 31, 2022</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there was no unrecognized compensation expense related to unvested </w:t>
      </w:r>
      <w:r>
        <w:rPr>
          <w:rFonts w:ascii="Times New Roman" w:cs="Times New Roman" w:eastAsia="Times New Roman" w:hAnsi="Times New Roman"/>
          <w:sz w:val="18"/>
          <w:szCs w:val="18"/>
          <w:color w:val="231F20"/>
        </w:rPr>
        <w:t>Performance Vesting Options</w:t>
      </w:r>
      <w:r>
        <w:rPr>
          <w:rFonts w:ascii="Times New Roman" w:cs="Times New Roman" w:eastAsia="Times New Roman" w:hAnsi="Times New Roman"/>
          <w:sz w:val="18"/>
          <w:szCs w:val="18"/>
          <w:color w:val="auto"/>
        </w:rPr>
        <w:t xml:space="preserve"> as the completion of the IPO 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5"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As of December 31, 2022</w:t>
      </w:r>
      <w:r>
        <w:rPr>
          <w:rFonts w:ascii="Times New Roman" w:cs="Times New Roman" w:eastAsia="Times New Roman" w:hAnsi="Times New Roman"/>
          <w:sz w:val="18"/>
          <w:szCs w:val="18"/>
          <w:color w:val="231F20"/>
        </w:rPr>
        <w:t>, total unrecognized compensation expense related to unvested RSUs was</w:t>
      </w:r>
      <w:r>
        <w:rPr>
          <w:rFonts w:ascii="Times New Roman" w:cs="Times New Roman" w:eastAsia="Times New Roman" w:hAnsi="Times New Roman"/>
          <w:sz w:val="18"/>
          <w:szCs w:val="18"/>
          <w:color w:val="auto"/>
        </w:rPr>
        <w:t xml:space="preserve"> $14,495</w:t>
      </w:r>
      <w:r>
        <w:rPr>
          <w:rFonts w:ascii="Times New Roman" w:cs="Times New Roman" w:eastAsia="Times New Roman" w:hAnsi="Times New Roman"/>
          <w:sz w:val="18"/>
          <w:szCs w:val="18"/>
          <w:color w:val="231F20"/>
        </w:rPr>
        <w:t>, which is expected to be recognized over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weighted-average period of 2.51 years.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7" w:name="page68"/>
    <w:bookmarkEnd w:id="67"/>
    <w:p>
      <w:pPr>
        <w:ind w:right="320"/>
        <w:spacing w:after="0" w:line="281" w:lineRule="auto"/>
        <w:rPr>
          <w:sz w:val="20"/>
          <w:szCs w:val="20"/>
          <w:color w:val="auto"/>
        </w:rPr>
      </w:pPr>
      <w:r>
        <w:rPr>
          <w:rFonts w:ascii="Times New Roman" w:cs="Times New Roman" w:eastAsia="Times New Roman" w:hAnsi="Times New Roman"/>
          <w:sz w:val="18"/>
          <w:szCs w:val="18"/>
          <w:color w:val="auto"/>
        </w:rPr>
        <w:t>As of December 31, 2022</w:t>
      </w:r>
      <w:r>
        <w:rPr>
          <w:rFonts w:ascii="Times New Roman" w:cs="Times New Roman" w:eastAsia="Times New Roman" w:hAnsi="Times New Roman"/>
          <w:sz w:val="18"/>
          <w:szCs w:val="18"/>
          <w:color w:val="231F20"/>
        </w:rPr>
        <w:t>, total unrecognized compensation expense related to unvested stock purchase rights under the 2021 ESPP was</w:t>
      </w:r>
      <w:r>
        <w:rPr>
          <w:rFonts w:ascii="Times New Roman" w:cs="Times New Roman" w:eastAsia="Times New Roman" w:hAnsi="Times New Roman"/>
          <w:sz w:val="18"/>
          <w:szCs w:val="18"/>
          <w:color w:val="auto"/>
        </w:rPr>
        <w:t xml:space="preserve"> $434</w:t>
      </w:r>
      <w:r>
        <w:rPr>
          <w:rFonts w:ascii="Times New Roman" w:cs="Times New Roman" w:eastAsia="Times New Roman" w:hAnsi="Times New Roman"/>
          <w:sz w:val="18"/>
          <w:szCs w:val="18"/>
          <w:color w:val="231F20"/>
        </w:rPr>
        <w:t>, which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expected to be recognized over a weighted-average period of 0.37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Stock Options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In February 2021, the Company modified a total of 7,874,304 shares of Performance Vesting Options for 12 grantees to provide for an additional service-based vesting condition related to the acceleration of vesting in connection with a grantees’ death. The Company did not recognize current incremental stock-based compensation expense in connection with the modification during the year ended December 31, 2022 because the grants vest upon the earlier of a performance condition or a service condition, neither of which are probable of occurring until the condition is met. The modification resulted in an incremental increase to unrecognized compensation expense related to unvested </w:t>
      </w:r>
      <w:r>
        <w:rPr>
          <w:rFonts w:ascii="Times New Roman" w:cs="Times New Roman" w:eastAsia="Times New Roman" w:hAnsi="Times New Roman"/>
          <w:sz w:val="18"/>
          <w:szCs w:val="18"/>
          <w:color w:val="231F20"/>
        </w:rPr>
        <w:t>Performance Vesting Options of</w:t>
      </w:r>
      <w:r>
        <w:rPr>
          <w:rFonts w:ascii="Times New Roman" w:cs="Times New Roman" w:eastAsia="Times New Roman" w:hAnsi="Times New Roman"/>
          <w:sz w:val="18"/>
          <w:szCs w:val="18"/>
          <w:color w:val="auto"/>
        </w:rPr>
        <w:t xml:space="preserve"> $75,217, which was recognized in June 2021 in connection with the completion of the IPO.</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Times New Roman" w:cs="Times New Roman" w:eastAsia="Times New Roman" w:hAnsi="Times New Roman"/>
          <w:sz w:val="18"/>
          <w:szCs w:val="18"/>
          <w:color w:val="231F20"/>
        </w:rPr>
        <w:t>, which</w:t>
      </w:r>
      <w:r>
        <w:rPr>
          <w:rFonts w:ascii="Times New Roman" w:cs="Times New Roman" w:eastAsia="Times New Roman" w:hAnsi="Times New Roman"/>
          <w:sz w:val="18"/>
          <w:szCs w:val="18"/>
          <w:color w:val="auto"/>
        </w:rPr>
        <w:t xml:space="preserve"> was recognized in June 2021 in connection with the completion of the IPO.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Retirement Savings Plan</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January 2011, the Company established a defined contribution 401(k)-plan to benefit certain of its employees. The 401(k)-plan sponsor is a wholly owned subsidiary of the Company. Employees are eligible to participate if they are at least 18 years of age and have worked for the Company for at least six months. The Company may make discretionary matching contributions. For the years ended December 31, 2022, 2021 and 2020, the Company made $1,153, $977, and $638, respectively, of matching contributions.</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 maintains a nonqualified deferred compensation plan for certain management employees. Under the deferred compensation plan, a participant may elect to defer up to 90% of their base salary, 90% of their annual bonus, and/or 100% of 401(k) contributions that fail the top-heavy testing for highly compensated employees. The Company may make discretionary matching contributions. As of December 31, 2022 and 2021, the deferred compensation liability under this plan within accrued payroll and related expenses was $3,818 and $4,131,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Combinations</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pursue acquisitions of conveyorized car washes that either strategically fit with the Company’s business or expand the Company’s presence in new and attractive markets.</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the Company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an acquired business starting from the effective date of the acquisition. The Company expensed $647, $2,383 and $545 of acquisition-related costs for the years ended December 31, 2022, 2021 and 2020, respectively. These acquisition-related costs are expensed as incurred and are included in general and administrative expenses in the accompanying consolidated statements of operations and comprehensive income (loss).</w:t>
      </w:r>
    </w:p>
    <w:p>
      <w:pPr>
        <w:spacing w:after="0" w:line="74"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For the years ended December 31, 2022 and 2021, the amount of acquired goodwill that is not deductible for income tax purposes is $1,078 and $81,365, respectively. The goodwill recognized in 2022 and 2021 is primarily attributable to the expected synergies to be achieved from the business combinations.</w:t>
      </w: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231F20"/>
        </w:rPr>
        <w:t>2022 Acquisitions</w:t>
      </w:r>
    </w:p>
    <w:p>
      <w:pPr>
        <w:spacing w:after="0" w:line="12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231F20"/>
        </w:rPr>
        <w:t>For the year ended December 31, 2022, the Company acquired the assets and liabilities of 11 conveyorized car washes in four acquisitions for total consideration of approximately $98,548, which was paid in cash. These acquisitions resulted in the preliminary recognition of $57,856 of goodwill, $37,174 of property and equipment, $1,540 of intangible assets related to covenant not to compete, $1,978 of other assets and liabilities. Adjustments related to 2022 acquisitions were not material in the current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 for the acquired covenants not to compete is 5.0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(Seller)</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Washes</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Acquired</w:t>
            </w:r>
          </w:p>
        </w:tc>
      </w:tr>
      <w:tr>
        <w:trPr>
          <w:trHeight w:val="232"/>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(Bamboo Carwash)</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 (Speedwash)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(Top Wash)</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 (Rapid Xpress)</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Unaudited Supplemental Pro Forma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unaudited supplemental pro forma information for the periods presented as if the business combinations had occurred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January 1, 2021:</w:t>
      </w:r>
    </w:p>
    <w:p>
      <w:pPr>
        <w:spacing w:after="0" w:line="2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8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shd w:val="clear" w:color="auto" w:fill="CFF0FC"/>
          </w:tcPr>
          <w:p>
            <w:pPr>
              <w:spacing w:after="0"/>
              <w:rPr>
                <w:sz w:val="20"/>
                <w:szCs w:val="20"/>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231F20"/>
        </w:rPr>
        <w:t>The pro forma results presented above primarily include amortization charges for acquired intangible assets, depreciation adjustments for property and equipment that has been revalued, adjustments for certain acquisition-related charges, and the related tax effects. The pro forma information is presented for information purposes only and is not indicative of the results of operations that would have been achieved if the acquisitions had taken place at such time.</w:t>
      </w:r>
    </w:p>
    <w:p>
      <w:pPr>
        <w:spacing w:after="0" w:line="5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231F20"/>
        </w:rPr>
        <w:t>For the year ended December 31, 2022, the revenues and earnings of the acquisitions reflected in the accompanying consolidated statements of operations and comprehensive income (loss) were $7,709 and $(89),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2021 Acquisitions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For the year ended December 31, 2021, the Company acquired the assets and liabilities of 37 conveyorized car washes in five acquisitions for total consideration of approximately $524,839, which was paid in cash. These acquisitions resulted in the preliminary recognition of $323,477 of goodwill, $202,708 of property and equipment, $4,300 of intangible assets related to customer relationships, $3,970 of intangible assets related to covenants not to compete, and $9,665 of net liabilities. In connection with the Downtowner Car Wash acquisition, the Company recognized a contingent consideration liability of $5,750. See Note 10 Fair Value Measurements for additional information regarding the contingent consideration liability. During the year ended December 31, 2022, as a result of receiving $11,845 in escrow funds associated with an acquired location that did not receive zoning permits as required under the purchase agreement, the Company recorded an adjustment during the measurement period to its Clean Streak Ventures LLC purchase price allocation which reduced goodwill by $10,670 and land by $1,175. Additional adjustments related to 2021 acquisitions were not material in the current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periods for the acquired customer relationships and covenants not to compete are 7.0 years and 5.0 years,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(Seller)</w:t>
            </w:r>
          </w:p>
        </w:tc>
        <w:tc>
          <w:tcPr>
            <w:tcW w:w="180" w:type="dxa"/>
            <w:vAlign w:val="bottom"/>
          </w:tcPr>
          <w:p>
            <w:pPr>
              <w:spacing w:after="0"/>
              <w:rPr>
                <w:sz w:val="16"/>
                <w:szCs w:val="16"/>
                <w:color w:val="auto"/>
              </w:rPr>
            </w:pPr>
          </w:p>
        </w:tc>
        <w:tc>
          <w:tcPr>
            <w:tcW w:w="1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Washes</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Acquired</w:t>
            </w: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 (Superwash Express)</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(Super Suds Car Wash)</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 (Daddy O's Car 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(Downtowner Car Wash)</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 (Clean Streak Ventures LLC)</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23</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Unaudited Supplemental Pro Forma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unaudited supplemental pro forma information for the periods presented as if the business combinations had occurred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January 1, 2020:</w:t>
      </w:r>
    </w:p>
    <w:p>
      <w:pPr>
        <w:spacing w:after="0" w:line="2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28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41,343</w:t>
            </w:r>
          </w:p>
        </w:tc>
        <w:tc>
          <w:tcPr>
            <w:tcW w:w="100" w:type="dxa"/>
            <w:vAlign w:val="bottom"/>
            <w:shd w:val="clear" w:color="auto" w:fill="CFF0FC"/>
          </w:tcPr>
          <w:p>
            <w:pPr>
              <w:spacing w:after="0"/>
              <w:rPr>
                <w:sz w:val="20"/>
                <w:szCs w:val="20"/>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231F20"/>
        </w:rPr>
        <w:t>The pro forma results presented above primarily include amortization charges for acquired intangible assets, depreciation adjustments for property and equipment that has been revalued, adjustments for certain acquisition-related charges, and the related tax effects. The pro forma information is presented for information purposes only and is not indicative of the results of operations that would have been achieved if the acquisitions had taken place at such time.</w:t>
      </w:r>
    </w:p>
    <w:p>
      <w:pPr>
        <w:spacing w:after="0" w:line="5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31F20"/>
        </w:rPr>
        <w:t>For the year ended December 31, 2021 the revenues and earnings of the acquisitions reflected in the accompanying consolidated statements of operations and comprehensive income (loss) were $8,283 and $1,847,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2020 Acquisitions</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231F20"/>
        </w:rPr>
        <w:t>For the year end December 31, 2020, the Company acquired the assets and liabilities of ten conveyorized car washes in four separate acquisitions for total consideration of approximately $33,584, which was paid in cash. These acquisitions resulted in the recognition of $21,467 of goodwill, $9,463 of property and equipment, $830 of intangible assets related to covenants not to compete, and $1,824 in other assets and liabilities.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68"/>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18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Washes</w:t>
            </w:r>
          </w:p>
        </w:tc>
        <w:tc>
          <w:tcPr>
            <w:tcW w:w="18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 (Love)</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(Bush)</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 (Soapbox Express)</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(Avatar)</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Dispositions</w:t>
      </w:r>
    </w:p>
    <w:p>
      <w:pPr>
        <w:spacing w:after="0" w:line="1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On December 1, 2020, the Company entered into an Asset Purchase Agreement to sell 27 quick lube facilities for $55,386 to an unrelated third party, subject to certain inventory value adjustments. The sale of the quick lube facilities is in line with the Company’s focus on growing its car wash business. The sale was effective on December 11, 2020. The disposition of the quick lube facilities did not meet the criteria to be reported as a discontinued operation and accordingly, its results of operations have not been reclassified. A gain totaling $29,773 was recognized on the sale during the year ended December 31, 2020, which is recorded as (gain) loss on sale of assets in the accompanying consolidated statement of operations and comprehensive income (loss).</w:t>
      </w:r>
    </w:p>
    <w:p>
      <w:pPr>
        <w:spacing w:after="0" w:line="6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As part of the sale and sublease of the quick lube facilities, the Company agreed to indemnify the buyer/subtenant for certain liabilities if they occurred or arose prior to or on the closing date, subject to a specified cap in some instances. The Company is not aware of any such liabilities or attendant indemnification obligations that require accrual at 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18. Related-Party Transactions</w:t>
      </w:r>
    </w:p>
    <w:p>
      <w:pPr>
        <w:spacing w:after="0" w:line="12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Leonard Green Partners ("LGP"), the majority owner of the Company, historically received $1,000 annually for various advisory and monitoring services provided to the Company. During the COVID-19 pandemic, these fees were waived for the remainder of 2020. The management services agreement with LGP that provided for the advisory and monitoring services terminated in June 2021 upon the consummation of the IPO.</w:t>
      </w:r>
    </w:p>
    <w:p>
      <w:pPr>
        <w:spacing w:after="0" w:line="6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231F20"/>
        </w:rPr>
        <w:t>For years ended December 31, 2022, 2021 and 2020, total fees and expenses paid by the Company to LGP were $0, $500, $250, respectively. Fees and expenses paid to LGP are included in general and administrative expenses in the accompanying consolidated statements of operations and comprehensive income (loss).</w:t>
      </w:r>
    </w:p>
    <w:p>
      <w:pPr>
        <w:spacing w:after="0" w:line="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231F20"/>
        </w:rPr>
        <w:t>LGP was one of the Company’s creditors under the Second Lien Credit Agreement with an investment of $5,625 allowed through the Amended Second Lien Credit Agreement. The Company made a voluntary prepayment of all outstanding balances under the Second Lien Term Loan in June 2021 (see Note 9 Debt).</w:t>
      </w:r>
    </w:p>
    <w:p>
      <w:pPr>
        <w:spacing w:after="0" w:line="281" w:lineRule="exact"/>
        <w:rPr>
          <w:sz w:val="20"/>
          <w:szCs w:val="20"/>
          <w:color w:val="auto"/>
        </w:rPr>
      </w:pPr>
    </w:p>
    <w:p>
      <w:pPr>
        <w:ind w:right="8420" w:firstLine="8"/>
        <w:spacing w:after="0" w:line="377"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color w:val="231F20"/>
        </w:rPr>
        <w:t>Litigation</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231F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 xml:space="preserve">The Company carries a broad range of insurance coverage, including general and business auto liability, commercial property, workers’ compensation, cyber risk, and general umbrella policies. As of December 31, 2022 and 2021, the Company accrued </w:t>
      </w:r>
      <w:r>
        <w:rPr>
          <w:rFonts w:ascii="Times New Roman" w:cs="Times New Roman" w:eastAsia="Times New Roman" w:hAnsi="Times New Roman"/>
          <w:sz w:val="18"/>
          <w:szCs w:val="18"/>
          <w:color w:val="000000"/>
        </w:rPr>
        <w:t>$3,230 and</w:t>
      </w:r>
      <w:r>
        <w:rPr>
          <w:rFonts w:ascii="Times New Roman" w:cs="Times New Roman" w:eastAsia="Times New Roman" w:hAnsi="Times New Roman"/>
          <w:sz w:val="18"/>
          <w:szCs w:val="18"/>
          <w:color w:val="231F20"/>
        </w:rPr>
        <w:t xml:space="preserve"> $3,169, respectively, for assessments on insurance claims filed, which are included in other accrued expenses in the accompanying consolidated balance sheets. As of December 31, 2022 and 2021, the Company recorded $2,627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$2,594, respectively, in other receivables from its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December 31, 2022.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consolidated financial statements.</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addition to potential claims asserted against the Company, there are certain regulatory obligations associated with these facilities. The Company also has a third-party specialist to review the sites subject to these regulations annually, for the purpose of assigning future cost. A third party has conducted a preliminary assessment of site restoration provisions arising from these regulations and the Company has recognized a provisional amount. As of December 31, 2022 and 2021, the Company recorded an environmental remediation accrual of $12, which is included in other accrued expenses in the accompanying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ind w:right="378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 is recorded, processed, summarized and reported on a timely basis, we have developed and implemented disclosure controls and procedures. Our management, with the participation of our Chairperson,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on Form 10-K. Based on that evaluation, our management, including the President and Chief Executive Officer and Chief Financial Officer, has concluded that our disclosure controls and procedures were effective as of December 31, 2022 in ensuring that information required to be disclosed in the reports that we file or submit under the Securities Exchange Act of 1934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fourth quarter of 2022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Using criteria set forth by the Committee of Sponsoring Organizations of the Treadway Commission (COSO) in Internal Control-Integrated Framework (2013 framework), our management assessed the effectiveness of our internal control over financial reporting as of December 31, 2022.</w:t>
      </w:r>
    </w:p>
    <w:p>
      <w:pPr>
        <w:spacing w:after="0" w:line="55"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Based on this assessment, management concluded that, as of December 31, 2022, our internal control over financial reporting was effective to provide reasonable assurance regarding the reliability of financial reporting and the preparation of financial statements for external purposes in accordance with U.S. GAAP.</w:t>
      </w:r>
    </w:p>
    <w:p>
      <w:pPr>
        <w:spacing w:after="0" w:line="69"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 independent registered public accounting firm, Deloitte &amp; Touche LLP, has also audited the effectiveness of our internal control over financial reporting as of December 31, 2022. Their report is included herein.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Mister Car Wash,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Mister Car Wash,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4"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24, 2023, expressed an unqualified opinion on those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ind w:right="5240"/>
        <w:spacing w:after="0" w:line="325"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2023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(the “Code of Conduct”) applicable to all of our directors, officers (including our principal executive officer, principal financial officer, principal accounting officer, controller or persons performing similar functions) and employees. Our Code of Conduct is available on our website at </w:t>
      </w:r>
      <w:r>
        <w:rPr>
          <w:rFonts w:ascii="Times New Roman" w:cs="Times New Roman" w:eastAsia="Times New Roman" w:hAnsi="Times New Roman"/>
          <w:sz w:val="18"/>
          <w:szCs w:val="18"/>
          <w:i w:val="1"/>
          <w:iCs w:val="1"/>
          <w:color w:val="auto"/>
        </w:rPr>
        <w:t>www.mistercarwash.com</w:t>
      </w:r>
      <w:r>
        <w:rPr>
          <w:rFonts w:ascii="Times New Roman" w:cs="Times New Roman" w:eastAsia="Times New Roman" w:hAnsi="Times New Roman"/>
          <w:sz w:val="18"/>
          <w:szCs w:val="18"/>
          <w:color w:val="auto"/>
        </w:rPr>
        <w:t xml:space="preserve"> under Investor Relations. Our Code of Conduct is a “code of ethics” as defined in Item 406(b) of Regulation S-K. We intend to make any legally required disclosures regarding amendments to, or waivers of, provisions of our Code of Conduct on our website to satisfy requirement under Item 5.05 of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2023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2023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2023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2023 Annual Meeting of Stockholders to be filed with the SEC within 120 days after the end of our fiscal year covered by this Annual Report on Form 10-K.</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3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All consolidated financial statements as set forth under Part II, Item 8 of this Annual Report on Form 10-K.</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Supplementary Financial Statement Schedules: Supplementary schedules have not been included because they are not applicable or because the information is included elsewhere in this report.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tbl>
      <w:tblPr>
        <w:tblLayout w:type="fixed"/>
        <w:tblInd w:w="0" w:type="dxa"/>
        <w:tblCellMar>
          <w:top w:w="0" w:type="dxa"/>
          <w:left w:w="0" w:type="dxa"/>
          <w:bottom w:w="0" w:type="dxa"/>
          <w:right w:w="0" w:type="dxa"/>
        </w:tblCellMar>
      </w:tblPr>
      <w:tr>
        <w:trPr>
          <w:trHeight w:val="151"/>
        </w:trPr>
        <w:tc>
          <w:tcPr>
            <w:tcW w:w="920" w:type="dxa"/>
            <w:vAlign w:val="bottom"/>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2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0"/>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504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Equity Purchase Agreement, dated December 8, 2021, by and among</w:t>
              </w:r>
            </w:hyperlink>
          </w:p>
        </w:tc>
        <w:tc>
          <w:tcPr>
            <w:tcW w:w="140" w:type="dxa"/>
            <w:vAlign w:val="bottom"/>
            <w:gridSpan w:val="4"/>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001-40542</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05/13/2022</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Sunshine Acquisition Sub Corp., Clean Streak Ventures, LLC,</w:t>
              </w:r>
            </w:hyperlink>
          </w:p>
        </w:tc>
        <w:tc>
          <w:tcPr>
            <w:tcW w:w="66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MDKMH Partners, Inc., Clean Streak Ventures Intermediate Holdco,</w:t>
              </w:r>
            </w:hyperlink>
          </w:p>
        </w:tc>
        <w:tc>
          <w:tcPr>
            <w:tcW w:w="16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LLC (the “CSV Seller”), MKH Capital Partners Offshore Fund I, LP</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(the “CSV Blocker Seller” and together with the CSV Seller, each a</w:t>
              </w:r>
            </w:hyperlink>
          </w:p>
        </w:tc>
        <w:tc>
          <w:tcPr>
            <w:tcW w:w="2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“Seller” and together the “Sellers”), and Clean Streak Ventures Holdco,</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6"/>
          </w:tcPr>
          <w:p>
            <w:pPr>
              <w:spacing w:after="0" w:line="195"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LLC, as the representative of the Sellers.</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Amended and Restated Certificate of Incorporation of the Company</w:t>
              </w:r>
            </w:hyperlink>
          </w:p>
        </w:tc>
        <w:tc>
          <w:tcPr>
            <w:tcW w:w="280" w:type="dxa"/>
            <w:vAlign w:val="bottom"/>
            <w:gridSpan w:val="10"/>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4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Amended and Restated Bylaws of the Company</w:t>
              </w:r>
            </w:hyperlink>
          </w:p>
        </w:tc>
        <w:tc>
          <w:tcPr>
            <w:tcW w:w="1720" w:type="dxa"/>
            <w:vAlign w:val="bottom"/>
            <w:gridSpan w:val="17"/>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07/02/2021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Description of Capital Stock</w:t>
              </w:r>
            </w:hyperlink>
          </w:p>
        </w:tc>
        <w:tc>
          <w:tcPr>
            <w:tcW w:w="20" w:type="dxa"/>
            <w:vAlign w:val="bottom"/>
            <w:tcBorders>
              <w:bottom w:val="single" w:sz="8" w:color="0000EE"/>
            </w:tcBorders>
          </w:tcPr>
          <w:p>
            <w:pPr>
              <w:spacing w:after="0"/>
              <w:rPr>
                <w:sz w:val="18"/>
                <w:szCs w:val="18"/>
                <w:color w:val="auto"/>
              </w:rPr>
            </w:pPr>
          </w:p>
        </w:tc>
        <w:tc>
          <w:tcPr>
            <w:tcW w:w="3100" w:type="dxa"/>
            <w:vAlign w:val="bottom"/>
            <w:gridSpan w:val="22"/>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5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Amended and Restated Shareholders Agreement, dated June 29, 2021,</w:t>
              </w:r>
            </w:hyperlink>
          </w:p>
        </w:tc>
        <w:tc>
          <w:tcPr>
            <w:tcW w:w="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6"/>
          </w:tcPr>
          <w:p>
            <w:pPr>
              <w:spacing w:after="0" w:line="195"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among the Company and certain of its shareholders</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4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Second Amendment to the First Lien Term Loan Agreement, dated</w:t>
              </w:r>
            </w:hyperlink>
          </w:p>
        </w:tc>
        <w:tc>
          <w:tcPr>
            <w:tcW w:w="320" w:type="dxa"/>
            <w:vAlign w:val="bottom"/>
            <w:gridSpan w:val="11"/>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10.1(b)</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June 4, 2021, by and among Mister Car Wash Holdings, Inc. and the</w:t>
              </w:r>
            </w:hyperlink>
          </w:p>
        </w:tc>
        <w:tc>
          <w:tcPr>
            <w:tcW w:w="22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parties thereto named therein</w:t>
              </w:r>
            </w:hyperlink>
          </w:p>
        </w:tc>
        <w:tc>
          <w:tcPr>
            <w:tcW w:w="20" w:type="dxa"/>
            <w:vAlign w:val="bottom"/>
            <w:tcBorders>
              <w:bottom w:val="single" w:sz="8" w:color="0000EE"/>
            </w:tcBorders>
          </w:tcPr>
          <w:p>
            <w:pPr>
              <w:spacing w:after="0"/>
              <w:rPr>
                <w:sz w:val="17"/>
                <w:szCs w:val="17"/>
                <w:color w:val="auto"/>
              </w:rPr>
            </w:pPr>
          </w:p>
        </w:tc>
        <w:tc>
          <w:tcPr>
            <w:tcW w:w="306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50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Amended and Restated First Lien Term Loan Agreement, dated May</w:t>
              </w:r>
            </w:hyperlink>
          </w:p>
        </w:tc>
        <w:tc>
          <w:tcPr>
            <w:tcW w:w="180" w:type="dxa"/>
            <w:vAlign w:val="bottom"/>
            <w:gridSpan w:val="6"/>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14, 2019, by and among Mister Car Wash Holdings, Inc. and the parties</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thereto named therein</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50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First Amendment to the Amended and Restated First Lien Term Loan</w:t>
              </w:r>
            </w:hyperlink>
          </w:p>
        </w:tc>
        <w:tc>
          <w:tcPr>
            <w:tcW w:w="120" w:type="dxa"/>
            <w:vAlign w:val="bottom"/>
            <w:gridSpan w:val="3"/>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Agreement, dated February 5, 2020, by and among Mister Car Wash</w:t>
              </w:r>
            </w:hyperlink>
          </w:p>
        </w:tc>
        <w:tc>
          <w:tcPr>
            <w:tcW w:w="20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Holdings, Inc. and the parties thereto named therein</w:t>
              </w:r>
            </w:hyperlink>
          </w:p>
        </w:tc>
        <w:tc>
          <w:tcPr>
            <w:tcW w:w="20" w:type="dxa"/>
            <w:vAlign w:val="bottom"/>
            <w:tcBorders>
              <w:bottom w:val="single" w:sz="8" w:color="0000EE"/>
            </w:tcBorders>
          </w:tcPr>
          <w:p>
            <w:pPr>
              <w:spacing w:after="0"/>
              <w:rPr>
                <w:sz w:val="17"/>
                <w:szCs w:val="17"/>
                <w:color w:val="auto"/>
              </w:rPr>
            </w:pPr>
          </w:p>
        </w:tc>
        <w:tc>
          <w:tcPr>
            <w:tcW w:w="142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4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Second Amendment to the First Lien Term Loan Agreement, dated</w:t>
              </w:r>
            </w:hyperlink>
          </w:p>
        </w:tc>
        <w:tc>
          <w:tcPr>
            <w:tcW w:w="320" w:type="dxa"/>
            <w:vAlign w:val="bottom"/>
            <w:gridSpan w:val="11"/>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June 4, 2021, by and among Mister Car Wash Holdings, Inc. and the</w:t>
              </w:r>
            </w:hyperlink>
          </w:p>
        </w:tc>
        <w:tc>
          <w:tcPr>
            <w:tcW w:w="22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parties thereto named therein</w:t>
              </w:r>
            </w:hyperlink>
          </w:p>
        </w:tc>
        <w:tc>
          <w:tcPr>
            <w:tcW w:w="20" w:type="dxa"/>
            <w:vAlign w:val="bottom"/>
            <w:tcBorders>
              <w:bottom w:val="single" w:sz="8" w:color="0000EE"/>
            </w:tcBorders>
          </w:tcPr>
          <w:p>
            <w:pPr>
              <w:spacing w:after="0"/>
              <w:rPr>
                <w:sz w:val="17"/>
                <w:szCs w:val="17"/>
                <w:color w:val="auto"/>
              </w:rPr>
            </w:pPr>
          </w:p>
        </w:tc>
        <w:tc>
          <w:tcPr>
            <w:tcW w:w="306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4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First Amendment to the Second Lien Term Loan Agreement, dated</w:t>
              </w:r>
            </w:hyperlink>
          </w:p>
        </w:tc>
        <w:tc>
          <w:tcPr>
            <w:tcW w:w="320" w:type="dxa"/>
            <w:vAlign w:val="bottom"/>
            <w:gridSpan w:val="11"/>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March 31, 2020, by and among Mister Car Wash Holdings, Inc. and the</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parties thereto named therein</w:t>
              </w:r>
            </w:hyperlink>
          </w:p>
        </w:tc>
        <w:tc>
          <w:tcPr>
            <w:tcW w:w="20" w:type="dxa"/>
            <w:vAlign w:val="bottom"/>
            <w:tcBorders>
              <w:bottom w:val="single" w:sz="8" w:color="0000EE"/>
            </w:tcBorders>
          </w:tcPr>
          <w:p>
            <w:pPr>
              <w:spacing w:after="0"/>
              <w:rPr>
                <w:sz w:val="17"/>
                <w:szCs w:val="17"/>
                <w:color w:val="auto"/>
              </w:rPr>
            </w:pPr>
          </w:p>
        </w:tc>
        <w:tc>
          <w:tcPr>
            <w:tcW w:w="306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4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Third Amendment to the First Lien Term Loan Agreement, dated</w:t>
              </w:r>
            </w:hyperlink>
          </w:p>
        </w:tc>
        <w:tc>
          <w:tcPr>
            <w:tcW w:w="440" w:type="dxa"/>
            <w:vAlign w:val="bottom"/>
            <w:gridSpan w:val="12"/>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December 8, 2021, by and among Mister Car Wash Holdings, Inc. and</w:t>
              </w:r>
            </w:hyperlink>
          </w:p>
        </w:tc>
        <w:tc>
          <w:tcPr>
            <w:tcW w:w="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1"/>
                <w:szCs w:val="21"/>
                <w:color w:val="auto"/>
              </w:rPr>
              <w:t>†</w:t>
            </w:r>
          </w:p>
        </w:tc>
        <w:tc>
          <w:tcPr>
            <w:tcW w:w="120" w:type="dxa"/>
            <w:vAlign w:val="bottom"/>
          </w:tcPr>
          <w:p>
            <w:pPr>
              <w:spacing w:after="0"/>
              <w:rPr>
                <w:sz w:val="17"/>
                <w:szCs w:val="17"/>
                <w:color w:val="auto"/>
              </w:rPr>
            </w:pPr>
          </w:p>
        </w:tc>
        <w:tc>
          <w:tcPr>
            <w:tcW w:w="5180" w:type="dxa"/>
            <w:vAlign w:val="bottom"/>
            <w:gridSpan w:val="26"/>
          </w:tcPr>
          <w:p>
            <w:pPr>
              <w:spacing w:after="0" w:line="195"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the parties thereto named therein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7"/>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8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2014 Stock Option Plan of Hotshine Holdings, Inc.</w:t>
              </w:r>
            </w:hyperlink>
          </w:p>
        </w:tc>
        <w:tc>
          <w:tcPr>
            <w:tcW w:w="1480" w:type="dxa"/>
            <w:vAlign w:val="bottom"/>
            <w:gridSpan w:val="16"/>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860" w:type="dxa"/>
            <w:vAlign w:val="bottom"/>
            <w:gridSpan w:val="15"/>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47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Option Agreement under the 2014 Stock Option Plan of</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Hotshine Holdings, Inc. Form of Option Agreement under the 2014</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1"/>
                <w:szCs w:val="21"/>
                <w:color w:val="auto"/>
              </w:rPr>
              <w:t>†</w:t>
            </w:r>
          </w:p>
        </w:tc>
        <w:tc>
          <w:tcPr>
            <w:tcW w:w="5180" w:type="dxa"/>
            <w:vAlign w:val="bottom"/>
            <w:gridSpan w:val="32"/>
          </w:tcPr>
          <w:p>
            <w:pPr>
              <w:spacing w:after="0" w:line="195"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Stock Option Plan of Hotshine Holdings, Inc.</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362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Mister Car Wash, Inc. 2021 Incentive Award Plan</w:t>
              </w:r>
            </w:hyperlink>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1"/>
                <w:szCs w:val="21"/>
                <w:color w:val="auto"/>
              </w:rPr>
              <w:t>†</w:t>
            </w:r>
          </w:p>
        </w:tc>
        <w:tc>
          <w:tcPr>
            <w:tcW w:w="4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Mister Car Wash, Inc. 2021 Employee Stock Purchase Plan</w:t>
              </w:r>
            </w:hyperlink>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1"/>
                <w:szCs w:val="21"/>
                <w:color w:val="auto"/>
              </w:rPr>
              <w:t>†</w:t>
            </w:r>
          </w:p>
        </w:tc>
        <w:tc>
          <w:tcPr>
            <w:tcW w:w="350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Mister Car Wash, Inc. Executive Severance Plan</w:t>
              </w:r>
            </w:hyperlink>
          </w:p>
        </w:tc>
        <w:tc>
          <w:tcPr>
            <w:tcW w:w="20" w:type="dxa"/>
            <w:vAlign w:val="bottom"/>
            <w:tcBorders>
              <w:bottom w:val="single" w:sz="8" w:color="0000EE"/>
            </w:tcBorders>
          </w:tcPr>
          <w:p>
            <w:pPr>
              <w:spacing w:after="0"/>
              <w:rPr>
                <w:sz w:val="20"/>
                <w:szCs w:val="20"/>
                <w:color w:val="auto"/>
              </w:rPr>
            </w:pPr>
          </w:p>
        </w:tc>
        <w:tc>
          <w:tcPr>
            <w:tcW w:w="20" w:type="dxa"/>
            <w:vAlign w:val="bottom"/>
            <w:tcBorders>
              <w:bottom w:val="single" w:sz="8" w:color="0000EE"/>
            </w:tcBorders>
          </w:tcPr>
          <w:p>
            <w:pPr>
              <w:spacing w:after="0"/>
              <w:rPr>
                <w:sz w:val="20"/>
                <w:szCs w:val="20"/>
                <w:color w:val="auto"/>
              </w:rPr>
            </w:pPr>
          </w:p>
        </w:tc>
        <w:tc>
          <w:tcPr>
            <w:tcW w:w="44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338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Non-Employee Director Compensation Policy</w:t>
              </w:r>
            </w:hyperlink>
          </w:p>
        </w:tc>
        <w:tc>
          <w:tcPr>
            <w:tcW w:w="140" w:type="dxa"/>
            <w:vAlign w:val="bottom"/>
            <w:gridSpan w:val="2"/>
          </w:tcPr>
          <w:p>
            <w:pPr>
              <w:spacing w:after="0"/>
              <w:rPr>
                <w:sz w:val="20"/>
                <w:szCs w:val="20"/>
                <w:color w:val="auto"/>
              </w:rPr>
            </w:pPr>
          </w:p>
        </w:tc>
        <w:tc>
          <w:tcPr>
            <w:tcW w:w="460" w:type="dxa"/>
            <w:vAlign w:val="bottom"/>
            <w:gridSpan w:val="3"/>
          </w:tcPr>
          <w:p>
            <w:pPr>
              <w:spacing w:after="0"/>
              <w:rPr>
                <w:sz w:val="20"/>
                <w:szCs w:val="20"/>
                <w:color w:val="auto"/>
              </w:rPr>
            </w:pPr>
          </w:p>
        </w:tc>
        <w:tc>
          <w:tcPr>
            <w:tcW w:w="4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1"/>
                <w:szCs w:val="21"/>
                <w:color w:val="auto"/>
              </w:rPr>
              <w:t>†</w:t>
            </w:r>
          </w:p>
        </w:tc>
        <w:tc>
          <w:tcPr>
            <w:tcW w:w="39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Form of Indemnification and Advancement Agreement</w:t>
              </w:r>
            </w:hyperlink>
          </w:p>
        </w:tc>
        <w:tc>
          <w:tcPr>
            <w:tcW w:w="4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28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Employment Agreement with John Lai</w:t>
              </w:r>
            </w:hyperlink>
          </w:p>
        </w:tc>
        <w:tc>
          <w:tcPr>
            <w:tcW w:w="20" w:type="dxa"/>
            <w:vAlign w:val="bottom"/>
            <w:tcBorders>
              <w:bottom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900" w:type="dxa"/>
            <w:vAlign w:val="bottom"/>
            <w:gridSpan w:val="5"/>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47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Option Agreement under the Mister Car Wash, Inc. 2021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15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8"/>
              </w:rPr>
            </w:pPr>
            <w:hyperlink r:id="rId324">
              <w:r>
                <w:rPr>
                  <w:rFonts w:ascii="Times New Roman" w:cs="Times New Roman" w:eastAsia="Times New Roman" w:hAnsi="Times New Roman"/>
                  <w:sz w:val="18"/>
                  <w:szCs w:val="18"/>
                  <w:color w:val="0000FF"/>
                  <w:w w:val="98"/>
                </w:rPr>
                <w:t>Incentive Award Plan</w:t>
              </w:r>
            </w:hyperlink>
          </w:p>
        </w:tc>
        <w:tc>
          <w:tcPr>
            <w:tcW w:w="3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62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RSU Agreement under the Mister Car Wash, Inc. 2021</w:t>
              </w:r>
            </w:hyperlink>
          </w:p>
        </w:tc>
        <w:tc>
          <w:tcPr>
            <w:tcW w:w="1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tc>
        <w:tc>
          <w:tcPr>
            <w:tcW w:w="15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8"/>
              </w:rPr>
            </w:pPr>
            <w:hyperlink r:id="rId325">
              <w:r>
                <w:rPr>
                  <w:rFonts w:ascii="Times New Roman" w:cs="Times New Roman" w:eastAsia="Times New Roman" w:hAnsi="Times New Roman"/>
                  <w:sz w:val="18"/>
                  <w:szCs w:val="18"/>
                  <w:color w:val="0000FF"/>
                  <w:w w:val="98"/>
                </w:rPr>
                <w:t>Incentive Award Plan</w:t>
              </w:r>
            </w:hyperlink>
          </w:p>
        </w:tc>
        <w:tc>
          <w:tcPr>
            <w:tcW w:w="3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28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Mister Car Wash, Inc. 2021 Employee Stock Purchase Plan</w:t>
              </w:r>
            </w:hyperlink>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1"/>
                <w:szCs w:val="21"/>
                <w:color w:val="auto"/>
              </w:rPr>
              <w:t>†</w:t>
            </w:r>
          </w:p>
        </w:tc>
        <w:tc>
          <w:tcPr>
            <w:tcW w:w="35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Mister Car Wash, Inc. Executive Severance Plan</w:t>
              </w:r>
            </w:hyperlink>
          </w:p>
        </w:tc>
        <w:tc>
          <w:tcPr>
            <w:tcW w:w="20" w:type="dxa"/>
            <w:vAlign w:val="bottom"/>
            <w:tcBorders>
              <w:bottom w:val="single" w:sz="8" w:color="0000EE"/>
            </w:tcBorders>
          </w:tcPr>
          <w:p>
            <w:pPr>
              <w:spacing w:after="0"/>
              <w:rPr>
                <w:sz w:val="20"/>
                <w:szCs w:val="20"/>
                <w:color w:val="auto"/>
              </w:rPr>
            </w:pPr>
          </w:p>
        </w:tc>
        <w:tc>
          <w:tcPr>
            <w:tcW w:w="900" w:type="dxa"/>
            <w:vAlign w:val="bottom"/>
            <w:gridSpan w:val="5"/>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tc>
        <w:tc>
          <w:tcPr>
            <w:tcW w:w="51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Transition Agreement, dated June 21,2022, by and between Mister Car</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8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Wash, Inc. and Lisa Funk</w:t>
              </w:r>
            </w:hyperlink>
          </w:p>
        </w:tc>
        <w:tc>
          <w:tcPr>
            <w:tcW w:w="20" w:type="dxa"/>
            <w:vAlign w:val="bottom"/>
            <w:tcBorders>
              <w:bottom w:val="single" w:sz="8" w:color="0000EE"/>
            </w:tcBorders>
          </w:tcPr>
          <w:p>
            <w:pPr>
              <w:spacing w:after="0"/>
              <w:rPr>
                <w:sz w:val="17"/>
                <w:szCs w:val="17"/>
                <w:color w:val="auto"/>
              </w:rPr>
            </w:pPr>
          </w:p>
        </w:tc>
        <w:tc>
          <w:tcPr>
            <w:tcW w:w="33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8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Fourth Amendment to the First Lien Term Loan Agreement, dated</w:t>
            </w:r>
          </w:p>
        </w:tc>
        <w:tc>
          <w:tcPr>
            <w:tcW w:w="3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180" w:type="dxa"/>
            <w:vAlign w:val="bottom"/>
            <w:tcBorders>
              <w:bottom w:val="single" w:sz="8" w:color="0000FF"/>
            </w:tcBorders>
            <w:gridSpan w:val="32"/>
          </w:tcPr>
          <w:p>
            <w:pPr>
              <w:spacing w:after="0" w:line="195" w:lineRule="exact"/>
              <w:rPr>
                <w:sz w:val="20"/>
                <w:szCs w:val="20"/>
                <w:color w:val="auto"/>
              </w:rPr>
            </w:pPr>
            <w:r>
              <w:rPr>
                <w:rFonts w:ascii="Times New Roman" w:cs="Times New Roman" w:eastAsia="Times New Roman" w:hAnsi="Times New Roman"/>
                <w:sz w:val="18"/>
                <w:szCs w:val="18"/>
                <w:color w:val="0000FF"/>
                <w:w w:val="99"/>
              </w:rPr>
              <w:t>December 12, 2022, by and among Mister Car Wash Holdings, Inc. and</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18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the parties thereto named therein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List of subsidiaries of Mister Car Wash, Inc.</w:t>
            </w:r>
          </w:p>
        </w:tc>
        <w:tc>
          <w:tcPr>
            <w:tcW w:w="100" w:type="dxa"/>
            <w:vAlign w:val="bottom"/>
            <w:tcBorders>
              <w:bottom w:val="single" w:sz="8" w:color="0000EE"/>
            </w:tcBorders>
          </w:tcPr>
          <w:p>
            <w:pPr>
              <w:spacing w:after="0"/>
              <w:rPr>
                <w:sz w:val="18"/>
                <w:szCs w:val="18"/>
                <w:color w:val="auto"/>
              </w:rPr>
            </w:pPr>
          </w:p>
        </w:tc>
        <w:tc>
          <w:tcPr>
            <w:tcW w:w="18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7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w:t>
            </w:r>
          </w:p>
        </w:tc>
        <w:tc>
          <w:tcPr>
            <w:tcW w:w="4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16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accounting firm</w:t>
            </w:r>
          </w:p>
        </w:tc>
        <w:tc>
          <w:tcPr>
            <w:tcW w:w="40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w:t>
            </w:r>
          </w:p>
        </w:tc>
        <w:tc>
          <w:tcPr>
            <w:tcW w:w="7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18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14(a)/15d-14(a)</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20" w:type="dxa"/>
            <w:vAlign w:val="bottom"/>
            <w:gridSpan w:val="16"/>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420" w:type="dxa"/>
            <w:vAlign w:val="bottom"/>
            <w:tcBorders>
              <w:top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14(a)/15d-14(a).</w:t>
            </w:r>
          </w:p>
        </w:tc>
        <w:tc>
          <w:tcPr>
            <w:tcW w:w="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3860" w:type="dxa"/>
            <w:vAlign w:val="bottom"/>
            <w:gridSpan w:val="2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8"/>
              </w:rPr>
              <w:t>1350.</w:t>
            </w:r>
          </w:p>
        </w:tc>
        <w:tc>
          <w:tcPr>
            <w:tcW w:w="20" w:type="dxa"/>
            <w:vAlign w:val="bottom"/>
            <w:tcBorders>
              <w:top w:val="single" w:sz="8" w:color="0000FF"/>
              <w:bottom w:val="single" w:sz="8" w:color="0000EE"/>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8"/>
              </w:rPr>
              <w:t>1350.</w:t>
            </w:r>
          </w:p>
        </w:tc>
        <w:tc>
          <w:tcPr>
            <w:tcW w:w="20" w:type="dxa"/>
            <w:vAlign w:val="bottom"/>
            <w:tcBorders>
              <w:top w:val="single" w:sz="8" w:color="0000FF"/>
              <w:bottom w:val="single" w:sz="8" w:color="0000EE"/>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20" w:right="520" w:hanging="1019"/>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232410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10.3(a)1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06/02/2021</w:t>
            </w:r>
          </w:p>
        </w:tc>
      </w:tr>
      <w:tr>
        <w:trPr>
          <w:trHeight w:val="661"/>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03/25/2022</w:t>
            </w:r>
          </w:p>
        </w:tc>
      </w:tr>
      <w:tr>
        <w:trPr>
          <w:trHeight w:val="445"/>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445"/>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445"/>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06/17/2022</w:t>
            </w:r>
          </w:p>
        </w:tc>
      </w:tr>
      <w:tr>
        <w:trPr>
          <w:trHeight w:val="256"/>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06/24/2022</w:t>
            </w:r>
          </w:p>
        </w:tc>
      </w:tr>
    </w:tbl>
    <w:p>
      <w:pPr>
        <w:spacing w:after="0" w:line="2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200" w:space="220"/>
            <w:col w:w="4440"/>
          </w:cols>
          <w:pgMar w:left="340" w:top="351" w:right="6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ectPr>
          <w:pgSz w:w="11900" w:h="16838" w:orient="portrait"/>
          <w:cols w:equalWidth="0" w:num="1">
            <w:col w:w="10980"/>
          </w:cols>
          <w:pgMar w:left="320" w:top="472" w:right="599" w:bottom="1440" w:gutter="0" w:footer="0" w:header="0"/>
        </w:sectPr>
      </w:pPr>
    </w:p>
    <w:p>
      <w:pPr>
        <w:spacing w:after="0" w:line="34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Schedules have been omitted pursuant to Item 601(a)(5) of Regulation S-K. The Company undertakes to the omitted schedules upon request by the SEC.</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 supplemental copies of any of</w:t>
      </w:r>
    </w:p>
    <w:p>
      <w:pPr>
        <w:spacing w:after="0" w:line="489" w:lineRule="exact"/>
        <w:rPr>
          <w:sz w:val="20"/>
          <w:szCs w:val="20"/>
          <w:color w:val="auto"/>
        </w:rPr>
      </w:pPr>
    </w:p>
    <w:p>
      <w:pPr>
        <w:sectPr>
          <w:pgSz w:w="11900" w:h="16838" w:orient="portrait"/>
          <w:cols w:equalWidth="0" w:num="2">
            <w:col w:w="7880" w:space="400"/>
            <w:col w:w="2700"/>
          </w:cols>
          <w:pgMar w:left="320" w:top="472" w:right="5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72" w:right="59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Mister Car Wash, Inc.</w:t>
            </w:r>
          </w:p>
        </w:tc>
      </w:tr>
      <w:tr>
        <w:trPr>
          <w:trHeight w:val="47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February 24</w:t>
            </w:r>
            <w:r>
              <w:rPr>
                <w:rFonts w:ascii="Times New Roman" w:cs="Times New Roman" w:eastAsia="Times New Roman" w:hAnsi="Times New Roman"/>
                <w:sz w:val="18"/>
                <w:szCs w:val="18"/>
                <w:color w:val="auto"/>
              </w:rPr>
              <w:t>, 2023</w:t>
            </w:r>
          </w:p>
        </w:tc>
        <w:tc>
          <w:tcPr>
            <w:tcW w:w="2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John Lai</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Chairperson, President and Chief Executive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51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February 24</w:t>
            </w:r>
            <w:r>
              <w:rPr>
                <w:rFonts w:ascii="Times New Roman" w:cs="Times New Roman" w:eastAsia="Times New Roman" w:hAnsi="Times New Roman"/>
                <w:sz w:val="18"/>
                <w:szCs w:val="18"/>
                <w:color w:val="auto"/>
              </w:rPr>
              <w:t>, 2023</w:t>
            </w:r>
          </w:p>
        </w:tc>
        <w:tc>
          <w:tcPr>
            <w:tcW w:w="2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Jedidiah Gold</w:t>
            </w:r>
          </w:p>
        </w:tc>
      </w:tr>
    </w:tbl>
    <w:p>
      <w:pPr>
        <w:jc w:val="cente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0"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ind w:left="1840"/>
        <w:spacing w:after="0"/>
        <w:tabs>
          <w:tab w:leader="none" w:pos="67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8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John Lai</w:t>
      </w:r>
    </w:p>
    <w:p>
      <w:pPr>
        <w:spacing w:after="0" w:line="2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Jedidiah Gold</w:t>
      </w:r>
    </w:p>
    <w:p>
      <w:pPr>
        <w:spacing w:after="0" w:line="2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John Danhakl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John Danhakl</w:t>
      </w:r>
    </w:p>
    <w:p>
      <w:pPr>
        <w:spacing w:after="0" w:line="2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Jonathan Seiffer</w:t>
      </w:r>
    </w:p>
    <w:p>
      <w:pPr>
        <w:spacing w:after="0" w:line="2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 Kristofer Galashan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 Kristofer Galashan</w:t>
      </w:r>
    </w:p>
    <w:p>
      <w:pPr>
        <w:spacing w:after="0" w:line="2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Jeffrey 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Jeffrey Suer</w:t>
      </w:r>
    </w:p>
    <w:p>
      <w:pPr>
        <w:spacing w:after="0" w:line="28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Jodi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Jodi Taylor</w:t>
      </w:r>
    </w:p>
    <w:p>
      <w:pPr>
        <w:spacing w:after="0" w:line="27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Dorvin Lively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Dorvin Lively</w:t>
      </w:r>
    </w:p>
    <w:p>
      <w:pPr>
        <w:spacing w:after="0" w:line="27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Ronald Kirk</w:t>
      </w:r>
    </w:p>
    <w:p>
      <w:pPr>
        <w:spacing w:after="0" w:line="2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/s/ Veronica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Veronica Rogers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Chairperson, President and Chief Executive Officer (principal executive</w:t>
      </w:r>
    </w:p>
    <w:p>
      <w:pPr>
        <w:spacing w:after="0" w:line="26"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6"/>
          <w:szCs w:val="16"/>
          <w:color w:val="auto"/>
        </w:rPr>
        <w:t>officer)</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p>
      <w:pPr>
        <w:spacing w:after="0" w:line="200" w:lineRule="exact"/>
        <w:rPr>
          <w:sz w:val="20"/>
          <w:szCs w:val="20"/>
          <w:color w:val="auto"/>
        </w:rPr>
      </w:pPr>
    </w:p>
    <w:p>
      <w:pPr>
        <w:spacing w:after="0" w:line="3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2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227330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24, 2023</w:t>
      </w:r>
    </w:p>
    <w:p>
      <w:pPr>
        <w:sectPr>
          <w:pgSz w:w="11900" w:h="16838" w:orient="portrait"/>
          <w:cols w:equalWidth="0" w:num="3">
            <w:col w:w="3800" w:space="720"/>
            <w:col w:w="4680" w:space="540"/>
            <w:col w:w="1500"/>
          </w:cols>
          <w:pgMar w:left="320" w:top="360" w:right="339" w:bottom="1440"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170180</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187325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AMENDED AND RESTATED FIRST LIEN CREDIT AGREEMENT</w:t>
      </w:r>
    </w:p>
    <w:p>
      <w:pPr>
        <w:spacing w:after="0" w:line="3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dated as of May 14, 2019</w:t>
      </w:r>
    </w:p>
    <w:p>
      <w:pPr>
        <w:spacing w:after="0" w:line="3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and among</w:t>
      </w:r>
    </w:p>
    <w:p>
      <w:pPr>
        <w:spacing w:after="0" w:line="3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MISTER CAR WASH HOLDINGS, INC.,</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as Borrower</w:t>
      </w:r>
    </w:p>
    <w:p>
      <w:pPr>
        <w:spacing w:after="0" w:line="30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HOTSHINE INTERMEDIATECO, INC.,</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as Holdings</w:t>
      </w:r>
    </w:p>
    <w:p>
      <w:pPr>
        <w:spacing w:after="0" w:line="30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JEFFERIES FINANCE LLC,</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as Administrative Agent and Collateral Agent</w:t>
      </w:r>
    </w:p>
    <w:p>
      <w:pPr>
        <w:spacing w:after="0" w:line="30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and</w:t>
      </w:r>
    </w:p>
    <w:p>
      <w:pPr>
        <w:spacing w:after="0" w:line="3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________________</w:t>
      </w:r>
    </w:p>
    <w:p>
      <w:pPr>
        <w:spacing w:after="0" w:line="301" w:lineRule="exact"/>
        <w:rPr>
          <w:sz w:val="20"/>
          <w:szCs w:val="20"/>
          <w:color w:val="auto"/>
        </w:rPr>
      </w:pPr>
    </w:p>
    <w:p>
      <w:pPr>
        <w:jc w:val="center"/>
        <w:ind w:right="1020"/>
        <w:spacing w:after="0" w:line="268" w:lineRule="auto"/>
        <w:rPr>
          <w:sz w:val="20"/>
          <w:szCs w:val="20"/>
          <w:color w:val="auto"/>
        </w:rPr>
      </w:pPr>
      <w:r>
        <w:rPr>
          <w:rFonts w:ascii="Times New Roman" w:cs="Times New Roman" w:eastAsia="Times New Roman" w:hAnsi="Times New Roman"/>
          <w:sz w:val="20"/>
          <w:szCs w:val="20"/>
          <w:color w:val="auto"/>
        </w:rPr>
        <w:t>Jefferies Finance LLC, BMO Capital Markets Corp., UBS Securities LLC and Nomura Securities International, Inc.,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484505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501650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994410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8"/>
        </w:trPr>
        <w:tc>
          <w:tcPr>
            <w:tcW w:w="1340" w:type="dxa"/>
            <w:vAlign w:val="bottom"/>
          </w:tcPr>
          <w:p>
            <w:pPr>
              <w:spacing w:after="0"/>
              <w:rPr>
                <w:sz w:val="22"/>
                <w:szCs w:val="22"/>
                <w:color w:val="auto"/>
              </w:rPr>
            </w:pPr>
          </w:p>
        </w:tc>
        <w:tc>
          <w:tcPr>
            <w:tcW w:w="922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23"/>
        </w:trPr>
        <w:tc>
          <w:tcPr>
            <w:tcW w:w="134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6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Page</w:t>
            </w:r>
          </w:p>
        </w:tc>
      </w:tr>
      <w:tr>
        <w:trPr>
          <w:trHeight w:val="456"/>
        </w:trPr>
        <w:tc>
          <w:tcPr>
            <w:tcW w:w="1340" w:type="dxa"/>
            <w:vAlign w:val="bottom"/>
          </w:tcPr>
          <w:p>
            <w:pPr>
              <w:spacing w:after="0"/>
              <w:rPr>
                <w:sz w:val="24"/>
                <w:szCs w:val="24"/>
                <w:color w:val="auto"/>
              </w:rPr>
            </w:pPr>
          </w:p>
        </w:tc>
        <w:tc>
          <w:tcPr>
            <w:tcW w:w="9220" w:type="dxa"/>
            <w:vAlign w:val="bottom"/>
          </w:tcPr>
          <w:p>
            <w:pPr>
              <w:jc w:val="center"/>
              <w:ind w:right="541"/>
              <w:spacing w:after="0"/>
              <w:rPr>
                <w:sz w:val="20"/>
                <w:szCs w:val="20"/>
                <w:color w:val="auto"/>
              </w:rPr>
            </w:pPr>
            <w:r>
              <w:rPr>
                <w:rFonts w:ascii="Times New Roman" w:cs="Times New Roman" w:eastAsia="Times New Roman" w:hAnsi="Times New Roman"/>
                <w:sz w:val="20"/>
                <w:szCs w:val="20"/>
                <w:color w:val="auto"/>
                <w:w w:val="97"/>
              </w:rPr>
              <w:t>ARTICLE I</w:t>
            </w: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922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8"/>
              </w:rPr>
              <w:t>DEFINITIONS AND ACCOUNTING TERMS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Defined Terms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1.02</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1.03</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Accounting Terms; Accounting Periods; Unrestricted Subsidiaries; Determination of Fair Market Value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1.04</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Rounding</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1.05</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References to Agreements, Laws, Etc.</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1.06</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Times of Day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1.07</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Available Amount Transactions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1.08</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Pro Forma Calculations; Limited Condition Acquisitions; Basket and Ratio Compliance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1.09</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Currency Equivalents Generally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82</w:t>
            </w:r>
          </w:p>
        </w:tc>
      </w:tr>
      <w:tr>
        <w:trPr>
          <w:trHeight w:val="258"/>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Amendment and Restatement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w:t>
            </w:r>
          </w:p>
        </w:tc>
      </w:tr>
      <w:tr>
        <w:trPr>
          <w:trHeight w:val="443"/>
        </w:trPr>
        <w:tc>
          <w:tcPr>
            <w:tcW w:w="1340" w:type="dxa"/>
            <w:vAlign w:val="bottom"/>
          </w:tcPr>
          <w:p>
            <w:pPr>
              <w:spacing w:after="0"/>
              <w:rPr>
                <w:sz w:val="24"/>
                <w:szCs w:val="24"/>
                <w:color w:val="auto"/>
              </w:rPr>
            </w:pPr>
          </w:p>
        </w:tc>
        <w:tc>
          <w:tcPr>
            <w:tcW w:w="922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7"/>
              </w:rPr>
              <w:t>ARTICLE II</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922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8"/>
              </w:rPr>
              <w:t>THE COMMITMENTS AND BORROWINGS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2.01</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Term Loans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2.02</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Revolving Loans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2.03</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Swing Line Loans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2.04</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Issuance of Letters of Credit and Purchase of Participations Therein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2.05</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Conversion/Continuation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2.06</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Availability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2.07</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Prepayments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2.08</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107</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2.09</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Repayment of Loans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2.10</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Interest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2.11</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Fees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2.12</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111</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2.13</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Evidence of Indebtedness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2.14</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Payments Generally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2.15</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Sharing of Payments, Etc.</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2.16</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Incremental Borrowings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2.17</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Refinancing Amendments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2.18</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Extensions of Loans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119</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2.19</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Defaulting Lenders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121</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2.20</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Currency Equivalents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125</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2.21</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Judgment Currency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125</w:t>
            </w:r>
          </w:p>
        </w:tc>
      </w:tr>
      <w:tr>
        <w:trPr>
          <w:trHeight w:val="258"/>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2.22</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Discontinuance of ICE LIBOR.</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125</w:t>
            </w:r>
          </w:p>
        </w:tc>
      </w:tr>
      <w:tr>
        <w:trPr>
          <w:trHeight w:val="443"/>
        </w:trPr>
        <w:tc>
          <w:tcPr>
            <w:tcW w:w="1340" w:type="dxa"/>
            <w:vAlign w:val="bottom"/>
          </w:tcPr>
          <w:p>
            <w:pPr>
              <w:spacing w:after="0"/>
              <w:rPr>
                <w:sz w:val="24"/>
                <w:szCs w:val="24"/>
                <w:color w:val="auto"/>
              </w:rPr>
            </w:pPr>
          </w:p>
        </w:tc>
        <w:tc>
          <w:tcPr>
            <w:tcW w:w="922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8"/>
              </w:rPr>
              <w:t>ARTICLE III</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9220" w:type="dxa"/>
            <w:vAlign w:val="bottom"/>
          </w:tcPr>
          <w:p>
            <w:pPr>
              <w:jc w:val="center"/>
              <w:ind w:right="541"/>
              <w:spacing w:after="0"/>
              <w:rPr>
                <w:sz w:val="20"/>
                <w:szCs w:val="20"/>
                <w:color w:val="auto"/>
              </w:rPr>
            </w:pPr>
            <w:r>
              <w:rPr>
                <w:rFonts w:ascii="Times New Roman" w:cs="Times New Roman" w:eastAsia="Times New Roman" w:hAnsi="Times New Roman"/>
                <w:sz w:val="20"/>
                <w:szCs w:val="20"/>
                <w:color w:val="auto"/>
                <w:w w:val="98"/>
              </w:rPr>
              <w:t>TAXES, INCREASED COSTS PROTECTION AND ILLEGALITY</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3.01</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Taxes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126</w:t>
            </w:r>
          </w:p>
        </w:tc>
      </w:tr>
      <w:tr>
        <w:trPr>
          <w:trHeight w:val="256"/>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3.02</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Illegality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130</w:t>
            </w: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3.03</w:t>
            </w:r>
          </w:p>
        </w:tc>
        <w:tc>
          <w:tcPr>
            <w:tcW w:w="92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w:t>
            </w:r>
          </w:p>
        </w:tc>
      </w:tr>
      <w:tr>
        <w:trPr>
          <w:trHeight w:val="258"/>
        </w:trPr>
        <w:tc>
          <w:tcPr>
            <w:tcW w:w="1340" w:type="dxa"/>
            <w:vAlign w:val="bottom"/>
          </w:tcPr>
          <w:p>
            <w:pPr>
              <w:spacing w:after="0"/>
              <w:rPr>
                <w:sz w:val="22"/>
                <w:szCs w:val="22"/>
                <w:color w:val="auto"/>
              </w:rPr>
            </w:pPr>
          </w:p>
        </w:tc>
        <w:tc>
          <w:tcPr>
            <w:tcW w:w="922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9"/>
              </w:rPr>
              <w:t>IF "4096" = "1" "C:\Users\NIKICNIC\Desktop\Project Falcon First Lien Credit Agreement-v17.docx" ""</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11"/>
        </w:trPr>
        <w:tc>
          <w:tcPr>
            <w:tcW w:w="134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3.04</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Increased Cost and Reduced Return; Capital Adequacy; Reserves on Eurocurrency Rate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3.05</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Funding Losses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3.06</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Matters Applicable to All Requests for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3.07</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Replacement of Lenders Under Certain Circumstances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3.08</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Survival</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58"/>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3.09</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Revolving Facility Benchmark Replacement Setting</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443"/>
        </w:trPr>
        <w:tc>
          <w:tcPr>
            <w:tcW w:w="1680" w:type="dxa"/>
            <w:vAlign w:val="bottom"/>
          </w:tcPr>
          <w:p>
            <w:pPr>
              <w:spacing w:after="0"/>
              <w:rPr>
                <w:sz w:val="24"/>
                <w:szCs w:val="24"/>
                <w:color w:val="auto"/>
              </w:rPr>
            </w:pPr>
          </w:p>
        </w:tc>
        <w:tc>
          <w:tcPr>
            <w:tcW w:w="8580" w:type="dxa"/>
            <w:vAlign w:val="bottom"/>
          </w:tcPr>
          <w:p>
            <w:pPr>
              <w:jc w:val="center"/>
              <w:ind w:right="601"/>
              <w:spacing w:after="0"/>
              <w:rPr>
                <w:sz w:val="20"/>
                <w:szCs w:val="20"/>
                <w:color w:val="auto"/>
              </w:rPr>
            </w:pPr>
            <w:r>
              <w:rPr>
                <w:rFonts w:ascii="Times New Roman" w:cs="Times New Roman" w:eastAsia="Times New Roman" w:hAnsi="Times New Roman"/>
                <w:sz w:val="20"/>
                <w:szCs w:val="20"/>
                <w:color w:val="auto"/>
                <w:w w:val="97"/>
              </w:rPr>
              <w:t>ARTICLE IV</w:t>
            </w:r>
          </w:p>
        </w:tc>
        <w:tc>
          <w:tcPr>
            <w:tcW w:w="980" w:type="dxa"/>
            <w:vAlign w:val="bottom"/>
          </w:tcPr>
          <w:p>
            <w:pPr>
              <w:spacing w:after="0"/>
              <w:rPr>
                <w:sz w:val="24"/>
                <w:szCs w:val="24"/>
                <w:color w:val="auto"/>
              </w:rPr>
            </w:pPr>
          </w:p>
        </w:tc>
      </w:tr>
      <w:tr>
        <w:trPr>
          <w:trHeight w:val="258"/>
        </w:trPr>
        <w:tc>
          <w:tcPr>
            <w:tcW w:w="1680" w:type="dxa"/>
            <w:vAlign w:val="bottom"/>
          </w:tcPr>
          <w:p>
            <w:pPr>
              <w:spacing w:after="0"/>
              <w:rPr>
                <w:sz w:val="22"/>
                <w:szCs w:val="22"/>
                <w:color w:val="auto"/>
              </w:rPr>
            </w:pPr>
          </w:p>
        </w:tc>
        <w:tc>
          <w:tcPr>
            <w:tcW w:w="8580" w:type="dxa"/>
            <w:vAlign w:val="bottom"/>
          </w:tcPr>
          <w:p>
            <w:pPr>
              <w:jc w:val="center"/>
              <w:ind w:right="601"/>
              <w:spacing w:after="0"/>
              <w:rPr>
                <w:sz w:val="20"/>
                <w:szCs w:val="20"/>
                <w:color w:val="auto"/>
              </w:rPr>
            </w:pPr>
            <w:r>
              <w:rPr>
                <w:rFonts w:ascii="Times New Roman" w:cs="Times New Roman" w:eastAsia="Times New Roman" w:hAnsi="Times New Roman"/>
                <w:sz w:val="20"/>
                <w:szCs w:val="20"/>
                <w:color w:val="auto"/>
                <w:w w:val="98"/>
              </w:rPr>
              <w:t>CONDITIONS PRECEDENT TO BORROWINGS</w:t>
            </w:r>
          </w:p>
        </w:tc>
        <w:tc>
          <w:tcPr>
            <w:tcW w:w="980" w:type="dxa"/>
            <w:vAlign w:val="bottom"/>
          </w:tcPr>
          <w:p>
            <w:pPr>
              <w:spacing w:after="0"/>
              <w:rPr>
                <w:sz w:val="22"/>
                <w:szCs w:val="22"/>
                <w:color w:val="auto"/>
              </w:rPr>
            </w:pPr>
          </w:p>
        </w:tc>
      </w:tr>
      <w:tr>
        <w:trPr>
          <w:trHeight w:val="470"/>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4.01</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Conditions to Initial Borrowing</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4.02</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Conditions to All Borrowings After the Closing Date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8"/>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4.03</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Conditions to All Borrowings of Delayed Draw Term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443"/>
        </w:trPr>
        <w:tc>
          <w:tcPr>
            <w:tcW w:w="1680" w:type="dxa"/>
            <w:vAlign w:val="bottom"/>
          </w:tcPr>
          <w:p>
            <w:pPr>
              <w:spacing w:after="0"/>
              <w:rPr>
                <w:sz w:val="24"/>
                <w:szCs w:val="24"/>
                <w:color w:val="auto"/>
              </w:rPr>
            </w:pPr>
          </w:p>
        </w:tc>
        <w:tc>
          <w:tcPr>
            <w:tcW w:w="8580" w:type="dxa"/>
            <w:vAlign w:val="bottom"/>
          </w:tcPr>
          <w:p>
            <w:pPr>
              <w:jc w:val="center"/>
              <w:ind w:right="581"/>
              <w:spacing w:after="0"/>
              <w:rPr>
                <w:sz w:val="20"/>
                <w:szCs w:val="20"/>
                <w:color w:val="auto"/>
              </w:rPr>
            </w:pPr>
            <w:r>
              <w:rPr>
                <w:rFonts w:ascii="Times New Roman" w:cs="Times New Roman" w:eastAsia="Times New Roman" w:hAnsi="Times New Roman"/>
                <w:sz w:val="20"/>
                <w:szCs w:val="20"/>
                <w:color w:val="auto"/>
                <w:w w:val="98"/>
              </w:rPr>
              <w:t>ARTICLE V</w:t>
            </w:r>
          </w:p>
        </w:tc>
        <w:tc>
          <w:tcPr>
            <w:tcW w:w="980" w:type="dxa"/>
            <w:vAlign w:val="bottom"/>
          </w:tcPr>
          <w:p>
            <w:pPr>
              <w:spacing w:after="0"/>
              <w:rPr>
                <w:sz w:val="24"/>
                <w:szCs w:val="24"/>
                <w:color w:val="auto"/>
              </w:rPr>
            </w:pPr>
          </w:p>
        </w:tc>
      </w:tr>
      <w:tr>
        <w:trPr>
          <w:trHeight w:val="258"/>
        </w:trPr>
        <w:tc>
          <w:tcPr>
            <w:tcW w:w="1680" w:type="dxa"/>
            <w:vAlign w:val="bottom"/>
          </w:tcPr>
          <w:p>
            <w:pPr>
              <w:spacing w:after="0"/>
              <w:rPr>
                <w:sz w:val="22"/>
                <w:szCs w:val="22"/>
                <w:color w:val="auto"/>
              </w:rPr>
            </w:pPr>
          </w:p>
        </w:tc>
        <w:tc>
          <w:tcPr>
            <w:tcW w:w="8580" w:type="dxa"/>
            <w:vAlign w:val="bottom"/>
          </w:tcPr>
          <w:p>
            <w:pPr>
              <w:jc w:val="center"/>
              <w:ind w:right="601"/>
              <w:spacing w:after="0"/>
              <w:rPr>
                <w:sz w:val="20"/>
                <w:szCs w:val="20"/>
                <w:color w:val="auto"/>
              </w:rPr>
            </w:pPr>
            <w:r>
              <w:rPr>
                <w:rFonts w:ascii="Times New Roman" w:cs="Times New Roman" w:eastAsia="Times New Roman" w:hAnsi="Times New Roman"/>
                <w:sz w:val="20"/>
                <w:szCs w:val="20"/>
                <w:color w:val="auto"/>
                <w:w w:val="97"/>
              </w:rPr>
              <w:t>REPRESENTATIONS AND WARRANTIES</w:t>
            </w:r>
          </w:p>
        </w:tc>
        <w:tc>
          <w:tcPr>
            <w:tcW w:w="980" w:type="dxa"/>
            <w:vAlign w:val="bottom"/>
          </w:tcPr>
          <w:p>
            <w:pPr>
              <w:spacing w:after="0"/>
              <w:rPr>
                <w:sz w:val="22"/>
                <w:szCs w:val="22"/>
                <w:color w:val="auto"/>
              </w:rPr>
            </w:pPr>
          </w:p>
        </w:tc>
      </w:tr>
      <w:tr>
        <w:trPr>
          <w:trHeight w:val="470"/>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5.01</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Existence, Qualification and Power; Compliance with Laws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5.02</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5.03</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Governmental Authorization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5.04</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Binding Effect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5.05</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5.06</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Litigation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5.07</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Labor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5.08</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5.09</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Environmental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5.10</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Taxes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5.11</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ERISA Compliance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5.12</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Subsidiaries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5.13</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5.14</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5.15</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5.16</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Solvency</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5.17</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USA PATRIOT Act, FCPA and OFAC</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5.18</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Collateral Documents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8"/>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5.19</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443"/>
        </w:trPr>
        <w:tc>
          <w:tcPr>
            <w:tcW w:w="1680" w:type="dxa"/>
            <w:vAlign w:val="bottom"/>
          </w:tcPr>
          <w:p>
            <w:pPr>
              <w:spacing w:after="0"/>
              <w:rPr>
                <w:sz w:val="24"/>
                <w:szCs w:val="24"/>
                <w:color w:val="auto"/>
              </w:rPr>
            </w:pPr>
          </w:p>
        </w:tc>
        <w:tc>
          <w:tcPr>
            <w:tcW w:w="8580" w:type="dxa"/>
            <w:vAlign w:val="bottom"/>
          </w:tcPr>
          <w:p>
            <w:pPr>
              <w:jc w:val="center"/>
              <w:ind w:right="601"/>
              <w:spacing w:after="0"/>
              <w:rPr>
                <w:sz w:val="20"/>
                <w:szCs w:val="20"/>
                <w:color w:val="auto"/>
              </w:rPr>
            </w:pPr>
            <w:r>
              <w:rPr>
                <w:rFonts w:ascii="Times New Roman" w:cs="Times New Roman" w:eastAsia="Times New Roman" w:hAnsi="Times New Roman"/>
                <w:sz w:val="20"/>
                <w:szCs w:val="20"/>
                <w:color w:val="auto"/>
                <w:w w:val="97"/>
              </w:rPr>
              <w:t>ARTICLE VI</w:t>
            </w:r>
          </w:p>
        </w:tc>
        <w:tc>
          <w:tcPr>
            <w:tcW w:w="980" w:type="dxa"/>
            <w:vAlign w:val="bottom"/>
          </w:tcPr>
          <w:p>
            <w:pPr>
              <w:spacing w:after="0"/>
              <w:rPr>
                <w:sz w:val="24"/>
                <w:szCs w:val="24"/>
                <w:color w:val="auto"/>
              </w:rPr>
            </w:pPr>
          </w:p>
        </w:tc>
      </w:tr>
      <w:tr>
        <w:trPr>
          <w:trHeight w:val="258"/>
        </w:trPr>
        <w:tc>
          <w:tcPr>
            <w:tcW w:w="1680" w:type="dxa"/>
            <w:vAlign w:val="bottom"/>
          </w:tcPr>
          <w:p>
            <w:pPr>
              <w:spacing w:after="0"/>
              <w:rPr>
                <w:sz w:val="22"/>
                <w:szCs w:val="22"/>
                <w:color w:val="auto"/>
              </w:rPr>
            </w:pPr>
          </w:p>
        </w:tc>
        <w:tc>
          <w:tcPr>
            <w:tcW w:w="8580" w:type="dxa"/>
            <w:vAlign w:val="bottom"/>
          </w:tcPr>
          <w:p>
            <w:pPr>
              <w:jc w:val="center"/>
              <w:ind w:right="601"/>
              <w:spacing w:after="0"/>
              <w:rPr>
                <w:sz w:val="20"/>
                <w:szCs w:val="20"/>
                <w:color w:val="auto"/>
              </w:rPr>
            </w:pPr>
            <w:r>
              <w:rPr>
                <w:rFonts w:ascii="Times New Roman" w:cs="Times New Roman" w:eastAsia="Times New Roman" w:hAnsi="Times New Roman"/>
                <w:sz w:val="20"/>
                <w:szCs w:val="20"/>
                <w:color w:val="auto"/>
                <w:w w:val="98"/>
              </w:rPr>
              <w:t>AFFIRMATIVE COVENANTS</w:t>
            </w:r>
          </w:p>
        </w:tc>
        <w:tc>
          <w:tcPr>
            <w:tcW w:w="980" w:type="dxa"/>
            <w:vAlign w:val="bottom"/>
          </w:tcPr>
          <w:p>
            <w:pPr>
              <w:spacing w:after="0"/>
              <w:rPr>
                <w:sz w:val="22"/>
                <w:szCs w:val="22"/>
                <w:color w:val="auto"/>
              </w:rPr>
            </w:pPr>
          </w:p>
        </w:tc>
      </w:tr>
      <w:tr>
        <w:trPr>
          <w:trHeight w:val="470"/>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6.01</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6.02</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6.03</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Notices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6.04</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 of Certain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6.05</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6.06</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6.07</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Maintenance of Insurance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6.08</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Compliance with Laws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56"/>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6.09</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Books and Records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58"/>
        </w:trPr>
        <w:tc>
          <w:tcPr>
            <w:tcW w:w="1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6.10</w:t>
            </w:r>
          </w:p>
        </w:tc>
        <w:tc>
          <w:tcPr>
            <w:tcW w:w="85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Inspection Rights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325"/>
        </w:trPr>
        <w:tc>
          <w:tcPr>
            <w:tcW w:w="168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Covenant to Guarantee Obligations and Give Security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6.12</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Further Assurances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6.13</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6.14</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Maintenance of Ratings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6.15</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Post-Closing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6.16</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443"/>
        </w:trPr>
        <w:tc>
          <w:tcPr>
            <w:tcW w:w="1720" w:type="dxa"/>
            <w:vAlign w:val="bottom"/>
          </w:tcPr>
          <w:p>
            <w:pPr>
              <w:spacing w:after="0"/>
              <w:rPr>
                <w:sz w:val="24"/>
                <w:szCs w:val="24"/>
                <w:color w:val="auto"/>
              </w:rPr>
            </w:pPr>
          </w:p>
        </w:tc>
        <w:tc>
          <w:tcPr>
            <w:tcW w:w="89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7"/>
              </w:rPr>
              <w:t>ARTICLE VII</w:t>
            </w:r>
          </w:p>
        </w:tc>
        <w:tc>
          <w:tcPr>
            <w:tcW w:w="580" w:type="dxa"/>
            <w:vAlign w:val="bottom"/>
          </w:tcPr>
          <w:p>
            <w:pPr>
              <w:spacing w:after="0"/>
              <w:rPr>
                <w:sz w:val="24"/>
                <w:szCs w:val="24"/>
                <w:color w:val="auto"/>
              </w:rPr>
            </w:pPr>
          </w:p>
        </w:tc>
      </w:tr>
      <w:tr>
        <w:trPr>
          <w:trHeight w:val="258"/>
        </w:trPr>
        <w:tc>
          <w:tcPr>
            <w:tcW w:w="1720" w:type="dxa"/>
            <w:vAlign w:val="bottom"/>
          </w:tcPr>
          <w:p>
            <w:pPr>
              <w:spacing w:after="0"/>
              <w:rPr>
                <w:sz w:val="22"/>
                <w:szCs w:val="22"/>
                <w:color w:val="auto"/>
              </w:rPr>
            </w:pPr>
          </w:p>
        </w:tc>
        <w:tc>
          <w:tcPr>
            <w:tcW w:w="89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7"/>
              </w:rPr>
              <w:t>NEGATIVE COVENANTS</w:t>
            </w:r>
          </w:p>
        </w:tc>
        <w:tc>
          <w:tcPr>
            <w:tcW w:w="580" w:type="dxa"/>
            <w:vAlign w:val="bottom"/>
          </w:tcPr>
          <w:p>
            <w:pPr>
              <w:spacing w:after="0"/>
              <w:rPr>
                <w:sz w:val="22"/>
                <w:szCs w:val="22"/>
                <w:color w:val="auto"/>
              </w:rPr>
            </w:pPr>
          </w:p>
        </w:tc>
      </w:tr>
      <w:tr>
        <w:trPr>
          <w:trHeight w:val="470"/>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Liens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7.02</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Investments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7.03</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Indebtedness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7.04</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Fundamental Changes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7.05</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Dispositions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7.06</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Restricted Payments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7.07</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7.08</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7.09</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Burdensome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7.10</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Prepayments, Etc. of Junior Financing; Amendments to Junior Financing Documents and Organizational</w:t>
            </w:r>
          </w:p>
        </w:tc>
        <w:tc>
          <w:tcPr>
            <w:tcW w:w="580" w:type="dxa"/>
            <w:vAlign w:val="bottom"/>
          </w:tcPr>
          <w:p>
            <w:pPr>
              <w:spacing w:after="0"/>
              <w:rPr>
                <w:sz w:val="19"/>
                <w:szCs w:val="19"/>
                <w:color w:val="auto"/>
              </w:rPr>
            </w:pPr>
          </w:p>
        </w:tc>
      </w:tr>
      <w:tr>
        <w:trPr>
          <w:trHeight w:val="256"/>
        </w:trPr>
        <w:tc>
          <w:tcPr>
            <w:tcW w:w="1720" w:type="dxa"/>
            <w:vAlign w:val="bottom"/>
          </w:tcPr>
          <w:p>
            <w:pPr>
              <w:spacing w:after="0"/>
              <w:rPr>
                <w:sz w:val="22"/>
                <w:szCs w:val="22"/>
                <w:color w:val="auto"/>
              </w:rPr>
            </w:pP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Documents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7.11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Passive Holding Company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443"/>
        </w:trPr>
        <w:tc>
          <w:tcPr>
            <w:tcW w:w="1720" w:type="dxa"/>
            <w:vAlign w:val="bottom"/>
          </w:tcPr>
          <w:p>
            <w:pPr>
              <w:spacing w:after="0"/>
              <w:rPr>
                <w:sz w:val="24"/>
                <w:szCs w:val="24"/>
                <w:color w:val="auto"/>
              </w:rPr>
            </w:pPr>
          </w:p>
        </w:tc>
        <w:tc>
          <w:tcPr>
            <w:tcW w:w="89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8"/>
              </w:rPr>
              <w:t>ARTICLE VIII</w:t>
            </w:r>
          </w:p>
        </w:tc>
        <w:tc>
          <w:tcPr>
            <w:tcW w:w="580" w:type="dxa"/>
            <w:vAlign w:val="bottom"/>
          </w:tcPr>
          <w:p>
            <w:pPr>
              <w:spacing w:after="0"/>
              <w:rPr>
                <w:sz w:val="24"/>
                <w:szCs w:val="24"/>
                <w:color w:val="auto"/>
              </w:rPr>
            </w:pPr>
          </w:p>
        </w:tc>
      </w:tr>
      <w:tr>
        <w:trPr>
          <w:trHeight w:val="258"/>
        </w:trPr>
        <w:tc>
          <w:tcPr>
            <w:tcW w:w="1720" w:type="dxa"/>
            <w:vAlign w:val="bottom"/>
          </w:tcPr>
          <w:p>
            <w:pPr>
              <w:spacing w:after="0"/>
              <w:rPr>
                <w:sz w:val="22"/>
                <w:szCs w:val="22"/>
                <w:color w:val="auto"/>
              </w:rPr>
            </w:pPr>
          </w:p>
        </w:tc>
        <w:tc>
          <w:tcPr>
            <w:tcW w:w="8940" w:type="dxa"/>
            <w:vAlign w:val="bottom"/>
          </w:tcPr>
          <w:p>
            <w:pPr>
              <w:jc w:val="center"/>
              <w:ind w:right="1041"/>
              <w:spacing w:after="0"/>
              <w:rPr>
                <w:sz w:val="20"/>
                <w:szCs w:val="20"/>
                <w:color w:val="auto"/>
              </w:rPr>
            </w:pPr>
            <w:r>
              <w:rPr>
                <w:rFonts w:ascii="Times New Roman" w:cs="Times New Roman" w:eastAsia="Times New Roman" w:hAnsi="Times New Roman"/>
                <w:sz w:val="20"/>
                <w:szCs w:val="20"/>
                <w:color w:val="auto"/>
                <w:w w:val="98"/>
              </w:rPr>
              <w:t>FINANCIAL COVENANT</w:t>
            </w:r>
          </w:p>
        </w:tc>
        <w:tc>
          <w:tcPr>
            <w:tcW w:w="580" w:type="dxa"/>
            <w:vAlign w:val="bottom"/>
          </w:tcPr>
          <w:p>
            <w:pPr>
              <w:spacing w:after="0"/>
              <w:rPr>
                <w:sz w:val="22"/>
                <w:szCs w:val="22"/>
                <w:color w:val="auto"/>
              </w:rPr>
            </w:pPr>
          </w:p>
        </w:tc>
      </w:tr>
      <w:tr>
        <w:trPr>
          <w:trHeight w:val="470"/>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8.01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First Lien Net Leverage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8.02</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Borrower’s Right to Cure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443"/>
        </w:trPr>
        <w:tc>
          <w:tcPr>
            <w:tcW w:w="1720" w:type="dxa"/>
            <w:vAlign w:val="bottom"/>
          </w:tcPr>
          <w:p>
            <w:pPr>
              <w:spacing w:after="0"/>
              <w:rPr>
                <w:sz w:val="24"/>
                <w:szCs w:val="24"/>
                <w:color w:val="auto"/>
              </w:rPr>
            </w:pPr>
          </w:p>
        </w:tc>
        <w:tc>
          <w:tcPr>
            <w:tcW w:w="8940" w:type="dxa"/>
            <w:vAlign w:val="bottom"/>
          </w:tcPr>
          <w:p>
            <w:pPr>
              <w:jc w:val="center"/>
              <w:ind w:right="1041"/>
              <w:spacing w:after="0"/>
              <w:rPr>
                <w:sz w:val="20"/>
                <w:szCs w:val="20"/>
                <w:color w:val="auto"/>
              </w:rPr>
            </w:pPr>
            <w:r>
              <w:rPr>
                <w:rFonts w:ascii="Times New Roman" w:cs="Times New Roman" w:eastAsia="Times New Roman" w:hAnsi="Times New Roman"/>
                <w:sz w:val="20"/>
                <w:szCs w:val="20"/>
                <w:color w:val="auto"/>
                <w:w w:val="97"/>
              </w:rPr>
              <w:t>ARTICLE IX</w:t>
            </w:r>
          </w:p>
        </w:tc>
        <w:tc>
          <w:tcPr>
            <w:tcW w:w="580" w:type="dxa"/>
            <w:vAlign w:val="bottom"/>
          </w:tcPr>
          <w:p>
            <w:pPr>
              <w:spacing w:after="0"/>
              <w:rPr>
                <w:sz w:val="24"/>
                <w:szCs w:val="24"/>
                <w:color w:val="auto"/>
              </w:rPr>
            </w:pPr>
          </w:p>
        </w:tc>
      </w:tr>
      <w:tr>
        <w:trPr>
          <w:trHeight w:val="258"/>
        </w:trPr>
        <w:tc>
          <w:tcPr>
            <w:tcW w:w="1720" w:type="dxa"/>
            <w:vAlign w:val="bottom"/>
          </w:tcPr>
          <w:p>
            <w:pPr>
              <w:spacing w:after="0"/>
              <w:rPr>
                <w:sz w:val="22"/>
                <w:szCs w:val="22"/>
                <w:color w:val="auto"/>
              </w:rPr>
            </w:pPr>
          </w:p>
        </w:tc>
        <w:tc>
          <w:tcPr>
            <w:tcW w:w="8940" w:type="dxa"/>
            <w:vAlign w:val="bottom"/>
          </w:tcPr>
          <w:p>
            <w:pPr>
              <w:jc w:val="center"/>
              <w:ind w:right="1041"/>
              <w:spacing w:after="0"/>
              <w:rPr>
                <w:sz w:val="20"/>
                <w:szCs w:val="20"/>
                <w:color w:val="auto"/>
              </w:rPr>
            </w:pPr>
            <w:r>
              <w:rPr>
                <w:rFonts w:ascii="Times New Roman" w:cs="Times New Roman" w:eastAsia="Times New Roman" w:hAnsi="Times New Roman"/>
                <w:sz w:val="20"/>
                <w:szCs w:val="20"/>
                <w:color w:val="auto"/>
                <w:w w:val="97"/>
              </w:rPr>
              <w:t>EVENTS OF DEFAULT AND REMEDIES</w:t>
            </w:r>
          </w:p>
        </w:tc>
        <w:tc>
          <w:tcPr>
            <w:tcW w:w="580" w:type="dxa"/>
            <w:vAlign w:val="bottom"/>
          </w:tcPr>
          <w:p>
            <w:pPr>
              <w:spacing w:after="0"/>
              <w:rPr>
                <w:sz w:val="22"/>
                <w:szCs w:val="22"/>
                <w:color w:val="auto"/>
              </w:rPr>
            </w:pPr>
          </w:p>
        </w:tc>
      </w:tr>
      <w:tr>
        <w:trPr>
          <w:trHeight w:val="470"/>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9.01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Events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9.02</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9.03</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Application of Funds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r>
      <w:tr>
        <w:trPr>
          <w:trHeight w:val="443"/>
        </w:trPr>
        <w:tc>
          <w:tcPr>
            <w:tcW w:w="1720" w:type="dxa"/>
            <w:vAlign w:val="bottom"/>
          </w:tcPr>
          <w:p>
            <w:pPr>
              <w:spacing w:after="0"/>
              <w:rPr>
                <w:sz w:val="24"/>
                <w:szCs w:val="24"/>
                <w:color w:val="auto"/>
              </w:rPr>
            </w:pPr>
          </w:p>
        </w:tc>
        <w:tc>
          <w:tcPr>
            <w:tcW w:w="89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8"/>
              </w:rPr>
              <w:t>ARTICLE X</w:t>
            </w:r>
          </w:p>
        </w:tc>
        <w:tc>
          <w:tcPr>
            <w:tcW w:w="580" w:type="dxa"/>
            <w:vAlign w:val="bottom"/>
          </w:tcPr>
          <w:p>
            <w:pPr>
              <w:spacing w:after="0"/>
              <w:rPr>
                <w:sz w:val="24"/>
                <w:szCs w:val="24"/>
                <w:color w:val="auto"/>
              </w:rPr>
            </w:pPr>
          </w:p>
        </w:tc>
      </w:tr>
      <w:tr>
        <w:trPr>
          <w:trHeight w:val="258"/>
        </w:trPr>
        <w:tc>
          <w:tcPr>
            <w:tcW w:w="1720" w:type="dxa"/>
            <w:vAlign w:val="bottom"/>
          </w:tcPr>
          <w:p>
            <w:pPr>
              <w:spacing w:after="0"/>
              <w:rPr>
                <w:sz w:val="22"/>
                <w:szCs w:val="22"/>
                <w:color w:val="auto"/>
              </w:rPr>
            </w:pPr>
          </w:p>
        </w:tc>
        <w:tc>
          <w:tcPr>
            <w:tcW w:w="8940" w:type="dxa"/>
            <w:vAlign w:val="bottom"/>
          </w:tcPr>
          <w:p>
            <w:pPr>
              <w:jc w:val="center"/>
              <w:ind w:right="1041"/>
              <w:spacing w:after="0"/>
              <w:rPr>
                <w:sz w:val="20"/>
                <w:szCs w:val="20"/>
                <w:color w:val="auto"/>
              </w:rPr>
            </w:pPr>
            <w:r>
              <w:rPr>
                <w:rFonts w:ascii="Times New Roman" w:cs="Times New Roman" w:eastAsia="Times New Roman" w:hAnsi="Times New Roman"/>
                <w:sz w:val="20"/>
                <w:szCs w:val="20"/>
                <w:color w:val="auto"/>
                <w:w w:val="98"/>
              </w:rPr>
              <w:t>ADMINISTRATIVE AGENT AND OTHER AGENTS</w:t>
            </w:r>
          </w:p>
        </w:tc>
        <w:tc>
          <w:tcPr>
            <w:tcW w:w="580" w:type="dxa"/>
            <w:vAlign w:val="bottom"/>
          </w:tcPr>
          <w:p>
            <w:pPr>
              <w:spacing w:after="0"/>
              <w:rPr>
                <w:sz w:val="22"/>
                <w:szCs w:val="22"/>
                <w:color w:val="auto"/>
              </w:rPr>
            </w:pPr>
          </w:p>
        </w:tc>
      </w:tr>
      <w:tr>
        <w:trPr>
          <w:trHeight w:val="470"/>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Appointment and Authority of the Administrative Agent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10.02</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Rights as a Lender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10.03</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Exculpatory Provisions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10.04</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Reliance by the Agents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10.05</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Delegation of Duties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10.06</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Non-Reliance on Agents and Other Lenders; Disclosure of Information by Agents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10.07</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Indemnification of Agents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10.08</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 Other Duties; Other Agents, Lead Arrangers, Managers, Etc.</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10.09</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Resignation of Administrative Agent or Collateral Agent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10.10</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Administrative Agent May File Proofs of Claim; Credit Bidding</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10.11</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10.12</w:t>
            </w:r>
          </w:p>
        </w:tc>
        <w:tc>
          <w:tcPr>
            <w:tcW w:w="8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Appointment of Supplemental Administrative Agents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325"/>
        </w:trPr>
        <w:tc>
          <w:tcPr>
            <w:tcW w:w="172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10.13</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Intercreditor Agreements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10.14</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Secured Cash Management Agreements and Secured Hedge Agreements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10.15</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Withholding Taxes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10.16</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Certain ERISA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443"/>
        </w:trPr>
        <w:tc>
          <w:tcPr>
            <w:tcW w:w="1720" w:type="dxa"/>
            <w:vAlign w:val="bottom"/>
          </w:tcPr>
          <w:p>
            <w:pPr>
              <w:spacing w:after="0"/>
              <w:rPr>
                <w:sz w:val="24"/>
                <w:szCs w:val="24"/>
                <w:color w:val="auto"/>
              </w:rPr>
            </w:pPr>
          </w:p>
        </w:tc>
        <w:tc>
          <w:tcPr>
            <w:tcW w:w="7680" w:type="dxa"/>
            <w:vAlign w:val="bottom"/>
          </w:tcPr>
          <w:p>
            <w:pPr>
              <w:ind w:left="3360"/>
              <w:spacing w:after="0"/>
              <w:rPr>
                <w:sz w:val="20"/>
                <w:szCs w:val="20"/>
                <w:color w:val="auto"/>
              </w:rPr>
            </w:pPr>
            <w:r>
              <w:rPr>
                <w:rFonts w:ascii="Times New Roman" w:cs="Times New Roman" w:eastAsia="Times New Roman" w:hAnsi="Times New Roman"/>
                <w:sz w:val="20"/>
                <w:szCs w:val="20"/>
                <w:color w:val="auto"/>
              </w:rPr>
              <w:t>ARTICLE XI</w:t>
            </w:r>
          </w:p>
        </w:tc>
        <w:tc>
          <w:tcPr>
            <w:tcW w:w="1840" w:type="dxa"/>
            <w:vAlign w:val="bottom"/>
          </w:tcPr>
          <w:p>
            <w:pPr>
              <w:spacing w:after="0"/>
              <w:rPr>
                <w:sz w:val="24"/>
                <w:szCs w:val="24"/>
                <w:color w:val="auto"/>
              </w:rPr>
            </w:pPr>
          </w:p>
        </w:tc>
      </w:tr>
      <w:tr>
        <w:trPr>
          <w:trHeight w:val="258"/>
        </w:trPr>
        <w:tc>
          <w:tcPr>
            <w:tcW w:w="1720" w:type="dxa"/>
            <w:vAlign w:val="bottom"/>
          </w:tcPr>
          <w:p>
            <w:pPr>
              <w:spacing w:after="0"/>
              <w:rPr>
                <w:sz w:val="22"/>
                <w:szCs w:val="22"/>
                <w:color w:val="auto"/>
              </w:rPr>
            </w:pPr>
          </w:p>
        </w:tc>
        <w:tc>
          <w:tcPr>
            <w:tcW w:w="7680" w:type="dxa"/>
            <w:vAlign w:val="bottom"/>
          </w:tcPr>
          <w:p>
            <w:pPr>
              <w:ind w:left="3080"/>
              <w:spacing w:after="0"/>
              <w:rPr>
                <w:sz w:val="20"/>
                <w:szCs w:val="20"/>
                <w:color w:val="auto"/>
              </w:rPr>
            </w:pPr>
            <w:r>
              <w:rPr>
                <w:rFonts w:ascii="Times New Roman" w:cs="Times New Roman" w:eastAsia="Times New Roman" w:hAnsi="Times New Roman"/>
                <w:sz w:val="20"/>
                <w:szCs w:val="20"/>
                <w:color w:val="auto"/>
              </w:rPr>
              <w:t>MISCELLANEOUS</w:t>
            </w:r>
          </w:p>
        </w:tc>
        <w:tc>
          <w:tcPr>
            <w:tcW w:w="1840" w:type="dxa"/>
            <w:vAlign w:val="bottom"/>
          </w:tcPr>
          <w:p>
            <w:pPr>
              <w:spacing w:after="0"/>
              <w:rPr>
                <w:sz w:val="22"/>
                <w:szCs w:val="22"/>
                <w:color w:val="auto"/>
              </w:rPr>
            </w:pPr>
          </w:p>
        </w:tc>
      </w:tr>
      <w:tr>
        <w:trPr>
          <w:trHeight w:val="470"/>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11.01</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Amendments, Waivers, Etc.</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11.02</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Notices and Other Communications; Facsimile Copies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11.03</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 Waiver; Cumulative Remedies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11.04</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Attorney Costs and Expenses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11.05</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Indemnification by the Borrower</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11.06</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Marshaling; Payments Set Aside</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11.07</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Successors and Assigns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11.08</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Confidentiality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11.09</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Set-off</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11.10</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11.11</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11.12</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Electronic Execution of Assignments and Certain Other Documents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11.13</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Survival</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11.14</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Severability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11.15</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GOVERNING LAW</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11.16</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WAIVER OF RIGHT TO TRIAL BY JURY</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11.17</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Limitation of Liability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11.18</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Use of Name, Logo, Etc.</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11.19</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USA PATRIOT Act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11.20</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Service of Process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11.21</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11.22</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Binding Effect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11.23</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Obligations Several; Independent Nature of Lender’s Rights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56"/>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11.24</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Headings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SECTION 11.25</w:t>
            </w:r>
          </w:p>
        </w:tc>
        <w:tc>
          <w:tcPr>
            <w:tcW w:w="76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Acknowledgement and Consent to Bail-In of EEA Financial Institutions.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325"/>
        </w:trPr>
        <w:tc>
          <w:tcPr>
            <w:tcW w:w="172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SCHEDULES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 Commitments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5.06 Litigation</w:t>
      </w:r>
    </w:p>
    <w:p>
      <w:pPr>
        <w:spacing w:after="0"/>
        <w:rPr>
          <w:sz w:val="20"/>
          <w:szCs w:val="20"/>
          <w:color w:val="auto"/>
        </w:rPr>
      </w:pPr>
      <w:r>
        <w:rPr>
          <w:rFonts w:ascii="Times New Roman" w:cs="Times New Roman" w:eastAsia="Times New Roman" w:hAnsi="Times New Roman"/>
          <w:sz w:val="20"/>
          <w:szCs w:val="20"/>
          <w:color w:val="auto"/>
        </w:rPr>
        <w:t>5.07 Labor Matters</w:t>
      </w:r>
    </w:p>
    <w:p>
      <w:pPr>
        <w:spacing w:after="0"/>
        <w:rPr>
          <w:sz w:val="20"/>
          <w:szCs w:val="20"/>
          <w:color w:val="auto"/>
        </w:rPr>
      </w:pPr>
      <w:r>
        <w:rPr>
          <w:rFonts w:ascii="Times New Roman" w:cs="Times New Roman" w:eastAsia="Times New Roman" w:hAnsi="Times New Roman"/>
          <w:sz w:val="20"/>
          <w:szCs w:val="20"/>
          <w:color w:val="auto"/>
        </w:rPr>
        <w:t>5.08 Material Real Property</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5.11(a)</w:t>
      </w:r>
      <w:r>
        <w:rPr>
          <w:sz w:val="20"/>
          <w:szCs w:val="20"/>
          <w:color w:val="auto"/>
        </w:rPr>
        <w:tab/>
      </w:r>
      <w:r>
        <w:rPr>
          <w:rFonts w:ascii="Times New Roman" w:cs="Times New Roman" w:eastAsia="Times New Roman" w:hAnsi="Times New Roman"/>
          <w:sz w:val="19"/>
          <w:szCs w:val="19"/>
          <w:color w:val="auto"/>
        </w:rPr>
        <w:t>ERISA Compliance</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5.11(b)</w:t>
      </w:r>
      <w:r>
        <w:rPr>
          <w:sz w:val="20"/>
          <w:szCs w:val="20"/>
          <w:color w:val="auto"/>
        </w:rPr>
        <w:tab/>
      </w:r>
      <w:r>
        <w:rPr>
          <w:rFonts w:ascii="Times New Roman" w:cs="Times New Roman" w:eastAsia="Times New Roman" w:hAnsi="Times New Roman"/>
          <w:sz w:val="19"/>
          <w:szCs w:val="19"/>
          <w:color w:val="auto"/>
        </w:rPr>
        <w:t>ERISA Compliance</w:t>
      </w:r>
    </w:p>
    <w:p>
      <w:pPr>
        <w:spacing w:after="0"/>
        <w:rPr>
          <w:sz w:val="20"/>
          <w:szCs w:val="20"/>
          <w:color w:val="auto"/>
        </w:rPr>
      </w:pPr>
      <w:r>
        <w:rPr>
          <w:rFonts w:ascii="Times New Roman" w:cs="Times New Roman" w:eastAsia="Times New Roman" w:hAnsi="Times New Roman"/>
          <w:sz w:val="20"/>
          <w:szCs w:val="20"/>
          <w:color w:val="auto"/>
        </w:rPr>
        <w:t>5.12 Subsidiaries</w:t>
      </w:r>
    </w:p>
    <w:p>
      <w:pPr>
        <w:spacing w:after="0"/>
        <w:rPr>
          <w:sz w:val="20"/>
          <w:szCs w:val="20"/>
          <w:color w:val="auto"/>
        </w:rPr>
      </w:pPr>
      <w:r>
        <w:rPr>
          <w:rFonts w:ascii="Times New Roman" w:cs="Times New Roman" w:eastAsia="Times New Roman" w:hAnsi="Times New Roman"/>
          <w:sz w:val="20"/>
          <w:szCs w:val="20"/>
          <w:color w:val="auto"/>
        </w:rPr>
        <w:t>6.15 Post-Closing Matters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spacing w:after="0"/>
              <w:rPr>
                <w:sz w:val="22"/>
                <w:szCs w:val="22"/>
                <w:color w:val="auto"/>
              </w:rPr>
            </w:pPr>
          </w:p>
        </w:tc>
        <w:tc>
          <w:tcPr>
            <w:tcW w:w="2620" w:type="dxa"/>
            <w:vAlign w:val="bottom"/>
          </w:tcPr>
          <w:p>
            <w:pPr>
              <w:ind w:left="400"/>
              <w:spacing w:after="0"/>
              <w:rPr>
                <w:sz w:val="20"/>
                <w:szCs w:val="20"/>
                <w:color w:val="auto"/>
              </w:rPr>
            </w:pPr>
            <w:r>
              <w:rPr>
                <w:rFonts w:ascii="Times New Roman" w:cs="Times New Roman" w:eastAsia="Times New Roman" w:hAnsi="Times New Roman"/>
                <w:sz w:val="20"/>
                <w:szCs w:val="20"/>
                <w:i w:val="1"/>
                <w:iCs w:val="1"/>
                <w:color w:val="auto"/>
              </w:rPr>
              <w:t>Form of</w:t>
            </w:r>
          </w:p>
        </w:tc>
      </w:tr>
      <w:tr>
        <w:trPr>
          <w:trHeight w:val="416"/>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A-1</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Committed Loan Notice</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A-2</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Issuance Notice</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A-3</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Conversion/Continuation Notice</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A-4</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Swing Line Notice</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B-1</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 Loan Note</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B-2</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Revolving Loan Note</w:t>
            </w:r>
          </w:p>
        </w:tc>
      </w:tr>
      <w:tr>
        <w:trPr>
          <w:trHeight w:val="251"/>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B-3</w:t>
            </w:r>
          </w:p>
        </w:tc>
        <w:tc>
          <w:tcPr>
            <w:tcW w:w="2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Swing Line Note</w:t>
            </w:r>
          </w:p>
        </w:tc>
      </w:tr>
    </w:tbl>
    <w:p>
      <w:pPr>
        <w:ind w:left="400" w:hanging="392"/>
        <w:spacing w:after="0"/>
        <w:tabs>
          <w:tab w:leader="none" w:pos="4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Certificate</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Guaranty</w:t>
      </w:r>
    </w:p>
    <w:p>
      <w:pPr>
        <w:spacing w:after="0" w:line="21"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Agreement</w:t>
      </w:r>
    </w:p>
    <w:p>
      <w:pPr>
        <w:spacing w:after="0"/>
        <w:rPr>
          <w:sz w:val="20"/>
          <w:szCs w:val="20"/>
          <w:color w:val="auto"/>
        </w:rPr>
      </w:pPr>
      <w:r>
        <w:rPr>
          <w:rFonts w:ascii="Times New Roman" w:cs="Times New Roman" w:eastAsia="Times New Roman" w:hAnsi="Times New Roman"/>
          <w:sz w:val="20"/>
          <w:szCs w:val="20"/>
          <w:color w:val="auto"/>
        </w:rPr>
        <w:t>G-1 Non-Bank Certificate (For Foreign Lenders That Are Not Partnerships or Pass-Thru Entities For U.S. Federal Income Tax Purposes)</w:t>
      </w:r>
    </w:p>
    <w:p>
      <w:pPr>
        <w:spacing w:after="0"/>
        <w:rPr>
          <w:sz w:val="20"/>
          <w:szCs w:val="20"/>
          <w:color w:val="auto"/>
        </w:rPr>
      </w:pPr>
      <w:r>
        <w:rPr>
          <w:rFonts w:ascii="Times New Roman" w:cs="Times New Roman" w:eastAsia="Times New Roman" w:hAnsi="Times New Roman"/>
          <w:sz w:val="20"/>
          <w:szCs w:val="20"/>
          <w:color w:val="auto"/>
        </w:rPr>
        <w:t>G-2 Non-Bank Certificate (For Foreign Lenders That Are Partnerships or Pass-Thru Entities For U.S. Federal Income Tax Purposes)</w:t>
      </w:r>
    </w:p>
    <w:p>
      <w:pPr>
        <w:spacing w:after="0"/>
        <w:rPr>
          <w:sz w:val="20"/>
          <w:szCs w:val="20"/>
          <w:color w:val="auto"/>
        </w:rPr>
      </w:pPr>
      <w:r>
        <w:rPr>
          <w:rFonts w:ascii="Times New Roman" w:cs="Times New Roman" w:eastAsia="Times New Roman" w:hAnsi="Times New Roman"/>
          <w:sz w:val="19"/>
          <w:szCs w:val="19"/>
          <w:color w:val="auto"/>
        </w:rPr>
        <w:t>G-3 Non-Bank Certificate (For Foreign Participants That Are Not Partnerships or Pass-Thru Entities For U.S. Federal Income Tax Purposes)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G-4 Non-Bank Certificate (For Foreign Participants That Are Partnerships or Pass-Thru Entities For U.S. Federal Income Tax Purposes)</w:t>
      </w:r>
    </w:p>
    <w:p>
      <w:pPr>
        <w:ind w:right="8660" w:firstLine="8"/>
        <w:spacing w:after="0" w:line="239" w:lineRule="auto"/>
        <w:tabs>
          <w:tab w:leader="none" w:pos="39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Intercompany Note I Solvency Certificate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   Prepayment Notice</w:t>
      </w:r>
    </w:p>
    <w:p>
      <w:pPr>
        <w:ind w:right="770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K-1 Junior Lien Intercreditor Agreement K-2 Equal Priority Intercreditor Agreement L Auction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AND RESTATED FIRST LIEN CREDIT AGREEMENT</w:t>
      </w:r>
    </w:p>
    <w:p>
      <w:pPr>
        <w:spacing w:after="0" w:line="21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This AMENDED AND RESTATED FIRST LIEN CREDIT AGREEMENT is entered into as of May 14, 2019, by and among MISTER CAR WASH HOLDINGS, INC., a Delaware corporation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HOTSHINE INTERMEDIATECO, INC., a Delaware corporation (“</w:t>
      </w:r>
      <w:r>
        <w:rPr>
          <w:rFonts w:ascii="Times New Roman" w:cs="Times New Roman" w:eastAsia="Times New Roman" w:hAnsi="Times New Roman"/>
          <w:sz w:val="19"/>
          <w:szCs w:val="19"/>
          <w:b w:val="1"/>
          <w:bCs w:val="1"/>
          <w:color w:val="auto"/>
        </w:rPr>
        <w:t>Holdings</w:t>
      </w:r>
      <w:r>
        <w:rPr>
          <w:rFonts w:ascii="Times New Roman" w:cs="Times New Roman" w:eastAsia="Times New Roman" w:hAnsi="Times New Roman"/>
          <w:sz w:val="19"/>
          <w:szCs w:val="19"/>
          <w:color w:val="auto"/>
        </w:rPr>
        <w:t>”), JEFFERIES FINANCE LLC (“</w:t>
      </w:r>
      <w:r>
        <w:rPr>
          <w:rFonts w:ascii="Times New Roman" w:cs="Times New Roman" w:eastAsia="Times New Roman" w:hAnsi="Times New Roman"/>
          <w:sz w:val="19"/>
          <w:szCs w:val="19"/>
          <w:b w:val="1"/>
          <w:bCs w:val="1"/>
          <w:color w:val="auto"/>
        </w:rPr>
        <w:t>Jefferies Finance</w:t>
      </w:r>
      <w:r>
        <w:rPr>
          <w:rFonts w:ascii="Times New Roman" w:cs="Times New Roman" w:eastAsia="Times New Roman" w:hAnsi="Times New Roman"/>
          <w:sz w:val="19"/>
          <w:szCs w:val="19"/>
          <w:color w:val="auto"/>
        </w:rPr>
        <w:t>”), as administrative agent (in such capacity, including any successor thereto, the “</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 and as collateral agent (in such capacity, including any successor thereto, the “</w:t>
      </w:r>
      <w:r>
        <w:rPr>
          <w:rFonts w:ascii="Times New Roman" w:cs="Times New Roman" w:eastAsia="Times New Roman" w:hAnsi="Times New Roman"/>
          <w:sz w:val="19"/>
          <w:szCs w:val="19"/>
          <w:b w:val="1"/>
          <w:bCs w:val="1"/>
          <w:color w:val="auto"/>
        </w:rPr>
        <w:t>Collateral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under the Loan Documents, each Issuing Bank from time to time party hereto, each financial institution listed on the signature pages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hereto as an agent, Jefferies Finance, BMO CAPITAL MARKETS CORP. (“</w:t>
      </w:r>
      <w:r>
        <w:rPr>
          <w:rFonts w:ascii="Times New Roman" w:cs="Times New Roman" w:eastAsia="Times New Roman" w:hAnsi="Times New Roman"/>
          <w:sz w:val="19"/>
          <w:szCs w:val="19"/>
          <w:b w:val="1"/>
          <w:bCs w:val="1"/>
          <w:color w:val="auto"/>
        </w:rPr>
        <w:t>BMOCM</w:t>
      </w:r>
      <w:r>
        <w:rPr>
          <w:rFonts w:ascii="Times New Roman" w:cs="Times New Roman" w:eastAsia="Times New Roman" w:hAnsi="Times New Roman"/>
          <w:sz w:val="19"/>
          <w:szCs w:val="19"/>
          <w:color w:val="auto"/>
        </w:rPr>
        <w:t>”), UBS SECURITIES LLC (“</w:t>
      </w:r>
      <w:r>
        <w:rPr>
          <w:rFonts w:ascii="Times New Roman" w:cs="Times New Roman" w:eastAsia="Times New Roman" w:hAnsi="Times New Roman"/>
          <w:sz w:val="19"/>
          <w:szCs w:val="19"/>
          <w:b w:val="1"/>
          <w:bCs w:val="1"/>
          <w:color w:val="auto"/>
        </w:rPr>
        <w:t>UBS</w:t>
      </w:r>
      <w:r>
        <w:rPr>
          <w:rFonts w:ascii="Times New Roman" w:cs="Times New Roman" w:eastAsia="Times New Roman" w:hAnsi="Times New Roman"/>
          <w:sz w:val="19"/>
          <w:szCs w:val="19"/>
          <w:color w:val="auto"/>
        </w:rPr>
        <w:t>”) and NOMURA SECURITIES INTERNATIONAL, INC. (together with its affiliates, “</w:t>
      </w:r>
      <w:r>
        <w:rPr>
          <w:rFonts w:ascii="Times New Roman" w:cs="Times New Roman" w:eastAsia="Times New Roman" w:hAnsi="Times New Roman"/>
          <w:sz w:val="19"/>
          <w:szCs w:val="19"/>
          <w:b w:val="1"/>
          <w:bCs w:val="1"/>
          <w:color w:val="auto"/>
        </w:rPr>
        <w:t>Nomura</w:t>
      </w:r>
      <w:r>
        <w:rPr>
          <w:rFonts w:ascii="Times New Roman" w:cs="Times New Roman" w:eastAsia="Times New Roman" w:hAnsi="Times New Roman"/>
          <w:sz w:val="19"/>
          <w:szCs w:val="19"/>
          <w:color w:val="auto"/>
        </w:rPr>
        <w:t>”), as joint lead arrangers and joint bookrunners (collectively, the “</w:t>
      </w:r>
      <w:r>
        <w:rPr>
          <w:rFonts w:ascii="Times New Roman" w:cs="Times New Roman" w:eastAsia="Times New Roman" w:hAnsi="Times New Roman"/>
          <w:sz w:val="19"/>
          <w:szCs w:val="19"/>
          <w:b w:val="1"/>
          <w:bCs w:val="1"/>
          <w:color w:val="auto"/>
        </w:rPr>
        <w:t>Lead Arrangers</w:t>
      </w:r>
      <w:r>
        <w:rPr>
          <w:rFonts w:ascii="Times New Roman" w:cs="Times New Roman" w:eastAsia="Times New Roman" w:hAnsi="Times New Roman"/>
          <w:sz w:val="19"/>
          <w:szCs w:val="19"/>
          <w:color w:val="auto"/>
        </w:rPr>
        <w:t>”), and each lender from time to time party hereto (collectively,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and, individually, a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Borrower, the Administrative Agent and certain lenders are party to that certain First Lien Credit Agreement, dated as of August 21, 2014 (as amended by that certain Amendment No. 1 to Credit Agreement, dated as of September 25, 2014, as amended by that certain Incremental Amendment No. 1, dated as of June 30, 2016, as amended by that certain Second Incremental Amendment, dated as of December 14, 2016, as amended by the that certain Third Incremental Amendment to Credit Agreement, dated as of June 15, 2017, as amended by that certain Fourth Incremental Amendment, dated as of December 18, 2017, as amended by that certain Fifth Incremental Amendment, dated as of December 7, 2018, and as amended by that certain Sixth Incremental Amendment, dated as of March 29, 2019,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The parties hereto wish to completely amend, restate and modify (but not extinguish) the Existing Credit Agreement through the execution of this Agreement.</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The Borrower has requested that (a) substantially simultaneously with the satisfaction of the conditions precedent set forth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the Lenders extend credit to the Borrower in the form of (i) $800,000,000.00 of Initial Term Loans, (ii) $40,000,000.00 of Delayed Draw Commitments on the Closing Date and $75,000,000.00 of Revolving Commitments on the Closing Date as a first lien secured credit facility and (b) from time to time, the Revolving Lenders make Revolving Loans, the Swing Line Lender to make Swing Line Loans and the Issuing Banks issue Letters of Credit, pursuant to the terms of this Agreement.</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On the Closing Date, the Borrower will enter into the Second Lien Credit Agreement pursuant to which the lenders party thereto will extend credit to the Borrower in the form of $225,000,000.00 of Second Lien Term Loans.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proceeds of the Initial Term Loans, together with the proceeds of the Second Lien Term Loans, will be used on the Closing Date (a) to repay the Existing Debt, (b) to pay the Transaction Expenses, (c) for working capital and other purposes permitted by this Agreement and (d) to make the Specified Dividend.</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The applicable Lenders have indicated their willingness to lend, and each Issuing Bank has indicated its willingness to issue Letters of Credit, in each case on the terms and subject to the conditions set forth herein.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and Accounting Terms</w:t>
      </w:r>
    </w:p>
    <w:p>
      <w:pPr>
        <w:spacing w:after="0" w:line="19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set forth below:</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Incremental Revolving Commitments</w:t>
      </w:r>
      <w:r>
        <w:rPr>
          <w:rFonts w:ascii="Times New Roman" w:cs="Times New Roman" w:eastAsia="Times New Roman" w:hAnsi="Times New Roman"/>
          <w:sz w:val="20"/>
          <w:szCs w:val="20"/>
          <w:color w:val="auto"/>
        </w:rPr>
        <w:t>” has the meaning provided in the Second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Incremental Revolving Facility</w:t>
      </w:r>
      <w:r>
        <w:rPr>
          <w:rFonts w:ascii="Times New Roman" w:cs="Times New Roman" w:eastAsia="Times New Roman" w:hAnsi="Times New Roman"/>
          <w:sz w:val="20"/>
          <w:szCs w:val="20"/>
          <w:color w:val="auto"/>
        </w:rPr>
        <w:t>” has the meaning provided in the Second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Incremental Revolving Lenders</w:t>
      </w:r>
      <w:r>
        <w:rPr>
          <w:rFonts w:ascii="Times New Roman" w:cs="Times New Roman" w:eastAsia="Times New Roman" w:hAnsi="Times New Roman"/>
          <w:sz w:val="20"/>
          <w:szCs w:val="20"/>
          <w:color w:val="auto"/>
        </w:rPr>
        <w:t>” has the meaning provided in the Second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Incremental Term Lenders</w:t>
      </w:r>
      <w:r>
        <w:rPr>
          <w:rFonts w:ascii="Times New Roman" w:cs="Times New Roman" w:eastAsia="Times New Roman" w:hAnsi="Times New Roman"/>
          <w:sz w:val="20"/>
          <w:szCs w:val="20"/>
          <w:color w:val="auto"/>
        </w:rPr>
        <w:t>” has the meaning provided in the Third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Incremental Term Loans</w:t>
      </w:r>
      <w:r>
        <w:rPr>
          <w:rFonts w:ascii="Times New Roman" w:cs="Times New Roman" w:eastAsia="Times New Roman" w:hAnsi="Times New Roman"/>
          <w:sz w:val="20"/>
          <w:szCs w:val="20"/>
          <w:color w:val="auto"/>
        </w:rPr>
        <w:t>” has the meaning provided in the Third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Incremental Term Loan Commitments</w:t>
      </w:r>
      <w:r>
        <w:rPr>
          <w:rFonts w:ascii="Times New Roman" w:cs="Times New Roman" w:eastAsia="Times New Roman" w:hAnsi="Times New Roman"/>
          <w:sz w:val="20"/>
          <w:szCs w:val="20"/>
          <w:color w:val="auto"/>
        </w:rPr>
        <w:t>” has the meaning provided in the Third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Refinancing Revolving Commitments</w:t>
      </w:r>
      <w:r>
        <w:rPr>
          <w:rFonts w:ascii="Times New Roman" w:cs="Times New Roman" w:eastAsia="Times New Roman" w:hAnsi="Times New Roman"/>
          <w:sz w:val="20"/>
          <w:szCs w:val="20"/>
          <w:color w:val="auto"/>
        </w:rPr>
        <w:t>” has the meaning provided in the Second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2021 Refinancing Revolving Lenders</w:t>
      </w:r>
      <w:r>
        <w:rPr>
          <w:rFonts w:ascii="Times New Roman" w:cs="Times New Roman" w:eastAsia="Times New Roman" w:hAnsi="Times New Roman"/>
          <w:sz w:val="20"/>
          <w:szCs w:val="20"/>
          <w:color w:val="auto"/>
        </w:rPr>
        <w:t>” has the meaning provided in the Second Amendment.</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xml:space="preserve">” means, at any time, any bank, other financial institution or institutional investor that, in any case, is not an existing Lender and that agrees to provide any portion of any (a) Incremental Loan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(b) Credit Agreement Refinancing Indebtedness pursuant to a Refinancing Amendment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Additional Lender (other than any Person that is a Lender, an Affiliate of a Lender or an Approved Fund of a Lender at such time) shall be subject to the approval of the Administrative Agent, the Swing Line Lender and/or the Issuing Banks (such approval not to be unreasonably withheld, conditioned or delayed), in each case to the extent any such consent would be required from the Administrative Agent, the Swing Line Lender and/or the Issuing Banks under </w:t>
      </w:r>
      <w:r>
        <w:rPr>
          <w:rFonts w:ascii="Times New Roman" w:cs="Times New Roman" w:eastAsia="Times New Roman" w:hAnsi="Times New Roman"/>
          <w:sz w:val="20"/>
          <w:szCs w:val="20"/>
          <w:u w:val="single" w:color="auto"/>
          <w:color w:val="auto"/>
        </w:rPr>
        <w:t>Section 11.07(b)(iii)(B)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respectively, for an assignment of Loans to such Additional Lender.</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Eurocurrency Rate</w:t>
      </w:r>
      <w:r>
        <w:rPr>
          <w:rFonts w:ascii="Times New Roman" w:cs="Times New Roman" w:eastAsia="Times New Roman" w:hAnsi="Times New Roman"/>
          <w:sz w:val="20"/>
          <w:szCs w:val="20"/>
          <w:color w:val="auto"/>
        </w:rPr>
        <w:t xml:space="preserve">” means, with respect to any Borrowing of Eurocurrency Rate Loans for any Interest Period, an interest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(a) with respect to Eurocurrency Rate Loans denominated in any Alternative Currency, the Eurocurrency Rate based on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definition of “Eurocurrency Rate” for such Interest Period and (b) with respect to Eurocurrency Rate Loans denominated in Dollars, the Eurocurrency Rate based on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“Eurocurrency Rate” for such Interest Period </w:t>
      </w:r>
      <w:r>
        <w:rPr>
          <w:rFonts w:ascii="Times New Roman" w:cs="Times New Roman" w:eastAsia="Times New Roman" w:hAnsi="Times New Roman"/>
          <w:sz w:val="20"/>
          <w:szCs w:val="20"/>
          <w:i w:val="1"/>
          <w:iCs w:val="1"/>
          <w:u w:val="single" w:color="auto"/>
          <w:color w:val="auto"/>
        </w:rPr>
        <w:t>multiplied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Statutory Reserve Rate;</w:t>
      </w:r>
      <w:r>
        <w:rPr>
          <w:rFonts w:ascii="Times New Roman" w:cs="Times New Roman" w:eastAsia="Times New Roman" w:hAnsi="Times New Roman"/>
          <w:sz w:val="20"/>
          <w:szCs w:val="20"/>
          <w:i w:val="1"/>
          <w:iCs w:val="1"/>
          <w:color w:val="auto"/>
        </w:rPr>
        <w:t xml:space="preserve"> provided </w:t>
      </w:r>
      <w:r>
        <w:rPr>
          <w:rFonts w:ascii="Times New Roman" w:cs="Times New Roman" w:eastAsia="Times New Roman" w:hAnsi="Times New Roman"/>
          <w:sz w:val="20"/>
          <w:szCs w:val="20"/>
          <w:color w:val="auto"/>
        </w:rPr>
        <w:t>that, notwithstanding the foregoing, the “Adjusted Eurocurrency Rate” shall in no event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less than (1) 0.00%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with respect to (a) Initial Term Loans and the Delayed Draw Term Loans made to the Borrower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and (b) all other Term Loans unless an alternate Eurocurrency Rate floor is specifically noted in the documentation with respect to such other Term Loans or such documentation with respect to such other Term Loans specifically provides that there shall be no Eurocurrency Rate floor and (2) 0.00%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with respect to all Revolving Loans. The Adjusted Eurocurrency Rate will be adjusted automatically as to all Borrowings of Eurocurrency Rate Loans then outstanding as of the effective date of any change in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6" w:name="page87"/>
    <w:bookmarkEnd w:id="86"/>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Term SOFR</w:t>
      </w:r>
      <w:r>
        <w:rPr>
          <w:rFonts w:ascii="Times New Roman" w:cs="Times New Roman" w:eastAsia="Times New Roman" w:hAnsi="Times New Roman"/>
          <w:sz w:val="20"/>
          <w:szCs w:val="20"/>
          <w:color w:val="auto"/>
        </w:rPr>
        <w:t xml:space="preserve">” means, for purposes of any calculation, the rate per annum equal to (a) Term SOFR for such calculation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(b) the Term SOFR Adjustment;</w:t>
      </w:r>
      <w:r>
        <w:rPr>
          <w:rFonts w:ascii="Times New Roman" w:cs="Times New Roman" w:eastAsia="Times New Roman" w:hAnsi="Times New Roman"/>
          <w:sz w:val="20"/>
          <w:szCs w:val="20"/>
          <w:i w:val="1"/>
          <w:iCs w:val="1"/>
          <w:color w:val="auto"/>
        </w:rPr>
        <w:t xml:space="preserve"> provided </w:t>
      </w:r>
      <w:r>
        <w:rPr>
          <w:rFonts w:ascii="Times New Roman" w:cs="Times New Roman" w:eastAsia="Times New Roman" w:hAnsi="Times New Roman"/>
          <w:sz w:val="20"/>
          <w:szCs w:val="20"/>
          <w:color w:val="auto"/>
        </w:rPr>
        <w:t>that if Adjusted Term SOFR as so determined shall ever be less than the Floor, then Adjusted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SOFR shall be deemed to be the Floor.</w:t>
      </w:r>
    </w:p>
    <w:p>
      <w:pPr>
        <w:spacing w:after="0" w:line="1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has the meaning specified in the introductory paragraph to this Agreement.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11.02</w:t>
      </w:r>
      <w:r>
        <w:rPr>
          <w:rFonts w:ascii="Times New Roman" w:cs="Times New Roman" w:eastAsia="Times New Roman" w:hAnsi="Times New Roman"/>
          <w:sz w:val="20"/>
          <w:szCs w:val="20"/>
          <w:color w:val="auto"/>
        </w:rPr>
        <w:t>, or such other address or account as the Administrative Agent may from time to time notify the Borrower and the Lenders.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has the meaning correlative thereto. For the avoidance of doubt, none of the Lead Arrangers, the Agents or their respective lending affiliates shall be deemed to be an Affiliate of Holdings, the Borrower or any of their respective Subsidiaries. For purposes of this Agreement and the other Loan Documents, Jefferies LLC and its Affiliates shall be deemed to be Affiliates of Jefferies and its Affiliates.</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Debt Fund</w:t>
      </w:r>
      <w:r>
        <w:rPr>
          <w:rFonts w:ascii="Times New Roman" w:cs="Times New Roman" w:eastAsia="Times New Roman" w:hAnsi="Times New Roman"/>
          <w:sz w:val="20"/>
          <w:szCs w:val="20"/>
          <w:color w:val="auto"/>
        </w:rPr>
        <w:t xml:space="preserve">” means (a) any Affiliate of a Sponsor that is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bank, debt fund, distressed asset fund, hedge fund, mutual fund, insurance company, financial institution or an investment vehicle that is engaged in the business of investing in, acquiring or trading commercial loans, bonds and similar extensions of credit in the ordinary course, in each case, that is not organized primarily for the purpose of making equity investments and (b) any investment fund or account of a Permitted Investor managed by third parties (including by way of a managed account, a fund or an index fund in which a Permitted Investor has invested) that is not organized or used primarily for the purpose of making equity investments,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with respect to which neither the Sponsor, nor any other Permitted Investor, directly or indirectly, possess the power to direct or cause the direction of the investment policies of such entity.</w:t>
      </w:r>
    </w:p>
    <w:p>
      <w:pPr>
        <w:spacing w:after="0" w:line="184"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w:t>
      </w:r>
      <w:r>
        <w:rPr>
          <w:rFonts w:ascii="Times New Roman" w:cs="Times New Roman" w:eastAsia="Times New Roman" w:hAnsi="Times New Roman"/>
          <w:sz w:val="20"/>
          <w:szCs w:val="20"/>
          <w:color w:val="auto"/>
        </w:rPr>
        <w:t>” means, at any time, any Lender that is either the Sponsor or an Affiliate of the Sponsor, at such time, excluding in any case, (a) Holdings, (b) the Borrower, (c) any Subsidiary of the Borrower and (d) any natural person.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 Term Loan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11.07(h)(iii)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Agency Fee Letter</w:t>
      </w:r>
      <w:r>
        <w:rPr>
          <w:rFonts w:ascii="Times New Roman" w:cs="Times New Roman" w:eastAsia="Times New Roman" w:hAnsi="Times New Roman"/>
          <w:sz w:val="20"/>
          <w:szCs w:val="20"/>
          <w:color w:val="auto"/>
        </w:rPr>
        <w:t>” means the Agency Fee Letter, dated May 14, 2019, among the Borrower, Holdings and Jefferies Finance, as amended, restated, amended and restated, modified or supplemented from time to time in accordance with the terms thereof.</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Agent-Related Persons</w:t>
      </w:r>
      <w:r>
        <w:rPr>
          <w:rFonts w:ascii="Times New Roman" w:cs="Times New Roman" w:eastAsia="Times New Roman" w:hAnsi="Times New Roman"/>
          <w:sz w:val="20"/>
          <w:szCs w:val="20"/>
          <w:color w:val="auto"/>
        </w:rPr>
        <w:t>” means the Agents, together with their respective Affiliates, and the officers, directors, shareholders, employees, agents, attorney-in-fact, partners, trustees, advisors and other representatives of such Persons and of such Persons’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7" w:name="page88"/>
    <w:bookmarkEnd w:id="87"/>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 means, collectively, the Administrative Agent, the Collateral Agent, the Joint Bookrunners, the Supplemental Administrative Agents (if any) and the Lead Arrangers.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First Lien Credit Agreement, as amended, restated, amended and restated, modified or supplemented from time to time in accordance with the terms hereof.</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All-In Yield</w:t>
      </w:r>
      <w:r>
        <w:rPr>
          <w:rFonts w:ascii="Times New Roman" w:cs="Times New Roman" w:eastAsia="Times New Roman" w:hAnsi="Times New Roman"/>
          <w:sz w:val="20"/>
          <w:szCs w:val="20"/>
          <w:color w:val="auto"/>
        </w:rPr>
        <w:t xml:space="preserve">” means, as to any Indebtedness or Loans of any Class, the yield thereof, whether in the form of interest rate, margin, OID, upfront fees, a Eurocurrency Rate floor, SOFR floor or Base Rate floor to the extent greater than 0.00%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or 1.00%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annum</w:t>
      </w:r>
      <w:r>
        <w:rPr>
          <w:rFonts w:ascii="Times New Roman" w:cs="Times New Roman" w:eastAsia="Times New Roman" w:hAnsi="Times New Roman"/>
          <w:sz w:val="20"/>
          <w:szCs w:val="20"/>
          <w:color w:val="auto"/>
        </w:rPr>
        <w:t>, respectively (with such increased amount being equated to interest margins for purposes of determining any increase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Applicable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OID and upfront fees shall be equated to interest rate assuming a 4-year life to maturity (or, if less, the stated life to maturity at the time of its incurrence of the applicable Indebtedness) and (b) “All-In Yield” shall not include any arrangement fees, structuring fees, underwriting fees, commitment fees, amendment fees, ticking fees or any other fees similar to the foregoing (regardless of how such fees are computed or to whom paid).</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Alternative Currencies</w:t>
      </w:r>
      <w:r>
        <w:rPr>
          <w:rFonts w:ascii="Times New Roman" w:cs="Times New Roman" w:eastAsia="Times New Roman" w:hAnsi="Times New Roman"/>
          <w:sz w:val="20"/>
          <w:szCs w:val="20"/>
          <w:color w:val="auto"/>
        </w:rPr>
        <w:t xml:space="preserve">” means, (a) in the case of Revolving Loans and Letters of Credit, Euros, Pounds Sterling and any other currency agreed to by the Administrative Agent, the Borrower and each Revolving Lender (and, solely in the case of Letters of Credit, the applicable Issuing Bank) and (b) in the case of any Incremental Term Facility, Incremental Term Loans, Refinancing Term Commitments or Refinancing Term Loans, any currency agreed to by the Administrative Agent, the Borrower and each Lender providing such Incremental Term Facility, Incremental Term Loans, Refinancing Term Commitments or Refinancing Term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each such other currency is a lawful currency that is readily available, freely transferable and not restricted, able to be converted into Dollars and available in the London interbank deposit market.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4 Effective Date</w:t>
      </w:r>
      <w:r>
        <w:rPr>
          <w:rFonts w:ascii="Times New Roman" w:cs="Times New Roman" w:eastAsia="Times New Roman" w:hAnsi="Times New Roman"/>
          <w:sz w:val="20"/>
          <w:szCs w:val="20"/>
          <w:color w:val="auto"/>
        </w:rPr>
        <w:t>” means December [●], 2022.</w:t>
      </w:r>
    </w:p>
    <w:p>
      <w:pPr>
        <w:spacing w:after="0" w:line="215" w:lineRule="exact"/>
        <w:rPr>
          <w:sz w:val="20"/>
          <w:szCs w:val="20"/>
          <w:color w:val="auto"/>
        </w:rPr>
      </w:pPr>
    </w:p>
    <w:p>
      <w:pPr>
        <w:jc w:val="both"/>
        <w:ind w:firstLine="81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Financial Statements</w:t>
      </w:r>
      <w:r>
        <w:rPr>
          <w:rFonts w:ascii="Times New Roman" w:cs="Times New Roman" w:eastAsia="Times New Roman" w:hAnsi="Times New Roman"/>
          <w:sz w:val="20"/>
          <w:szCs w:val="20"/>
          <w:color w:val="auto"/>
        </w:rPr>
        <w:t>” means the audited consolidated balance sheets of the Borrower as of December 31, 2018 and December 31, 2017, and the related consolidated statements of operations, changes in stockholders’ equity and cash flows for the Borrower for the fiscal years (or partial fiscal years) then ended.</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Commitment Fee</w:t>
      </w:r>
      <w:r>
        <w:rPr>
          <w:rFonts w:ascii="Times New Roman" w:cs="Times New Roman" w:eastAsia="Times New Roman" w:hAnsi="Times New Roman"/>
          <w:sz w:val="20"/>
          <w:szCs w:val="20"/>
          <w:color w:val="auto"/>
        </w:rPr>
        <w:t xml:space="preserve">” means a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that shall be equal to,</w:t>
      </w:r>
    </w:p>
    <w:p>
      <w:pPr>
        <w:spacing w:after="0" w:line="219" w:lineRule="exact"/>
        <w:rPr>
          <w:sz w:val="20"/>
          <w:szCs w:val="20"/>
          <w:color w:val="auto"/>
        </w:rPr>
      </w:pPr>
    </w:p>
    <w:p>
      <w:pPr>
        <w:jc w:val="both"/>
        <w:ind w:left="760" w:firstLine="745"/>
        <w:spacing w:after="0" w:line="253"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the Closing Date until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calculating the First Lien Net Leverage Ratio in respect of the first full fiscal quarter ending after the Closing Date, 0.50%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and</w:t>
      </w:r>
    </w:p>
    <w:p>
      <w:pPr>
        <w:spacing w:after="0" w:line="172"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19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thereafter, the applicable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set forth below under the caption “Applicable Commitment Fee” based upon the 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8" w:name="page89"/>
    <w:bookmarkEnd w:id="88"/>
    <w:tbl>
      <w:tblPr>
        <w:tblLayout w:type="fixed"/>
        <w:tblInd w:w="2200" w:type="dxa"/>
        <w:tblCellMar>
          <w:top w:w="0" w:type="dxa"/>
          <w:left w:w="0" w:type="dxa"/>
          <w:bottom w:w="0" w:type="dxa"/>
          <w:right w:w="0" w:type="dxa"/>
        </w:tblCellMar>
      </w:tblPr>
      <w:tr>
        <w:trPr>
          <w:trHeight w:val="230"/>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First Lien</w:t>
            </w:r>
          </w:p>
        </w:tc>
        <w:tc>
          <w:tcPr>
            <w:tcW w:w="2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Applicable</w:t>
            </w:r>
          </w:p>
        </w:tc>
      </w:tr>
      <w:tr>
        <w:trPr>
          <w:trHeight w:val="262"/>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Net Leverage Ratio</w:t>
            </w:r>
          </w:p>
        </w:tc>
        <w:tc>
          <w:tcPr>
            <w:tcW w:w="200" w:type="dxa"/>
            <w:vAlign w:val="bottom"/>
          </w:tcPr>
          <w:p>
            <w:pPr>
              <w:spacing w:after="0"/>
              <w:rPr>
                <w:sz w:val="22"/>
                <w:szCs w:val="22"/>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Commitment Fee</w:t>
            </w:r>
          </w:p>
        </w:tc>
      </w:tr>
      <w:tr>
        <w:trPr>
          <w:trHeight w:val="475"/>
        </w:trPr>
        <w:tc>
          <w:tcPr>
            <w:tcW w:w="3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Above 4.83 to 1.00</w:t>
            </w:r>
          </w:p>
        </w:tc>
        <w:tc>
          <w:tcPr>
            <w:tcW w:w="342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rPr>
              <w:t>0.500%</w:t>
            </w:r>
          </w:p>
        </w:tc>
      </w:tr>
    </w:tbl>
    <w:p>
      <w:pPr>
        <w:spacing w:after="0" w:line="21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08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8"/>
              </w:rPr>
              <w:t>Equal to or below 4.83 to 1.00, but above</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0.375%</w:t>
            </w:r>
          </w:p>
        </w:tc>
        <w:tc>
          <w:tcPr>
            <w:tcW w:w="0" w:type="dxa"/>
            <w:vAlign w:val="bottom"/>
          </w:tcPr>
          <w:p>
            <w:pPr>
              <w:spacing w:after="0"/>
              <w:rPr>
                <w:sz w:val="1"/>
                <w:szCs w:val="1"/>
                <w:color w:val="auto"/>
              </w:rPr>
            </w:pPr>
          </w:p>
        </w:tc>
      </w:tr>
      <w:tr>
        <w:trPr>
          <w:trHeight w:val="137"/>
        </w:trPr>
        <w:tc>
          <w:tcPr>
            <w:tcW w:w="4080" w:type="dxa"/>
            <w:vAlign w:val="bottom"/>
            <w:vMerge w:val="restart"/>
          </w:tcPr>
          <w:p>
            <w:pPr>
              <w:jc w:val="center"/>
              <w:ind w:right="661"/>
              <w:spacing w:after="0"/>
              <w:rPr>
                <w:sz w:val="20"/>
                <w:szCs w:val="20"/>
                <w:color w:val="auto"/>
              </w:rPr>
            </w:pPr>
            <w:r>
              <w:rPr>
                <w:rFonts w:ascii="Times New Roman" w:cs="Times New Roman" w:eastAsia="Times New Roman" w:hAnsi="Times New Roman"/>
                <w:sz w:val="20"/>
                <w:szCs w:val="20"/>
                <w:color w:val="auto"/>
              </w:rPr>
              <w:t>4.33 to 1.00</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3"/>
        </w:trPr>
        <w:tc>
          <w:tcPr>
            <w:tcW w:w="4080" w:type="dxa"/>
            <w:vAlign w:val="bottom"/>
          </w:tcPr>
          <w:p>
            <w:pPr>
              <w:jc w:val="center"/>
              <w:ind w:right="661"/>
              <w:spacing w:after="0"/>
              <w:rPr>
                <w:sz w:val="20"/>
                <w:szCs w:val="20"/>
                <w:color w:val="auto"/>
              </w:rPr>
            </w:pPr>
            <w:r>
              <w:rPr>
                <w:rFonts w:ascii="Times New Roman" w:cs="Times New Roman" w:eastAsia="Times New Roman" w:hAnsi="Times New Roman"/>
                <w:sz w:val="20"/>
                <w:szCs w:val="20"/>
                <w:color w:val="auto"/>
                <w:w w:val="98"/>
              </w:rPr>
              <w:t>Equal to or</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0.250%</w:t>
            </w:r>
          </w:p>
        </w:tc>
        <w:tc>
          <w:tcPr>
            <w:tcW w:w="0" w:type="dxa"/>
            <w:vAlign w:val="bottom"/>
          </w:tcPr>
          <w:p>
            <w:pPr>
              <w:spacing w:after="0"/>
              <w:rPr>
                <w:sz w:val="1"/>
                <w:szCs w:val="1"/>
                <w:color w:val="auto"/>
              </w:rPr>
            </w:pPr>
          </w:p>
        </w:tc>
      </w:tr>
      <w:tr>
        <w:trPr>
          <w:trHeight w:val="137"/>
        </w:trPr>
        <w:tc>
          <w:tcPr>
            <w:tcW w:w="4080" w:type="dxa"/>
            <w:vAlign w:val="bottom"/>
            <w:vMerge w:val="restart"/>
          </w:tcPr>
          <w:p>
            <w:pPr>
              <w:jc w:val="center"/>
              <w:ind w:right="661"/>
              <w:spacing w:after="0"/>
              <w:rPr>
                <w:sz w:val="20"/>
                <w:szCs w:val="20"/>
                <w:color w:val="auto"/>
              </w:rPr>
            </w:pPr>
            <w:r>
              <w:rPr>
                <w:rFonts w:ascii="Times New Roman" w:cs="Times New Roman" w:eastAsia="Times New Roman" w:hAnsi="Times New Roman"/>
                <w:sz w:val="20"/>
                <w:szCs w:val="20"/>
                <w:color w:val="auto"/>
                <w:w w:val="99"/>
              </w:rPr>
              <w:t>below 4.33 to 1.00</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No change in the Applicable Commitment Fee shall be effective until three Business Days after the date on which the Administrative Agent shall have received the applicable financial statements and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calculating the First Lien Net Leverage Ratio. At any time the Borrower has not submitted to the Administrative Agent the applicable information as and when required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the Applicable Commitment Fee shall be determined as if the First Lien Net Leverage Ratio were in excess of 4.83 to 1.00. Within one Business Day of receipt of the applicable information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the Administrative Agent shall give each Lender telefacsimile or telephonic notice (confirmed in writing) of the Applicable Commitment Fee in effect from such date. In the event that any financial statement or certificate delivered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is determined to be inaccurate (at a time prior to the satisfaction of the Termination Conditions), and such inaccuracy, if corrected, would have led to the application of a higher Applicable Commitment Fee for any period (an “</w:t>
      </w:r>
      <w:r>
        <w:rPr>
          <w:rFonts w:ascii="Times New Roman" w:cs="Times New Roman" w:eastAsia="Times New Roman" w:hAnsi="Times New Roman"/>
          <w:sz w:val="20"/>
          <w:szCs w:val="20"/>
          <w:b w:val="1"/>
          <w:bCs w:val="1"/>
          <w:color w:val="auto"/>
        </w:rPr>
        <w:t>Applicable Period</w:t>
      </w:r>
      <w:r>
        <w:rPr>
          <w:rFonts w:ascii="Times New Roman" w:cs="Times New Roman" w:eastAsia="Times New Roman" w:hAnsi="Times New Roman"/>
          <w:sz w:val="20"/>
          <w:szCs w:val="20"/>
          <w:color w:val="auto"/>
        </w:rPr>
        <w:t xml:space="preserve">”) than the Applicable Commitment Fee applied for such Applicable Period, then (a) the Borrower shall promptly (and in any event within five Business Days) following such determination deliver to the Administrative Agent correct financial statements and certificates required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for such Applicable Period, (b) the Applicable Commitment Fee for such Applicable Period shall be determined as if the First Lien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amounts owing as a result of such increased Applicable Commitment Fee for such Applicable Period. Notwithstanding anything to the contrary set forth herein, the provisions of this paragraph may be amended or waived with the consent of only the Borrower and the Required Revolving Lenders.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Currency</w:t>
      </w:r>
      <w:r>
        <w:rPr>
          <w:rFonts w:ascii="Times New Roman" w:cs="Times New Roman" w:eastAsia="Times New Roman" w:hAnsi="Times New Roman"/>
          <w:sz w:val="20"/>
          <w:szCs w:val="20"/>
          <w:color w:val="auto"/>
        </w:rPr>
        <w:t>” means Dollars or any Alternative Currency, as applicable.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Indebtedness</w:t>
      </w:r>
      <w:r>
        <w:rPr>
          <w:rFonts w:ascii="Times New Roman" w:cs="Times New Roman" w:eastAsia="Times New Roman" w:hAnsi="Times New Roman"/>
          <w:sz w:val="20"/>
          <w:szCs w:val="20"/>
          <w:color w:val="auto"/>
        </w:rPr>
        <w:t>” has the meaning specified in the definition of “Weighted Average Life to Maturity.”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Period</w:t>
      </w:r>
      <w:r>
        <w:rPr>
          <w:rFonts w:ascii="Times New Roman" w:cs="Times New Roman" w:eastAsia="Times New Roman" w:hAnsi="Times New Roman"/>
          <w:sz w:val="20"/>
          <w:szCs w:val="20"/>
          <w:color w:val="auto"/>
        </w:rPr>
        <w:t>” has the meaning specified in the definition of “Applicable Commitment Fee.”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Rate</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jc w:val="both"/>
        <w:ind w:firstLine="757"/>
        <w:spacing w:after="0" w:line="244" w:lineRule="auto"/>
        <w:tabs>
          <w:tab w:leader="none" w:pos="11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Initial Term Loans and Delayed Draw Term Loans, (x) prior to February 5, 2020, a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for Eurocurrency Rate Loans, 3.50% and (ii) for Base Rate Loans, 2.50%, (y) from and after February 5, 2020 and prior to the Amendment No. 4 Effective Date, a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for Eurocurrency Rate Loans, 3.25% and (ii) for Base Rate Loans, 2.25% and (z) from and after the Amendment No. 4 Effective Date, a percentage per annum equal to (i) for SOFR Loans, 3.25% and (ii) for Base Rate Loans, 2.25%;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from and after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calculating the First Lien Net Leverage Ratio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of the first full fiscal quarter ending after March 31, 2020, the “Applicable Rate” for Initial Term Loans shall be the applicable rate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set forth below under the caption “Alternate Base Rate Spread” or “Eurocurrency Rate/SOFR Spread,” respectively, based upon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99"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First Lien</w:t>
            </w:r>
          </w:p>
        </w:tc>
        <w:tc>
          <w:tcPr>
            <w:tcW w:w="2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Alternate</w:t>
            </w:r>
          </w:p>
        </w:tc>
        <w:tc>
          <w:tcPr>
            <w:tcW w:w="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Eurocurrency</w:t>
            </w:r>
          </w:p>
        </w:tc>
        <w:tc>
          <w:tcPr>
            <w:tcW w:w="0" w:type="dxa"/>
            <w:vAlign w:val="bottom"/>
          </w:tcPr>
          <w:p>
            <w:pPr>
              <w:spacing w:after="0"/>
              <w:rPr>
                <w:sz w:val="1"/>
                <w:szCs w:val="1"/>
                <w:color w:val="auto"/>
              </w:rPr>
            </w:pPr>
          </w:p>
        </w:tc>
      </w:tr>
      <w:tr>
        <w:trPr>
          <w:trHeight w:val="26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Net Leverage Ratio</w:t>
            </w:r>
          </w:p>
        </w:tc>
        <w:tc>
          <w:tcPr>
            <w:tcW w:w="20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Base Rate Spread</w:t>
            </w:r>
          </w:p>
        </w:tc>
        <w:tc>
          <w:tcPr>
            <w:tcW w:w="18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Rate/SOFR Spread</w:t>
            </w:r>
          </w:p>
        </w:tc>
        <w:tc>
          <w:tcPr>
            <w:tcW w:w="0" w:type="dxa"/>
            <w:vAlign w:val="bottom"/>
          </w:tcPr>
          <w:p>
            <w:pPr>
              <w:spacing w:after="0"/>
              <w:rPr>
                <w:sz w:val="1"/>
                <w:szCs w:val="1"/>
                <w:color w:val="auto"/>
              </w:rPr>
            </w:pPr>
          </w:p>
        </w:tc>
      </w:tr>
      <w:tr>
        <w:trPr>
          <w:trHeight w:val="475"/>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Above 4.25 to 1.00</w:t>
            </w:r>
          </w:p>
        </w:tc>
        <w:tc>
          <w:tcPr>
            <w:tcW w:w="260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rPr>
              <w:t>2.25%</w:t>
            </w:r>
          </w:p>
        </w:tc>
        <w:tc>
          <w:tcPr>
            <w:tcW w:w="25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3.25%</w:t>
            </w:r>
          </w:p>
        </w:tc>
        <w:tc>
          <w:tcPr>
            <w:tcW w:w="0" w:type="dxa"/>
            <w:vAlign w:val="bottom"/>
          </w:tcPr>
          <w:p>
            <w:pPr>
              <w:spacing w:after="0"/>
              <w:rPr>
                <w:sz w:val="1"/>
                <w:szCs w:val="1"/>
                <w:color w:val="auto"/>
              </w:rPr>
            </w:pPr>
          </w:p>
        </w:tc>
      </w:tr>
      <w:tr>
        <w:trPr>
          <w:trHeight w:val="364"/>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Equal to or below 4.25 to 1.00</w:t>
            </w:r>
          </w:p>
        </w:tc>
        <w:tc>
          <w:tcPr>
            <w:tcW w:w="260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rPr>
              <w:t>2.00%</w:t>
            </w:r>
          </w:p>
        </w:tc>
        <w:tc>
          <w:tcPr>
            <w:tcW w:w="25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3.00%</w:t>
            </w: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757"/>
        <w:spacing w:after="0" w:line="244" w:lineRule="auto"/>
        <w:tabs>
          <w:tab w:leader="none" w:pos="11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Revolving Loans a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for Eurocurrency Rate Loans, 3.50%, (ii) for SOFR Loans, 3.50% and (iii) for Base Rate Loans, 2.50%;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from and after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calculating the First Lien Net Leverage Ratio in respect of the first full fiscal quarter ending after the Closing Date, the “Applicable Rate” for Revolving Loans shall be the applicable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set forth below under the caption “Alternate Base Rate Spread” or “Eurocurrency Rate/SOFR Spread,” respectively, based upon the 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308"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First Lien</w:t>
            </w:r>
          </w:p>
        </w:tc>
        <w:tc>
          <w:tcPr>
            <w:tcW w:w="2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Alternate</w:t>
            </w:r>
          </w:p>
        </w:tc>
        <w:tc>
          <w:tcPr>
            <w:tcW w:w="1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Eurocurrency</w:t>
            </w:r>
          </w:p>
        </w:tc>
        <w:tc>
          <w:tcPr>
            <w:tcW w:w="0" w:type="dxa"/>
            <w:vAlign w:val="bottom"/>
          </w:tcPr>
          <w:p>
            <w:pPr>
              <w:spacing w:after="0"/>
              <w:rPr>
                <w:sz w:val="1"/>
                <w:szCs w:val="1"/>
                <w:color w:val="auto"/>
              </w:rPr>
            </w:pPr>
          </w:p>
        </w:tc>
      </w:tr>
      <w:tr>
        <w:trPr>
          <w:trHeight w:val="26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Net Leverage Ratio</w:t>
            </w:r>
          </w:p>
        </w:tc>
        <w:tc>
          <w:tcPr>
            <w:tcW w:w="20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Base Rate Spread</w:t>
            </w:r>
          </w:p>
        </w:tc>
        <w:tc>
          <w:tcPr>
            <w:tcW w:w="18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Rate/SOFR Spread</w:t>
            </w:r>
          </w:p>
        </w:tc>
        <w:tc>
          <w:tcPr>
            <w:tcW w:w="0" w:type="dxa"/>
            <w:vAlign w:val="bottom"/>
          </w:tcPr>
          <w:p>
            <w:pPr>
              <w:spacing w:after="0"/>
              <w:rPr>
                <w:sz w:val="1"/>
                <w:szCs w:val="1"/>
                <w:color w:val="auto"/>
              </w:rPr>
            </w:pPr>
          </w:p>
        </w:tc>
      </w:tr>
      <w:tr>
        <w:trPr>
          <w:trHeight w:val="367"/>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Above 4.83 to 1.00</w:t>
            </w:r>
          </w:p>
        </w:tc>
        <w:tc>
          <w:tcPr>
            <w:tcW w:w="2600" w:type="dxa"/>
            <w:vAlign w:val="bottom"/>
            <w:gridSpan w:val="2"/>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2.50%</w:t>
            </w:r>
          </w:p>
        </w:tc>
        <w:tc>
          <w:tcPr>
            <w:tcW w:w="25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3.50%</w:t>
            </w: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Equal to or below 4.83 to 1.00, but above</w:t>
            </w:r>
          </w:p>
        </w:tc>
        <w:tc>
          <w:tcPr>
            <w:tcW w:w="260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rPr>
              <w:t>2.25%</w:t>
            </w:r>
          </w:p>
        </w:tc>
        <w:tc>
          <w:tcPr>
            <w:tcW w:w="25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3.25%</w:t>
            </w:r>
          </w:p>
        </w:tc>
        <w:tc>
          <w:tcPr>
            <w:tcW w:w="0" w:type="dxa"/>
            <w:vAlign w:val="bottom"/>
          </w:tcPr>
          <w:p>
            <w:pPr>
              <w:spacing w:after="0"/>
              <w:rPr>
                <w:sz w:val="1"/>
                <w:szCs w:val="1"/>
                <w:color w:val="auto"/>
              </w:rPr>
            </w:pPr>
          </w:p>
        </w:tc>
      </w:tr>
      <w:tr>
        <w:trPr>
          <w:trHeight w:val="79"/>
        </w:trPr>
        <w:tc>
          <w:tcPr>
            <w:tcW w:w="3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4.33 to 1.00</w:t>
            </w:r>
          </w:p>
        </w:tc>
        <w:tc>
          <w:tcPr>
            <w:tcW w:w="2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Equal to or</w:t>
            </w:r>
          </w:p>
        </w:tc>
        <w:tc>
          <w:tcPr>
            <w:tcW w:w="260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rPr>
              <w:t>2.00%</w:t>
            </w:r>
          </w:p>
        </w:tc>
        <w:tc>
          <w:tcPr>
            <w:tcW w:w="25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3.00%</w:t>
            </w:r>
          </w:p>
        </w:tc>
        <w:tc>
          <w:tcPr>
            <w:tcW w:w="0" w:type="dxa"/>
            <w:vAlign w:val="bottom"/>
          </w:tcPr>
          <w:p>
            <w:pPr>
              <w:spacing w:after="0"/>
              <w:rPr>
                <w:sz w:val="1"/>
                <w:szCs w:val="1"/>
                <w:color w:val="auto"/>
              </w:rPr>
            </w:pPr>
          </w:p>
        </w:tc>
      </w:tr>
      <w:tr>
        <w:trPr>
          <w:trHeight w:val="258"/>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below 4.33 to 1.00</w:t>
            </w:r>
          </w:p>
        </w:tc>
        <w:tc>
          <w:tcPr>
            <w:tcW w:w="2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20" w:firstLine="757"/>
        <w:spacing w:after="0" w:line="268" w:lineRule="auto"/>
        <w:tabs>
          <w:tab w:leader="none" w:pos="11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any Term Loans (other than Initial Term Loans and Delayed Draw Term Loans), as specified in the applicable Incremental Amendment, Extension Amendment or Refinancing Amendment.</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 change in the Applicable Rate for Revolving Loans, Initial Term Loans or Delayed Draw Term Loans, as applicable, shall be effective until three Business Days after the date on which the Administrative Agent shall have received the applicable financial statements and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calculating the First Lien Net Leverage Ratio. At any time the Borrower has not submitted to the Administrative Agent the applicable information as and when required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the Applicable Rate for Revolving Loans, Initial Term Loans and Delayed Draw Term Loans shall be determined as if the First Lien Net Leverage Ratio were in excess of 4.83 to 1.00. Within one Business Day of receipt of the applicable information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the Administrative Agent shall give each Lender facsimile or telephonic notice (confirmed in writing) of the Applicable Rate in effect from such date. In the event that any financial statement or certificate delivered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is determined to be inaccurate (at a time prior to the satisfaction of the Termination Conditions), and such inaccuracy, if corrected, would have led to the application of a higher Applicable Rate for any period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0" w:name="page91"/>
    <w:bookmarkEnd w:id="90"/>
    <w:p>
      <w:pPr>
        <w:jc w:val="both"/>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Period</w:t>
      </w:r>
      <w:r>
        <w:rPr>
          <w:rFonts w:ascii="Times New Roman" w:cs="Times New Roman" w:eastAsia="Times New Roman" w:hAnsi="Times New Roman"/>
          <w:sz w:val="20"/>
          <w:szCs w:val="20"/>
          <w:color w:val="auto"/>
        </w:rPr>
        <w:t xml:space="preserve">”) than the Applicable Rate applied for such Applicable Period, then (a) the Borrower shall promptly (and in any event within five Business Days) following such determination deliver to the Administrative Agent correct financial statements and certificates required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for such Applicable Period, (b) the Applicable Rate for such Applicable Period shall be determined as if the First Lien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interest owing as a result of such increased Applicable Rate for such Applicable Period. Notwithstanding anything to the contrary set forth herein, the provisions of this paragraph may be amended or waived with respect to any Class with the consent of only the Borrower and the Required Lenders of such Class (or in the case of the rate specified in the preceding sentence, all affected Lenders of such Class).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Appropriate Lender</w:t>
      </w:r>
      <w:r>
        <w:rPr>
          <w:rFonts w:ascii="Times New Roman" w:cs="Times New Roman" w:eastAsia="Times New Roman" w:hAnsi="Times New Roman"/>
          <w:sz w:val="20"/>
          <w:szCs w:val="20"/>
          <w:color w:val="auto"/>
        </w:rPr>
        <w:t>” means, at any time, with respect to Loans of any Class, the Lenders of such Class.</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Prepayment Percentage</w:t>
      </w:r>
      <w:r>
        <w:rPr>
          <w:rFonts w:ascii="Times New Roman" w:cs="Times New Roman" w:eastAsia="Times New Roman" w:hAnsi="Times New Roman"/>
          <w:sz w:val="20"/>
          <w:szCs w:val="20"/>
          <w:color w:val="auto"/>
        </w:rPr>
        <w:t>” means (a) 100%, if the Borrower’s First Lien Net Leverage Ratio at the end of the immediately preceding fiscal year equals or exceeds the Closing Date First Lien Net Leverage Ratio less 0.50 to 1.00, (b) 50%, if such First Lien Net Leverage Ratio is less than the Closing Date First Lien Net Leverage Ratio less 0.50 to 1.00, but equals or exceeds the Closing Date First Lien Net Leverage Ratio less 1.00 to 1.00, and (c) 0%, if such First Lien Net Leverage Ratio is less than the Closing Date First Lien Net Leverage Ratio less 1.00 to 1.00.</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or any other form approved by the Administrative Agent.</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Attorney Costs</w:t>
      </w:r>
      <w:r>
        <w:rPr>
          <w:rFonts w:ascii="Times New Roman" w:cs="Times New Roman" w:eastAsia="Times New Roman" w:hAnsi="Times New Roman"/>
          <w:sz w:val="20"/>
          <w:szCs w:val="20"/>
          <w:color w:val="auto"/>
        </w:rPr>
        <w:t>” means all reasonable and documented in reasonable detail fees, expenses and disbursements of any law firm or other external legal counsel.</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Attributable Indebtedness</w:t>
      </w:r>
      <w:r>
        <w:rPr>
          <w:rFonts w:ascii="Times New Roman" w:cs="Times New Roman" w:eastAsia="Times New Roman" w:hAnsi="Times New Roman"/>
          <w:sz w:val="20"/>
          <w:szCs w:val="20"/>
          <w:color w:val="auto"/>
        </w:rPr>
        <w:t>” means, on any date, in respect of any Capitalized Lease of any Person, the capitalized amount thereof that would appear on a balance sheet of such Person prepared as of such date in accordance with GAAP.</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Auction Agent</w:t>
      </w:r>
      <w:r>
        <w:rPr>
          <w:rFonts w:ascii="Times New Roman" w:cs="Times New Roman" w:eastAsia="Times New Roman" w:hAnsi="Times New Roman"/>
          <w:sz w:val="20"/>
          <w:szCs w:val="20"/>
          <w:color w:val="auto"/>
        </w:rPr>
        <w:t xml:space="preserve">” means (a) the Administrative Agent or (b) any other financial institution or advisor employed by the Borrower (whether or not an Affiliate of the Administrative Agent) to act as an arranger in connection with any Discounted Loan Prepayment;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neither the Borrower nor any of its Affiliates may act as the Auction Agent.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Auto-Renewal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2.04(b)(iii)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Applicable Currency, as applicable, (x) if the then-current Benchmark is a term rate, any tenor for such Benchmark that is or may be used for determining the length of an Interest Period or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1" w:name="page92"/>
    <w:bookmarkEnd w:id="91"/>
    <w:p>
      <w:pPr>
        <w:ind w:right="20"/>
        <w:spacing w:after="0" w:line="268" w:lineRule="auto"/>
        <w:rPr>
          <w:sz w:val="20"/>
          <w:szCs w:val="20"/>
          <w:color w:val="auto"/>
        </w:rPr>
      </w:pPr>
      <w:r>
        <w:rPr>
          <w:rFonts w:ascii="Times New Roman" w:cs="Times New Roman" w:eastAsia="Times New Roman" w:hAnsi="Times New Roman"/>
          <w:sz w:val="20"/>
          <w:szCs w:val="20"/>
          <w:color w:val="auto"/>
        </w:rPr>
        <w:t>otherwise, any payment period for interest calculated with reference to such Benchmark, as applicable, pursuant to this Agreement as of such date.</w:t>
      </w:r>
    </w:p>
    <w:p>
      <w:pPr>
        <w:spacing w:after="0" w:line="157"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Amount</w:t>
      </w:r>
      <w:r>
        <w:rPr>
          <w:rFonts w:ascii="Times New Roman" w:cs="Times New Roman" w:eastAsia="Times New Roman" w:hAnsi="Times New Roman"/>
          <w:sz w:val="20"/>
          <w:szCs w:val="20"/>
          <w:color w:val="auto"/>
        </w:rPr>
        <w:t>” means, at any time (the “</w:t>
      </w:r>
      <w:r>
        <w:rPr>
          <w:rFonts w:ascii="Times New Roman" w:cs="Times New Roman" w:eastAsia="Times New Roman" w:hAnsi="Times New Roman"/>
          <w:sz w:val="20"/>
          <w:szCs w:val="20"/>
          <w:b w:val="1"/>
          <w:bCs w:val="1"/>
          <w:color w:val="auto"/>
        </w:rPr>
        <w:t>Reference Date</w:t>
      </w:r>
      <w:r>
        <w:rPr>
          <w:rFonts w:ascii="Times New Roman" w:cs="Times New Roman" w:eastAsia="Times New Roman" w:hAnsi="Times New Roman"/>
          <w:sz w:val="20"/>
          <w:szCs w:val="20"/>
          <w:color w:val="auto"/>
        </w:rPr>
        <w:t>”) with respect to the applicable Available Amount Reference Period, a cumulative amount equal to the sum of, without duplication:</w:t>
      </w:r>
    </w:p>
    <w:p>
      <w:pPr>
        <w:spacing w:after="0" w:line="157" w:lineRule="exact"/>
        <w:rPr>
          <w:sz w:val="20"/>
          <w:szCs w:val="20"/>
          <w:color w:val="auto"/>
        </w:rPr>
      </w:pPr>
    </w:p>
    <w:p>
      <w:pPr>
        <w:ind w:left="760" w:right="20" w:firstLine="745"/>
        <w:spacing w:after="0" w:line="268" w:lineRule="auto"/>
        <w:tabs>
          <w:tab w:leader="none" w:pos="190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greater of (A) 50% of Closing Date EBITDA and (B) 50% of TTM Consolidated Adjusted EBITDA as of the applicable date of determination; </w:t>
      </w:r>
      <w:r>
        <w:rPr>
          <w:rFonts w:ascii="Times New Roman" w:cs="Times New Roman" w:eastAsia="Times New Roman" w:hAnsi="Times New Roman"/>
          <w:sz w:val="20"/>
          <w:szCs w:val="20"/>
          <w:i w:val="1"/>
          <w:iCs w:val="1"/>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at the option of the Borrower at the time of determination, either:</w:t>
      </w:r>
    </w:p>
    <w:p>
      <w:pPr>
        <w:spacing w:after="0" w:line="21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(x) the cumulative amount of Excess Cash Flow for such Available Amount Reference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when measuring such amount (A) Excess Cash Flow will be deemed not to be less than zero in any fiscal year and (B) Excess Cash Flow for any fiscal year will be deemed to be zero until the financial statements required to be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6.01(a)</w:t>
      </w:r>
      <w:r>
        <w:rPr>
          <w:rFonts w:ascii="Times New Roman" w:cs="Times New Roman" w:eastAsia="Times New Roman" w:hAnsi="Times New Roman"/>
          <w:sz w:val="20"/>
          <w:szCs w:val="20"/>
          <w:color w:val="auto"/>
        </w:rPr>
        <w:t xml:space="preserve"> for such fiscal year, and the related Compliance Certificate required to be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for such fiscal year, have been received by the Administrative Agent,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(y) the portion of such Excess Cash Flow that has been (or is required to be) applied to the prepayment of Term Loans in accordance with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 or</w:t>
      </w:r>
    </w:p>
    <w:p>
      <w:pPr>
        <w:spacing w:after="0" w:line="183" w:lineRule="exact"/>
        <w:rPr>
          <w:sz w:val="20"/>
          <w:szCs w:val="20"/>
          <w:color w:val="auto"/>
        </w:rPr>
      </w:pPr>
    </w:p>
    <w:p>
      <w:pPr>
        <w:jc w:val="both"/>
        <w:ind w:left="760" w:firstLine="745"/>
        <w:spacing w:after="0" w:line="247" w:lineRule="auto"/>
        <w:tabs>
          <w:tab w:leader="none" w:pos="19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50% of cumulative Consolidated Net Income for such Available Amount Reference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when measuring such amount (A) Consolidated Net Income will be deemed not to be less than zero in any fiscal year and (B) Consolidated Net Income for any fiscal year will be deemed to be zero until the financial statements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for such fiscal year, and the related Compliance Certificate required to be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6.02(a)</w:t>
      </w:r>
      <w:r>
        <w:rPr>
          <w:rFonts w:ascii="Times New Roman" w:cs="Times New Roman" w:eastAsia="Times New Roman" w:hAnsi="Times New Roman"/>
          <w:sz w:val="20"/>
          <w:szCs w:val="20"/>
          <w:color w:val="auto"/>
        </w:rPr>
        <w:t xml:space="preserve"> for such fiscal year, have been received by the Administrative Agent; </w:t>
      </w:r>
      <w:r>
        <w:rPr>
          <w:rFonts w:ascii="Times New Roman" w:cs="Times New Roman" w:eastAsia="Times New Roman" w:hAnsi="Times New Roman"/>
          <w:sz w:val="20"/>
          <w:szCs w:val="20"/>
          <w:i w:val="1"/>
          <w:iCs w:val="1"/>
          <w:u w:val="single" w:color="auto"/>
          <w:color w:val="auto"/>
        </w:rPr>
        <w:t>plus</w:t>
      </w:r>
    </w:p>
    <w:p>
      <w:pPr>
        <w:spacing w:after="0" w:line="182" w:lineRule="exact"/>
        <w:rPr>
          <w:sz w:val="20"/>
          <w:szCs w:val="20"/>
          <w:color w:val="auto"/>
        </w:rPr>
      </w:pPr>
    </w:p>
    <w:p>
      <w:pPr>
        <w:jc w:val="both"/>
        <w:ind w:left="760" w:firstLine="745"/>
        <w:spacing w:after="0" w:line="245"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new public or private Permitted Equity Issuances made in return for cash or other assets and cash and Cash Equivalents to the Borrower (with non-cash contributions and Permitted Equity Issuances in exchange for assets other than cash measured at the fair market value of such non-cash contributions and Permitted Equity Issuances at the time they were made), or Net Cash Proceeds from Permitted Equity Issuances received by the Borrower during the period from and including the Business Day immediately following the Closing Date through and including the Reference Date and, in each case, to the extent Not Otherwise Applied; </w:t>
      </w:r>
      <w:r>
        <w:rPr>
          <w:rFonts w:ascii="Times New Roman" w:cs="Times New Roman" w:eastAsia="Times New Roman" w:hAnsi="Times New Roman"/>
          <w:sz w:val="20"/>
          <w:szCs w:val="20"/>
          <w:i w:val="1"/>
          <w:iCs w:val="1"/>
          <w:u w:val="single" w:color="auto"/>
          <w:color w:val="auto"/>
        </w:rPr>
        <w:t>plus</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reflected as a return of capital with respect to such Investment for purposes of determining the amount of such Investment, the aggregate amount of all cash dividends and other cash distributions received by the Borrower or any Restricted Subsidiary from any Minority Investments or Unrestricted Subsidiaries during the period from and including the Business Day immediately following the Closing Date through and including the Reference Date in respect of Investments in such Unrestricted Subsidiary or Minority Investments made by the Borrower or any Restricted Subsidiary made in reliance on the Available Amount; </w:t>
      </w:r>
      <w:r>
        <w:rPr>
          <w:rFonts w:ascii="Times New Roman" w:cs="Times New Roman" w:eastAsia="Times New Roman" w:hAnsi="Times New Roman"/>
          <w:sz w:val="20"/>
          <w:szCs w:val="20"/>
          <w:i w:val="1"/>
          <w:iCs w:val="1"/>
          <w:u w:val="single" w:color="auto"/>
          <w:color w:val="auto"/>
        </w:rPr>
        <w:t>plus</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reflected as a return of capital with respect to such Investment for purposes of determining the amount of such Investment, the Investments of the Borrower and its Restricted Subsidiaries in any Unrestricted Subsidiary that has been re-designated as a Restricted Subsidiary or that has been merged or consolidated with or into the Borrower or any of its Restricted Subsidiaries (up to the lesser of (i) the fair market value of such investments of the Borrower and its Restricted Subsidiaries in such Unrestricted Subsidiary at the time of such re-designation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2" w:name="page93"/>
    <w:bookmarkEnd w:id="92"/>
    <w:p>
      <w:pPr>
        <w:ind w:left="760" w:right="20"/>
        <w:spacing w:after="0" w:line="268" w:lineRule="auto"/>
        <w:rPr>
          <w:sz w:val="20"/>
          <w:szCs w:val="20"/>
          <w:color w:val="auto"/>
        </w:rPr>
      </w:pPr>
      <w:r>
        <w:rPr>
          <w:rFonts w:ascii="Times New Roman" w:cs="Times New Roman" w:eastAsia="Times New Roman" w:hAnsi="Times New Roman"/>
          <w:sz w:val="20"/>
          <w:szCs w:val="20"/>
          <w:color w:val="auto"/>
        </w:rPr>
        <w:t xml:space="preserve">merger or consolidation and (ii) the fair market value of such investments by the Borrower and its Restricted Subsidiaries in such Unrestricted Subsidiary at the time they were made); </w:t>
      </w:r>
      <w:r>
        <w:rPr>
          <w:rFonts w:ascii="Times New Roman" w:cs="Times New Roman" w:eastAsia="Times New Roman" w:hAnsi="Times New Roman"/>
          <w:sz w:val="20"/>
          <w:szCs w:val="20"/>
          <w:i w:val="1"/>
          <w:iCs w:val="1"/>
          <w:u w:val="single" w:color="auto"/>
          <w:color w:val="auto"/>
        </w:rPr>
        <w:t>plus</w:t>
      </w:r>
    </w:p>
    <w:p>
      <w:pPr>
        <w:spacing w:after="0" w:line="161" w:lineRule="exact"/>
        <w:rPr>
          <w:sz w:val="20"/>
          <w:szCs w:val="20"/>
          <w:color w:val="auto"/>
        </w:rPr>
      </w:pPr>
    </w:p>
    <w:p>
      <w:pPr>
        <w:jc w:val="both"/>
        <w:ind w:left="760" w:firstLine="745"/>
        <w:spacing w:after="0" w:line="244" w:lineRule="auto"/>
        <w:tabs>
          <w:tab w:leader="none" w:pos="190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reflected as a return of capital with respect to such Investment for purposes of determining the amount of such Investment or required to be applied to prepay Term Loans in accordance with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 xml:space="preserve">, the aggregate amount of all Net Cash Proceeds received by the Borrower or any Restricted Subsidiary in connection with the sale, transfer or other disposition of its ownership interest in any Minority Investment or Unrestricted Subsidiary during the period from and including the Business Day immediately following the Closing Date through and including the Reference Date, in each case, to the extent that the original Investments in such Unrestricted Subsidiary or Minority Investments were made in reliance on the Available Amount;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(i) not reflected as a return of capital with respect to such Investment for purposes of determining the amount of such Investment and (ii) not in excess of the fair market value of such Investment at the time it was made, the returns (including repayments of principal and payments of interest), profits, distributions and similar amounts received in cash or Cash Equivalents by the Borrower and its Restricted Subsidiaries on Investments made by the Borrower or any Restricted Subsidiary in reliance on the Available Amount;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1904"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 of mandatory prepayments required to be prepaid pursuant to </w:t>
      </w:r>
      <w:r>
        <w:rPr>
          <w:rFonts w:ascii="Times New Roman" w:cs="Times New Roman" w:eastAsia="Times New Roman" w:hAnsi="Times New Roman"/>
          <w:sz w:val="19"/>
          <w:szCs w:val="19"/>
          <w:u w:val="single" w:color="auto"/>
          <w:color w:val="auto"/>
        </w:rPr>
        <w:t>Section 2.07(b)</w:t>
      </w:r>
      <w:r>
        <w:rPr>
          <w:rFonts w:ascii="Times New Roman" w:cs="Times New Roman" w:eastAsia="Times New Roman" w:hAnsi="Times New Roman"/>
          <w:sz w:val="19"/>
          <w:szCs w:val="19"/>
          <w:color w:val="auto"/>
        </w:rPr>
        <w:t xml:space="preserve"> that have been declined by Lenders and retained by the Borrower in accordance with </w:t>
      </w:r>
      <w:r>
        <w:rPr>
          <w:rFonts w:ascii="Times New Roman" w:cs="Times New Roman" w:eastAsia="Times New Roman" w:hAnsi="Times New Roman"/>
          <w:sz w:val="19"/>
          <w:szCs w:val="19"/>
          <w:u w:val="single" w:color="auto"/>
          <w:color w:val="auto"/>
        </w:rPr>
        <w:t>Section 2.07(b)(vii)</w:t>
      </w:r>
      <w:r>
        <w:rPr>
          <w:rFonts w:ascii="Times New Roman" w:cs="Times New Roman" w:eastAsia="Times New Roman" w:hAnsi="Times New Roman"/>
          <w:sz w:val="19"/>
          <w:szCs w:val="19"/>
          <w:color w:val="auto"/>
        </w:rPr>
        <w:t xml:space="preserve"> (but only to the extent also declined by lenders of (i) the Second Lien Term Loans under the Second Lien Credit Documents, (ii) any Second Lien Credit Agreement Refinancing Indebtedness, (iii) any incremental facility permitted under the Second Lien Credit Agreement (including any Incremental Equivalent Debt (as defined in the Second Lien Credit Agreement)), (iv) any other senior secured Indebtedness of the Borrower, and</w:t>
      </w:r>
    </w:p>
    <w:p>
      <w:pPr>
        <w:spacing w:after="0" w:line="2" w:lineRule="exact"/>
        <w:rPr>
          <w:rFonts w:ascii="Times New Roman" w:cs="Times New Roman" w:eastAsia="Times New Roman" w:hAnsi="Times New Roman"/>
          <w:sz w:val="19"/>
          <w:szCs w:val="19"/>
          <w:color w:val="auto"/>
        </w:rPr>
      </w:pPr>
    </w:p>
    <w:p>
      <w:pPr>
        <w:ind w:left="760" w:hanging="3"/>
        <w:spacing w:after="0" w:line="245" w:lineRule="auto"/>
        <w:tabs>
          <w:tab w:leader="none" w:pos="10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Permitted Refinancing in respect of the foregoing, in each case to the extent required to be applied to offer to repurchase or otherwise prepay such Indebtedness); </w:t>
      </w:r>
      <w:r>
        <w:rPr>
          <w:rFonts w:ascii="Times New Roman" w:cs="Times New Roman" w:eastAsia="Times New Roman" w:hAnsi="Times New Roman"/>
          <w:sz w:val="20"/>
          <w:szCs w:val="20"/>
          <w:i w:val="1"/>
          <w:iCs w:val="1"/>
          <w:u w:val="single" w:color="auto"/>
          <w:color w:val="auto"/>
        </w:rPr>
        <w:t>plus</w:t>
      </w:r>
    </w:p>
    <w:p>
      <w:pPr>
        <w:spacing w:after="0" w:line="182"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of Net Cash Proceeds from Dispositions or Casualty Events not required to be applied to a mandatory prepayment pursuant to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minus</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any Investments made pursuant to </w:t>
      </w:r>
      <w:r>
        <w:rPr>
          <w:rFonts w:ascii="Times New Roman" w:cs="Times New Roman" w:eastAsia="Times New Roman" w:hAnsi="Times New Roman"/>
          <w:sz w:val="20"/>
          <w:szCs w:val="20"/>
          <w:u w:val="single" w:color="auto"/>
          <w:color w:val="auto"/>
        </w:rPr>
        <w:t>Section 7.02(e)(ii)</w:t>
      </w:r>
      <w:r>
        <w:rPr>
          <w:rFonts w:ascii="Times New Roman" w:cs="Times New Roman" w:eastAsia="Times New Roman" w:hAnsi="Times New Roman"/>
          <w:sz w:val="20"/>
          <w:szCs w:val="20"/>
          <w:color w:val="auto"/>
        </w:rPr>
        <w:t xml:space="preserve">, any Restricted Payments made pursuant to </w:t>
      </w:r>
      <w:r>
        <w:rPr>
          <w:rFonts w:ascii="Times New Roman" w:cs="Times New Roman" w:eastAsia="Times New Roman" w:hAnsi="Times New Roman"/>
          <w:sz w:val="20"/>
          <w:szCs w:val="20"/>
          <w:u w:val="single" w:color="auto"/>
          <w:color w:val="auto"/>
        </w:rPr>
        <w:t>Section 7.06(o)(ii)</w:t>
      </w:r>
      <w:r>
        <w:rPr>
          <w:rFonts w:ascii="Times New Roman" w:cs="Times New Roman" w:eastAsia="Times New Roman" w:hAnsi="Times New Roman"/>
          <w:sz w:val="20"/>
          <w:szCs w:val="20"/>
          <w:color w:val="auto"/>
        </w:rPr>
        <w:t xml:space="preserve"> and any payment made pursuant to Section </w:t>
      </w:r>
      <w:r>
        <w:rPr>
          <w:rFonts w:ascii="Times New Roman" w:cs="Times New Roman" w:eastAsia="Times New Roman" w:hAnsi="Times New Roman"/>
          <w:sz w:val="20"/>
          <w:szCs w:val="20"/>
          <w:u w:val="single" w:color="auto"/>
          <w:color w:val="auto"/>
        </w:rPr>
        <w:t>7.10(a)(v)(B)</w:t>
      </w:r>
      <w:r>
        <w:rPr>
          <w:rFonts w:ascii="Times New Roman" w:cs="Times New Roman" w:eastAsia="Times New Roman" w:hAnsi="Times New Roman"/>
          <w:sz w:val="20"/>
          <w:szCs w:val="20"/>
          <w:color w:val="auto"/>
        </w:rPr>
        <w:t xml:space="preserve"> during the period commencing on the Closing Date and ending on the Reference Date (and, for purposes of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without taking account of the intended usage of the Available Amount on such Reference Date in the contemplated transaction).</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to the extent any Excess Cash Flow is not applied to make a prepayment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2.07(b)(i)</w:t>
      </w:r>
      <w:r>
        <w:rPr>
          <w:rFonts w:ascii="Times New Roman" w:cs="Times New Roman" w:eastAsia="Times New Roman" w:hAnsi="Times New Roman"/>
          <w:sz w:val="20"/>
          <w:szCs w:val="20"/>
          <w:color w:val="auto"/>
        </w:rPr>
        <w:t xml:space="preserve"> by virtue of the application of </w:t>
      </w:r>
      <w:r>
        <w:rPr>
          <w:rFonts w:ascii="Times New Roman" w:cs="Times New Roman" w:eastAsia="Times New Roman" w:hAnsi="Times New Roman"/>
          <w:sz w:val="20"/>
          <w:szCs w:val="20"/>
          <w:u w:val="single" w:color="auto"/>
          <w:color w:val="auto"/>
        </w:rPr>
        <w:t>Section 2.07(b)(vi)</w:t>
      </w:r>
      <w:r>
        <w:rPr>
          <w:rFonts w:ascii="Times New Roman" w:cs="Times New Roman" w:eastAsia="Times New Roman" w:hAnsi="Times New Roman"/>
          <w:sz w:val="20"/>
          <w:szCs w:val="20"/>
          <w:color w:val="auto"/>
        </w:rPr>
        <w:t>, such Excess Cash Flow shall not under any circumstances increase the Available Amount.</w:t>
      </w:r>
    </w:p>
    <w:p>
      <w:pPr>
        <w:spacing w:after="0" w:line="17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Amount Reference Period</w:t>
      </w:r>
      <w:r>
        <w:rPr>
          <w:rFonts w:ascii="Times New Roman" w:cs="Times New Roman" w:eastAsia="Times New Roman" w:hAnsi="Times New Roman"/>
          <w:sz w:val="20"/>
          <w:szCs w:val="20"/>
          <w:color w:val="auto"/>
        </w:rPr>
        <w:t xml:space="preserve">” means, with respect to any Reference Date, the period commencing on (i) with respect to the calculation of clause (b) of the definition of “Available Amount,” the first Business Day of fiscal year 2020 and ending on the last day of the most recent fiscal year for which financial statements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the related Compliance Certificate required to be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have been received by the Administrative Agent and (ii) with respect to the calculation of “Available Amount” (other than clause (b) of the definition thereof) the day after the Closing Date through and including the Reference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3" w:name="page94"/>
    <w:bookmarkEnd w:id="93"/>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EEA Resolution Authority in respect of any liability of an EEA Financial Institution.</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w:t>
      </w:r>
      <w:r>
        <w:rPr>
          <w:rFonts w:ascii="Times New Roman" w:cs="Times New Roman" w:eastAsia="Times New Roman" w:hAnsi="Times New Roman"/>
          <w:sz w:val="20"/>
          <w:szCs w:val="20"/>
          <w:color w:val="auto"/>
        </w:rPr>
        <w:t xml:space="preserve">” means for any day a fluctuating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highest of (a) the Federal Funds Rate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1/2 of 1%, (b) the rate of interest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last quoted by </w:t>
      </w:r>
      <w:r>
        <w:rPr>
          <w:rFonts w:ascii="Times New Roman" w:cs="Times New Roman" w:eastAsia="Times New Roman" w:hAnsi="Times New Roman"/>
          <w:sz w:val="20"/>
          <w:szCs w:val="20"/>
          <w:u w:val="single" w:color="auto"/>
          <w:color w:val="auto"/>
        </w:rPr>
        <w:t>The Wall Street Journal</w:t>
      </w:r>
      <w:r>
        <w:rPr>
          <w:rFonts w:ascii="Times New Roman" w:cs="Times New Roman" w:eastAsia="Times New Roman" w:hAnsi="Times New Roman"/>
          <w:sz w:val="20"/>
          <w:szCs w:val="20"/>
          <w:color w:val="auto"/>
        </w:rPr>
        <w:t xml:space="preserve"> or, if </w:t>
      </w:r>
      <w:r>
        <w:rPr>
          <w:rFonts w:ascii="Times New Roman" w:cs="Times New Roman" w:eastAsia="Times New Roman" w:hAnsi="Times New Roman"/>
          <w:sz w:val="20"/>
          <w:szCs w:val="20"/>
          <w:u w:val="single" w:color="auto"/>
          <w:color w:val="auto"/>
        </w:rPr>
        <w:t>The Wall Street Journal</w:t>
      </w:r>
      <w:r>
        <w:rPr>
          <w:rFonts w:ascii="Times New Roman" w:cs="Times New Roman" w:eastAsia="Times New Roman" w:hAnsi="Times New Roman"/>
          <w:sz w:val="20"/>
          <w:szCs w:val="20"/>
          <w:color w:val="auto"/>
        </w:rPr>
        <w:t xml:space="preserve"> ceases to quote such rate, the highest per annum interest rate published by the Federal Reserve Board in </w:t>
      </w:r>
      <w:r>
        <w:rPr>
          <w:rFonts w:ascii="Times New Roman" w:cs="Times New Roman" w:eastAsia="Times New Roman" w:hAnsi="Times New Roman"/>
          <w:sz w:val="20"/>
          <w:szCs w:val="20"/>
          <w:u w:val="single" w:color="auto"/>
          <w:color w:val="auto"/>
        </w:rPr>
        <w:t>Federal Reserve Statistical Release H.15 (519) (Selected Interest Rates)</w:t>
      </w:r>
      <w:r>
        <w:rPr>
          <w:rFonts w:ascii="Times New Roman" w:cs="Times New Roman" w:eastAsia="Times New Roman" w:hAnsi="Times New Roman"/>
          <w:sz w:val="20"/>
          <w:szCs w:val="20"/>
          <w:color w:val="auto"/>
        </w:rPr>
        <w:t xml:space="preserve"> as the “bank prime loan” rate or, if such rate is no longer quoted therein, any similar rate quoted therein (as determined by the Administrative Agent) or any similar release by the Federal Reserve Board (as determined by the Administrative Agent) as being the “Prime Rate” in the United States for such day or, if more than one rate is published as the “Prime Lending Rate”, the highest of such rates, and (c) (i) prior to the Amendment No. 4 Effective Date, the Adjusted Eurocurrency Rate on such day for an Interest Period of one month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1.00% (or, if such day is not a Business Day, the immediately preceding Business Day) and (ii) on and after the Amendment No. 4 Effective Date, the Adjusted Term SOFR on such day for an Interest Period of one month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1.00% (or, if such day is not a Business Day, the immediately preceding Business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the “Base Rate” (1) with respect to any Initial Term Loans and the Delayed Draw Term Loans shall in no event be less than 1.00%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(2) with respect to any Revolving Loans shall in no event be less than 1.00%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and (3) shall not be available as to any Alternate Currency.</w:t>
      </w:r>
    </w:p>
    <w:p>
      <w:pPr>
        <w:spacing w:after="0" w:line="1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(i) with respect to any Loan denominated in Dollars, Adjusted Term SOFR and (ii) with respect to any Loan denominated in an Alternative Currency, the relevant rate in respect of such Alternative Currency pursuant to clause (b) of the definition of “Eurocurrency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replacement of a Benchmark with respect to the Revolving Facility has occurred pursuant to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then, with respect to the Revolving Facility,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83" w:lineRule="exact"/>
        <w:rPr>
          <w:sz w:val="20"/>
          <w:szCs w:val="20"/>
          <w:color w:val="auto"/>
        </w:rPr>
      </w:pPr>
    </w:p>
    <w:p>
      <w:pPr>
        <w:jc w:val="both"/>
        <w:ind w:firstLine="395"/>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a date and time determined by the Administrative Agent, which date shall be no later than the earliest to occur of the following events with respect to the then-current Benchmark:</w:t>
      </w:r>
    </w:p>
    <w:p>
      <w:pPr>
        <w:spacing w:after="0" w:line="157" w:lineRule="exact"/>
        <w:rPr>
          <w:sz w:val="20"/>
          <w:szCs w:val="20"/>
          <w:color w:val="auto"/>
        </w:rPr>
      </w:pPr>
    </w:p>
    <w:p>
      <w:pPr>
        <w:jc w:val="both"/>
        <w:ind w:left="760" w:firstLine="745"/>
        <w:spacing w:after="0" w:line="249"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8"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all Available Tenors of such Benchmark (or the published component used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4" w:name="page95"/>
    <w:bookmarkEnd w:id="94"/>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calculation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firstLine="395"/>
        <w:spacing w:after="0" w:line="272"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156" w:lineRule="exact"/>
        <w:rPr>
          <w:sz w:val="20"/>
          <w:szCs w:val="20"/>
          <w:color w:val="auto"/>
        </w:rPr>
      </w:pPr>
    </w:p>
    <w:p>
      <w:pPr>
        <w:jc w:val="both"/>
        <w:ind w:left="760" w:firstLine="745"/>
        <w:spacing w:after="0" w:line="246"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8" w:lineRule="auto"/>
        <w:tabs>
          <w:tab w:leader="none" w:pos="190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70" w:lineRule="exact"/>
        <w:rPr>
          <w:rFonts w:ascii="Times New Roman" w:cs="Times New Roman" w:eastAsia="Times New Roman" w:hAnsi="Times New Roman"/>
          <w:sz w:val="19"/>
          <w:szCs w:val="19"/>
          <w:color w:val="auto"/>
        </w:rPr>
      </w:pPr>
    </w:p>
    <w:p>
      <w:pPr>
        <w:jc w:val="both"/>
        <w:ind w:left="760" w:firstLine="745"/>
        <w:spacing w:after="0" w:line="253" w:lineRule="auto"/>
        <w:tabs>
          <w:tab w:leader="none" w:pos="19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5" w:name="page96"/>
    <w:bookmarkEnd w:id="95"/>
    <w:p>
      <w:pPr>
        <w:jc w:val="both"/>
        <w:spacing w:after="0" w:line="268" w:lineRule="auto"/>
        <w:rPr>
          <w:sz w:val="20"/>
          <w:szCs w:val="20"/>
          <w:color w:val="auto"/>
        </w:rPr>
      </w:pPr>
      <w:r>
        <w:rPr>
          <w:rFonts w:ascii="Times New Roman" w:cs="Times New Roman" w:eastAsia="Times New Roman" w:hAnsi="Times New Roman"/>
          <w:sz w:val="20"/>
          <w:szCs w:val="20"/>
          <w:color w:val="auto"/>
        </w:rPr>
        <w:t>whose assets include (for purposes of ERISA Section 3(42) or otherwise for purposes of Title I of ERISA or Section 4975 of the Code) the assets of any such “employee benefit plan” or “plan”.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BMOCM</w:t>
      </w:r>
      <w:r>
        <w:rPr>
          <w:rFonts w:ascii="Times New Roman" w:cs="Times New Roman" w:eastAsia="Times New Roman" w:hAnsi="Times New Roman"/>
          <w:sz w:val="20"/>
          <w:szCs w:val="20"/>
          <w:color w:val="auto"/>
        </w:rPr>
        <w:t>” has the meaning specified in the introductory paragraph to this Agreement.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has the meaning specified in the introductory paragraph to this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means a borrowing consisting of Loans of the same Class and Type made, converted or continued on the same date and, in the case of Eurocurrency Rate Loans and SOFR Loans, having the same Interest Period.</w:t>
      </w:r>
    </w:p>
    <w:p>
      <w:pPr>
        <w:spacing w:after="0" w:line="15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xml:space="preserve">” means (a) any day other than a Saturday, Sunday or other day on which commercial banks are authorized to close under the Laws of, or are in fact closed in, the jurisdiction where the Administrative Agent’s Office is located (which, as of the date of this Agreement, is New York, New York) and (i) if such day relates to any interest rate settings as to a Eurocurrency Rate Loan, any fundings, disbursements, settlements and payments in respect of any such Eurocurrency Rate Loan, or any other dealings to be carried out pursuant to this Agreement in respect of any such Eurocurrency Rate Loan, means any such day on which dealings in deposits in Dollars are conducted by and between banks in the London interbank eurodollar market and (ii) if such day relates to any interest rate settings as to a SOFR Loan, any fundings, disbursements, settlements and payments in respect of any such SOFR Loan, or any other dealings to be carried out pursuant to this Agreement in respect of any such SOFR Loan, means any U.S. Government Securities Business Day and (b) if such day relates to any interest rate settings as to a Eurocurrency Rate Loan or Letter of Credit denominated in an Alternative Currency, any fundings, settlements, payments and disbursements in such Alternative Currency, or any other dealings in such Alternative Currency to be carried out pursuant to this Agreement in respect of any such Eurocurrency Rate Loan or Letter of Credit, means any such day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which is also a day on which dealings in deposits in such Alternative Currency are conducted by and between banks in the London interbank market and (other than any date that relates to any interest rate setting in respect of such Alternative Currency) any such day on which banks are open for foreign exchange business in the principal financial center of the country of such Alternative Currency.</w:t>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Expenditures</w:t>
      </w:r>
      <w:r>
        <w:rPr>
          <w:rFonts w:ascii="Times New Roman" w:cs="Times New Roman" w:eastAsia="Times New Roman" w:hAnsi="Times New Roman"/>
          <w:sz w:val="20"/>
          <w:szCs w:val="20"/>
          <w:color w:val="auto"/>
        </w:rPr>
        <w:t>” means, for any period, the aggregate of all expenditures (whether paid in cash or accrued as liabilities and including in all events all amounts expended or capitalized under Capitalized Leases) by the Borrower and the Restricted Subsidiaries during such period that, in conformity with GAAP, are or are required to be included as capital expenditures on the consolidated statement of cash flows of the Borrower and the Restricted Subsidiaries.</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Lease Obligation</w:t>
      </w:r>
      <w:r>
        <w:rPr>
          <w:rFonts w:ascii="Times New Roman" w:cs="Times New Roman" w:eastAsia="Times New Roman" w:hAnsi="Times New Roman"/>
          <w:sz w:val="20"/>
          <w:szCs w:val="20"/>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0"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Leases</w:t>
      </w:r>
      <w:r>
        <w:rPr>
          <w:rFonts w:ascii="Times New Roman" w:cs="Times New Roman" w:eastAsia="Times New Roman" w:hAnsi="Times New Roman"/>
          <w:sz w:val="20"/>
          <w:szCs w:val="20"/>
          <w:color w:val="auto"/>
        </w:rPr>
        <w:t xml:space="preserve">” means all capital and finance leases that have been or are required to be, in accordance with GAAP as in effect on the Closing Date, recorded as capitalized leases;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6" w:name="page97"/>
    <w:bookmarkEnd w:id="96"/>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all purposes hereunder the amount of obligations under any Capitalized Lease shall be the amount thereof accounted for as a liability in accordance with GAAP as in effect on the Closing Date.</w:t>
      </w:r>
    </w:p>
    <w:p>
      <w:pPr>
        <w:spacing w:after="0" w:line="157"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Captive Insurance Subsidiary</w:t>
      </w:r>
      <w:r>
        <w:rPr>
          <w:rFonts w:ascii="Times New Roman" w:cs="Times New Roman" w:eastAsia="Times New Roman" w:hAnsi="Times New Roman"/>
          <w:sz w:val="20"/>
          <w:szCs w:val="20"/>
          <w:color w:val="auto"/>
        </w:rPr>
        <w:t>” means any Subsidiary of the Borrower that is subject to regulation as an insurance company (or any Subsidiary thereof).</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 Account</w:t>
      </w:r>
      <w:r>
        <w:rPr>
          <w:rFonts w:ascii="Times New Roman" w:cs="Times New Roman" w:eastAsia="Times New Roman" w:hAnsi="Times New Roman"/>
          <w:sz w:val="20"/>
          <w:szCs w:val="20"/>
          <w:color w:val="auto"/>
        </w:rPr>
        <w:t>” means an account held at, and subject to the sole dominion and control of, the Collateral Agent.</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Collateralize</w:t>
      </w:r>
      <w:r>
        <w:rPr>
          <w:rFonts w:ascii="Times New Roman" w:cs="Times New Roman" w:eastAsia="Times New Roman" w:hAnsi="Times New Roman"/>
          <w:sz w:val="20"/>
          <w:szCs w:val="20"/>
          <w:color w:val="auto"/>
        </w:rPr>
        <w:t>” means, in respect of an Obligation, to provide and pledge (as a first priority perfected security interest) cash collateral in Dollars, at a location and pursuant to documentation in form and substance satisfactory to Administrative Agent, the Swing Line Lender or an Issuing Bank, as applicable (and “</w:t>
      </w:r>
      <w:r>
        <w:rPr>
          <w:rFonts w:ascii="Times New Roman" w:cs="Times New Roman" w:eastAsia="Times New Roman" w:hAnsi="Times New Roman"/>
          <w:sz w:val="20"/>
          <w:szCs w:val="20"/>
          <w:b w:val="1"/>
          <w:bCs w:val="1"/>
          <w:color w:val="auto"/>
        </w:rPr>
        <w:t>Cash Collateralization</w:t>
      </w:r>
      <w:r>
        <w:rPr>
          <w:rFonts w:ascii="Times New Roman" w:cs="Times New Roman" w:eastAsia="Times New Roman" w:hAnsi="Times New Roman"/>
          <w:sz w:val="20"/>
          <w:szCs w:val="20"/>
          <w:color w:val="auto"/>
        </w:rPr>
        <w:t>” has a corresponding meaning). “</w:t>
      </w:r>
      <w:r>
        <w:rPr>
          <w:rFonts w:ascii="Times New Roman" w:cs="Times New Roman" w:eastAsia="Times New Roman" w:hAnsi="Times New Roman"/>
          <w:sz w:val="20"/>
          <w:szCs w:val="20"/>
          <w:b w:val="1"/>
          <w:b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 any of the following types of Investments (including for the avoidance of doubt, cash), to the extent owned by the Borrower or any Restricted Subsidiary:</w:t>
      </w:r>
    </w:p>
    <w:p>
      <w:pPr>
        <w:spacing w:after="0" w:line="157" w:lineRule="exact"/>
        <w:rPr>
          <w:sz w:val="20"/>
          <w:szCs w:val="20"/>
          <w:color w:val="auto"/>
        </w:rPr>
      </w:pPr>
    </w:p>
    <w:p>
      <w:pPr>
        <w:ind w:left="1900" w:hanging="395"/>
        <w:spacing w:after="0"/>
        <w:tabs>
          <w:tab w:leader="none" w:pos="1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and each Alternative Currency;</w:t>
      </w:r>
    </w:p>
    <w:p>
      <w:pPr>
        <w:spacing w:after="0" w:line="214"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currencies held by the Borrower or any Restricted Subsidiary from time to time in the ordinary course of business and not for speculation;</w:t>
      </w:r>
    </w:p>
    <w:p>
      <w:pPr>
        <w:spacing w:after="0" w:line="160"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12 months or less from the date of acquisition;</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 (or the foreign currency equivalent thereof as of the date of such investment);</w:t>
      </w:r>
    </w:p>
    <w:p>
      <w:pPr>
        <w:spacing w:after="0" w:line="178"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for underlying securities of the types described in clauses (c) and (d) above or clause (h) below entered into with any financial institution meeting the qualifications specified in clause (d) above;</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spacing w:after="0" w:line="176"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spacing w:after="0" w:line="176"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any state, commonwealth or territory of the United States or any political subdivision or taxing authority thereof, in each case having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7" w:name="page98"/>
    <w:bookmarkEnd w:id="97"/>
    <w:p>
      <w:pPr>
        <w:jc w:val="both"/>
        <w:ind w:left="760"/>
        <w:spacing w:after="0" w:line="253" w:lineRule="auto"/>
        <w:rPr>
          <w:sz w:val="20"/>
          <w:szCs w:val="20"/>
          <w:color w:val="auto"/>
        </w:rPr>
      </w:pPr>
      <w:r>
        <w:rPr>
          <w:rFonts w:ascii="Times New Roman" w:cs="Times New Roman" w:eastAsia="Times New Roman" w:hAnsi="Times New Roman"/>
          <w:sz w:val="20"/>
          <w:szCs w:val="20"/>
          <w:color w:val="auto"/>
        </w:rPr>
        <w:t>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spacing w:after="0" w:line="176" w:lineRule="exact"/>
        <w:rPr>
          <w:sz w:val="20"/>
          <w:szCs w:val="20"/>
          <w:color w:val="auto"/>
        </w:rPr>
      </w:pPr>
    </w:p>
    <w:p>
      <w:pPr>
        <w:jc w:val="both"/>
        <w:ind w:left="760" w:firstLine="745"/>
        <w:spacing w:after="0" w:line="249" w:lineRule="auto"/>
        <w:tabs>
          <w:tab w:leader="none" w:pos="190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w:t>
      </w:r>
    </w:p>
    <w:p>
      <w:pPr>
        <w:spacing w:after="0" w:line="17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 funds investing substantially all of their assets in securities of the types described in clauses (a) through (i)</w:t>
      </w:r>
    </w:p>
    <w:p>
      <w:pPr>
        <w:spacing w:after="0" w:line="32"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above; and</w:t>
      </w:r>
    </w:p>
    <w:p>
      <w:pPr>
        <w:spacing w:after="0" w:line="192" w:lineRule="exact"/>
        <w:rPr>
          <w:rFonts w:ascii="Times New Roman" w:cs="Times New Roman" w:eastAsia="Times New Roman" w:hAnsi="Times New Roman"/>
          <w:sz w:val="19"/>
          <w:szCs w:val="19"/>
          <w:color w:val="auto"/>
        </w:rPr>
      </w:pPr>
    </w:p>
    <w:p>
      <w:pPr>
        <w:ind w:left="760" w:right="20" w:firstLine="745"/>
        <w:spacing w:after="0" w:line="268" w:lineRule="auto"/>
        <w:tabs>
          <w:tab w:leader="none" w:pos="190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with respect to any Captive Insurance Subsidiary, any investment that a Captive Insurance Subsidiary is not prohibited to make in accordance with applicable law.</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above and in this paragraph. Notwithstanding the foregoing, Cash Equivalents shall include amounts denominated in currencies other than those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amounts, except amounts used to pay obligations of the Borrower or any Restricted Subsidiary denominated in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currency other than Dollars or an Alternative Currency in the ordinary course of business, are converted into Dollars or an Alternative Currency as promptly as practicable and in any event within ten Business Days following the receipt of such amounts.</w:t>
      </w:r>
    </w:p>
    <w:p>
      <w:pPr>
        <w:spacing w:after="0" w:line="18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Bank</w:t>
      </w:r>
      <w:r>
        <w:rPr>
          <w:rFonts w:ascii="Times New Roman" w:cs="Times New Roman" w:eastAsia="Times New Roman" w:hAnsi="Times New Roman"/>
          <w:sz w:val="20"/>
          <w:szCs w:val="20"/>
          <w:color w:val="auto"/>
        </w:rPr>
        <w:t>” means any Person that is a Lender or Agent or an Affiliate of a Lender or Agent (a) on the Closing Date (with respect to any Cash Management Services entered into prior to the Closing Date), (b) at the time it initially provides any Cash Management Services to the Borrower or any Restricted Subsidiary, or (c) at the time that the Person to whom the Cash Management Services are provided is merged with the Borrower or becomes or is merged with a Restricted Subsidiary (with respect to any Cash Management Services entered into prior to the date of such merger or such Person becoming a Restricted Subsidiary), in each case whether or not such Person subsequently ceases to be a Lender or Agent or an Affiliate of a Lender or Agent.</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Obligations</w:t>
      </w:r>
      <w:r>
        <w:rPr>
          <w:rFonts w:ascii="Times New Roman" w:cs="Times New Roman" w:eastAsia="Times New Roman" w:hAnsi="Times New Roman"/>
          <w:sz w:val="20"/>
          <w:szCs w:val="20"/>
          <w:color w:val="auto"/>
        </w:rPr>
        <w:t>” means obligations owed by the Borrower or any Restricted Subsidiary to any Cash Management Bank in respect of or in connection with any Cash Management Services and designated by the Cash Management Bank and the Borrower in writing to the Administrative Agent as “Cash Management Obligations.”</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Services</w:t>
      </w:r>
      <w:r>
        <w:rPr>
          <w:rFonts w:ascii="Times New Roman" w:cs="Times New Roman" w:eastAsia="Times New Roman" w:hAnsi="Times New Roman"/>
          <w:sz w:val="20"/>
          <w:szCs w:val="20"/>
          <w:color w:val="auto"/>
        </w:rPr>
        <w:t>” means any agreement or arrangement to provide cash management services, including treasury, depository, overdraft, credit card processing, credit or debit card, purchase card, electronic funds transfer and other cash management arrangements.</w:t>
      </w:r>
    </w:p>
    <w:p>
      <w:pPr>
        <w:spacing w:after="0" w:line="170"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Casualty Event</w:t>
      </w:r>
      <w:r>
        <w:rPr>
          <w:rFonts w:ascii="Times New Roman" w:cs="Times New Roman" w:eastAsia="Times New Roman" w:hAnsi="Times New Roman"/>
          <w:sz w:val="20"/>
          <w:szCs w:val="20"/>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8" w:name="page99"/>
    <w:bookmarkEnd w:id="98"/>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Law</w:t>
      </w:r>
      <w:r>
        <w:rPr>
          <w:rFonts w:ascii="Times New Roman" w:cs="Times New Roman" w:eastAsia="Times New Roman" w:hAnsi="Times New Roman"/>
          <w:sz w:val="20"/>
          <w:szCs w:val="20"/>
          <w:color w:val="auto"/>
        </w:rPr>
        <w:t>” means the occurrence, after the date of this Agreement, of any of the following: (a) the adoption or taking effect of any law, rule, regulation or treaty (excluding the taking effect after the date of this Agreement of a law, rule, regulation or treaty adopted prior to the date of this Agreement), (b) any change in any law, rule, regulation or treaty or in the administration, interpretation or application thereof by any Governmental Authority or (c) the making or issuance of any request, guideline or directive (whether or not having the force of law) by any Governmental Authority. 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earliest to occur of:</w:t>
      </w:r>
    </w:p>
    <w:p>
      <w:pPr>
        <w:spacing w:after="0" w:line="219" w:lineRule="exact"/>
        <w:rPr>
          <w:sz w:val="20"/>
          <w:szCs w:val="20"/>
          <w:color w:val="auto"/>
        </w:rPr>
      </w:pPr>
    </w:p>
    <w:p>
      <w:pPr>
        <w:ind w:left="1900" w:hanging="395"/>
        <w:spacing w:after="0"/>
        <w:tabs>
          <w:tab w:leader="none" w:pos="1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the consummation of a Qualifying IPO, the Permitted Holders ceasing to beneficially own (as defined in Rules 13d-3 and 13d-5 under the Exchange Act), in the aggregate, directly or indirectly, a majority of the aggregate ordinary voting power represented by the issued and outstanding Equity Interests of Holdings (or Successor Holdings, if applicable); or</w:t>
      </w:r>
    </w:p>
    <w:p>
      <w:pPr>
        <w:spacing w:after="0" w:line="178" w:lineRule="exact"/>
        <w:rPr>
          <w:rFonts w:ascii="Times New Roman" w:cs="Times New Roman" w:eastAsia="Times New Roman" w:hAnsi="Times New Roman"/>
          <w:sz w:val="20"/>
          <w:szCs w:val="20"/>
          <w:color w:val="auto"/>
        </w:rPr>
      </w:pPr>
    </w:p>
    <w:p>
      <w:pPr>
        <w:jc w:val="both"/>
        <w:ind w:left="1500" w:firstLine="754"/>
        <w:spacing w:after="0" w:line="242" w:lineRule="auto"/>
        <w:tabs>
          <w:tab w:leader="none" w:pos="2644"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upon or after the consummation of a Qualifying IPO, any Person (other than a Permitted Holder) or Persons (other than one or more Permitted Holders) constituting a “group” (as such term is used in Sections 13(d) and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of Equity Interests representing more than thirty-five percent of the aggregate ordinary voting power represented by the then issued and outstanding Equity Interests of Holdings (or Successor Holdings, if applicable) and the percentage of aggregate ordinary voting power so held is greater than the percentage of the aggregate ordinary voting power represented by the Equity Interests of Holdings (or Successor Holdings, if applicable) beneficially owned (as defined in Rules 13d-3 and 13d-5 under the Exchange Act), directly or indirectly, in the aggregate by the Permitted Holders,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unless, in the case of either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above, the Permitted Holders have, at such time, the right or the ability by voting power, contract or otherwise to elect or designate for election 50% or more of the Board of Directors of Holdings or Successor Holdings, if applicable;</w:t>
      </w:r>
    </w:p>
    <w:p>
      <w:pPr>
        <w:spacing w:after="0" w:line="176" w:lineRule="exact"/>
        <w:rPr>
          <w:sz w:val="20"/>
          <w:szCs w:val="20"/>
          <w:color w:val="auto"/>
        </w:rPr>
      </w:pPr>
    </w:p>
    <w:p>
      <w:pPr>
        <w:ind w:left="760" w:right="40" w:firstLine="745"/>
        <w:spacing w:after="0" w:line="268" w:lineRule="auto"/>
        <w:tabs>
          <w:tab w:leader="none" w:pos="19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Transactions on the Closing Date, the Borrower ceasing to be a direct wholly owned Subsidiary of Holdings (or Successor Holdings, if applicable); and</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73" w:lineRule="auto"/>
        <w:tabs>
          <w:tab w:leader="none" w:pos="190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of Control or similar event occurring under (i) the Second Lien Credit Agreement (or the documentation in respect of any Permitted Refinancing of the Second Lien Term Loans), (ii) the documentation in respect of any Credit Agreement Refinancing Indebtedness and/or (iii) any Junior Financing Documentation in respect of any Indebtedness or the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9" w:name="page100"/>
    <w:bookmarkEnd w:id="99"/>
    <w:p>
      <w:pPr>
        <w:ind w:left="760" w:right="20"/>
        <w:spacing w:after="0" w:line="268" w:lineRule="auto"/>
        <w:rPr>
          <w:sz w:val="20"/>
          <w:szCs w:val="20"/>
          <w:color w:val="auto"/>
        </w:rPr>
      </w:pPr>
      <w:r>
        <w:rPr>
          <w:rFonts w:ascii="Times New Roman" w:cs="Times New Roman" w:eastAsia="Times New Roman" w:hAnsi="Times New Roman"/>
          <w:sz w:val="20"/>
          <w:szCs w:val="20"/>
          <w:color w:val="auto"/>
        </w:rPr>
        <w:t xml:space="preserve">governing any Junior Lien Debt, in each case with respect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having an aggregate outstanding principal amount equal to or greater than the Threshold Amount.</w:t>
      </w:r>
    </w:p>
    <w:p>
      <w:pPr>
        <w:spacing w:after="0" w:line="15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xml:space="preserve">” when used in reference to (a) any Loan or Borrowing, refers to whether such Loan, or the Loans comprising such Borrowing, are Term Loans (including Initial Term Loans and any Delayed Draw Term Loans), Revolving Loans, Swing Line Loans, Incremental Term Loans, Incremental Revolving Loans, Refinancing Term Loans, Refinancing Revolving Loans, Extended Term Loans or Extended Revolving Loans, (b) any Commitment, refers to whether such Commitment is a Commitment in respect of Term Loans (including Initial Term Loans and any Delayed Draw Term Loans) made to the Borrower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Revolving Loans, Swing Line Loans, Refinancing Term Commitment (and, in the case of a Refinancing Term Commitment, the Class of Loans to which such commitment relates), Refinancing Revolving Commitment (and, in the case of a Refinancing Revolving Commitment, the Class of Loans to which such commitment relates) or a Commitment in respect of a Class of Loans to be made pursuant to an Incremental Amendment or an Extension Amendment and (c) any Lender, refers to whether such Lender has a Loan or Commitment with respect to a particular Class of Loans or Commitments. Refinancing Term Commitments, Refinancing Revolving Commitments, Refinancing Term Loans, Refinancing Revolving Loans, Incremental Term Loans and Extended Term Loans that have different terms and conditions shall be construed to be in different Classes.</w:t>
      </w:r>
    </w:p>
    <w:p>
      <w:pPr>
        <w:spacing w:after="0" w:line="184"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means the first date on which all of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the Term Loans are made to the Borrower pursuant to the first sentence of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EBITDA</w:t>
      </w:r>
      <w:r>
        <w:rPr>
          <w:rFonts w:ascii="Times New Roman" w:cs="Times New Roman" w:eastAsia="Times New Roman" w:hAnsi="Times New Roman"/>
          <w:sz w:val="20"/>
          <w:szCs w:val="20"/>
          <w:color w:val="auto"/>
        </w:rPr>
        <w:t>” means $150,000,000.</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First Lien Net Leverage Ratio</w:t>
      </w:r>
      <w:r>
        <w:rPr>
          <w:rFonts w:ascii="Times New Roman" w:cs="Times New Roman" w:eastAsia="Times New Roman" w:hAnsi="Times New Roman"/>
          <w:sz w:val="20"/>
          <w:szCs w:val="20"/>
          <w:color w:val="auto"/>
        </w:rPr>
        <w:t>” means 5.33 to 1.00.</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Intercreditor Agreement</w:t>
      </w:r>
      <w:r>
        <w:rPr>
          <w:rFonts w:ascii="Times New Roman" w:cs="Times New Roman" w:eastAsia="Times New Roman" w:hAnsi="Times New Roman"/>
          <w:sz w:val="20"/>
          <w:szCs w:val="20"/>
          <w:color w:val="auto"/>
        </w:rPr>
        <w:t>” means the Junior Lien Intercreditor Agreement, dated as of the Closing Date, by and among the Collateral Agent, as the initial first priority representative, the Second Lien Collateral Agent, as the initial second priority representative, and each additional representative from time to time party thereto, as acknowledged by the Loan Parties, as amended, restated, amended and restated, modified or supplemented from time to time in accordance with the terms hereof and thereof.</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Refinancing</w:t>
      </w:r>
      <w:r>
        <w:rPr>
          <w:rFonts w:ascii="Times New Roman" w:cs="Times New Roman" w:eastAsia="Times New Roman" w:hAnsi="Times New Roman"/>
          <w:sz w:val="20"/>
          <w:szCs w:val="20"/>
          <w:color w:val="auto"/>
        </w:rPr>
        <w:t>” means the repayment of the Existing Debt, the termination of any related commitments thereunder and the termination, release or authorization to terminate or release all contractual Liens related thereto, in each case on or about the Closing Date.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Secured Net Leverage Ratio</w:t>
      </w:r>
      <w:r>
        <w:rPr>
          <w:rFonts w:ascii="Times New Roman" w:cs="Times New Roman" w:eastAsia="Times New Roman" w:hAnsi="Times New Roman"/>
          <w:sz w:val="20"/>
          <w:szCs w:val="20"/>
          <w:color w:val="auto"/>
        </w:rPr>
        <w:t>” means 7.00 to 1.00.</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Total Net Leverage Ratio</w:t>
      </w:r>
      <w:r>
        <w:rPr>
          <w:rFonts w:ascii="Times New Roman" w:cs="Times New Roman" w:eastAsia="Times New Roman" w:hAnsi="Times New Roman"/>
          <w:sz w:val="20"/>
          <w:szCs w:val="20"/>
          <w:color w:val="auto"/>
        </w:rPr>
        <w:t>” means 7.25 to 1.00.</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U.S. Internal Revenue Code of 1986, as amended from time to time.</w:t>
      </w:r>
    </w:p>
    <w:p>
      <w:pPr>
        <w:spacing w:after="0" w:line="21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all the “Collateral” (or equivalent term) as defined in any Collateral Document, the Mortgaged Properties and all other property that is subject or purported to be subject to any Lien in favor of the Collateral Agent for the benefit of the Secured Parties pursuant to any Collateral Document.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has the meaning specified in the introductory paragraph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0" w:name="page101"/>
    <w:bookmarkEnd w:id="100"/>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xml:space="preserve">” means, collectively, the Security Agreement, the Intellectual Property Security Agreements, the Mortgages, each of the collateral assignments, Security Agreement Supplements, security agreements, pledge agreements or other similar agreements delivered to the Agents and the Lenders pursuant to </w:t>
      </w:r>
      <w:r>
        <w:rPr>
          <w:rFonts w:ascii="Times New Roman" w:cs="Times New Roman" w:eastAsia="Times New Roman" w:hAnsi="Times New Roman"/>
          <w:sz w:val="20"/>
          <w:szCs w:val="20"/>
          <w:u w:val="single" w:color="auto"/>
          <w:color w:val="auto"/>
        </w:rPr>
        <w:t>Sections 4.01(a)(iii)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 xml:space="preserve"> or pursuant to the Existing Credit Agreement, and each of the other agreements, instruments or documents that creates or purports to create a Lien in favor of the Collateral Agent for the benefit of the Secured Parties.</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Commitments</w:t>
      </w:r>
      <w:r>
        <w:rPr>
          <w:rFonts w:ascii="Times New Roman" w:cs="Times New Roman" w:eastAsia="Times New Roman" w:hAnsi="Times New Roman"/>
          <w:sz w:val="20"/>
          <w:szCs w:val="20"/>
          <w:color w:val="auto"/>
        </w:rPr>
        <w:t>” means the Revolving Commitments, the Delayed Draw Term Loan Commitments and the Term Loan Commitments.</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Committed Loan Notice</w:t>
      </w:r>
      <w:r>
        <w:rPr>
          <w:rFonts w:ascii="Times New Roman" w:cs="Times New Roman" w:eastAsia="Times New Roman" w:hAnsi="Times New Roman"/>
          <w:sz w:val="20"/>
          <w:szCs w:val="20"/>
          <w:color w:val="auto"/>
        </w:rPr>
        <w:t xml:space="preserve">” means a notice of a Borrowing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specified in the preliminary statements to this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Adjusted EBITDA</w:t>
      </w:r>
      <w:r>
        <w:rPr>
          <w:rFonts w:ascii="Times New Roman" w:cs="Times New Roman" w:eastAsia="Times New Roman" w:hAnsi="Times New Roman"/>
          <w:sz w:val="20"/>
          <w:szCs w:val="20"/>
          <w:color w:val="auto"/>
        </w:rPr>
        <w:t>” means, with respect to any Person for any Test Period, the Consolidated Net Income of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for such Test Period:</w:t>
      </w:r>
    </w:p>
    <w:p>
      <w:pPr>
        <w:spacing w:after="0" w:line="193" w:lineRule="exact"/>
        <w:rPr>
          <w:sz w:val="20"/>
          <w:szCs w:val="20"/>
          <w:color w:val="auto"/>
        </w:rPr>
      </w:pPr>
    </w:p>
    <w:p>
      <w:pPr>
        <w:jc w:val="both"/>
        <w:ind w:left="760" w:firstLine="745"/>
        <w:spacing w:after="0" w:line="273" w:lineRule="auto"/>
        <w:tabs>
          <w:tab w:leader="none" w:pos="190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without duplication, by the following items (solely to the extent deducted (and not excluded) in calculating Consolidated Net Income, other than in respect of the proviso in clause (i) below and clauses (ii)(B), (xi) and (xix) below) of such Person and its Restricted Subsidiaries for such Test Period determined on a consolidated basis in accordance with GAAP:</w:t>
      </w:r>
    </w:p>
    <w:p>
      <w:pPr>
        <w:spacing w:after="0" w:line="157" w:lineRule="exact"/>
        <w:rPr>
          <w:rFonts w:ascii="Times New Roman" w:cs="Times New Roman" w:eastAsia="Times New Roman" w:hAnsi="Times New Roman"/>
          <w:sz w:val="19"/>
          <w:szCs w:val="19"/>
          <w:color w:val="auto"/>
        </w:rPr>
      </w:pPr>
    </w:p>
    <w:p>
      <w:pPr>
        <w:ind w:left="1500" w:firstLine="754"/>
        <w:spacing w:after="0" w:line="241" w:lineRule="auto"/>
        <w:tabs>
          <w:tab w:leader="none" w:pos="26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expense, including (A) imputed interest on Capitalized Lease Obligations and Attributable Indebtedness (which, in each case, will be deemed to accrue at the interest rate reasonably determined by a Responsible Officer of the Borrower to be the rate of interest implicit in such Capitalized Lease Obligations or Attributable Indebtedness), (B) commissions, discounts and other fees, charges and expenses owed with respect to letters of credit securing financial obligations, bankers’ acceptance financing and receivables financings, (C) amortization and write-offs of deferred financing fees, debt issuance costs, debt discount, commissions, fees, premium and other expenses, as well as expensing of bridge, commitment or financing fees, (D) payments made in respect of hedging obligations or other derivative instruments entered into for the purpose of hedging interest rate risk, (E) cash contributions to any employee stock ownership plan or similar trust to the extent such contributions are used by such plan or trust to pay interest or fees to any Person (other than such Person or a wholly-owned Restricted Subsidiary) in connection with Indebtedness incurred by such plan or trust, (F) all interest paid or payable with respect to discontinued operations, (G) the interest portion of any deferred payment obligations, and (H) all interest on any Indebtedness that is (x) Indebtedness of others secured by any Lien on property owned or acquired by such Person or its Restricted Subsidiaries, whether or not the obligations secured thereby have been assumed, but limited to the fair market value of such property or (y) contingent obligations in respect of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that such interest expense shall be calculated after giving effect to Hedge Agreements related to interest rates (including associated costs), but excluding unrealized gains and losses with respect to such Hedge Agreements; </w:t>
      </w:r>
      <w:r>
        <w:rPr>
          <w:rFonts w:ascii="Times New Roman" w:cs="Times New Roman" w:eastAsia="Times New Roman" w:hAnsi="Times New Roman"/>
          <w:sz w:val="20"/>
          <w:szCs w:val="20"/>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1" w:name="page102"/>
    <w:bookmarkEnd w:id="101"/>
    <w:p>
      <w:pPr>
        <w:jc w:val="both"/>
        <w:ind w:left="380" w:firstLine="754"/>
        <w:spacing w:after="0" w:line="249" w:lineRule="auto"/>
        <w:tabs>
          <w:tab w:leader="none" w:pos="152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based on gross receipts, income, profits or capital, franchise, excise, commercial activity, unitary or similar taxes, and foreign withholding taxes, including (A) penalties and interest and (B) tax distributions made to any direct or indirect holders of Equity Interests of such Person in respect of any such taxes attributable to such Person and/or its Restricted Subsidiaries; </w:t>
      </w:r>
      <w:r>
        <w:rPr>
          <w:rFonts w:ascii="Times New Roman" w:cs="Times New Roman" w:eastAsia="Times New Roman" w:hAnsi="Times New Roman"/>
          <w:sz w:val="20"/>
          <w:szCs w:val="20"/>
          <w:i w:val="1"/>
          <w:iCs w:val="1"/>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depreciation expense and amortization expense; </w:t>
      </w:r>
      <w:r>
        <w:rPr>
          <w:rFonts w:ascii="Times New Roman" w:cs="Times New Roman" w:eastAsia="Times New Roman" w:hAnsi="Times New Roman"/>
          <w:sz w:val="20"/>
          <w:szCs w:val="20"/>
          <w:i w:val="1"/>
          <w:iCs w:val="1"/>
          <w:u w:val="single" w:color="auto"/>
          <w:color w:val="auto"/>
        </w:rPr>
        <w:t>plus</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items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non-cash item represents an accrual or reserve for potential cash items in any future period, (x) the Borrower may determine not to add back such non-cash item in the current Test Period and (y) to the extent the Borrower decides to add back such non-cash expense or charge, the cash payment in respect thereof in such future period will be subtracted from Consolidated Adjusted EBITDA in such future period), including the following: (A) non-cash expenses in connection with, or resulting from, stock option plans, employee benefit plans or agreements or post-employment benefit plans or agreements, or grants or sales of stock, stock appreciation or similar rights, stock options, restricted stock, preferred stock or other similar rights, (B) non-cash currency translation losses related to changes in currency exchange rates (including re-measurements of Indebtedness (including intercompany Indebtedness) and any net non-cash loss resulting from hedge agreements for currency exchange risk), (C) non-cash losses, expenses, charges or negative adjustments attributable to the movement in the mark-to-market valuation of hedge agreements or other derivative instruments, including the effect of FASB Accounting Standards Codification 815 and International Accounting Standard No. 9 and their respective related pronouncements and interpretations, (D) non-cash charges for deferred tax asset valuation allowances, (E) any non-cash impairment charge or asset write-off or write-down related to intangible assets (including goodwill), long-lived assets, and Investments in debt and equity securities, (F) any non-cash charges or losses resulting from any purchase accounting adjustment or any step-ups with respect to re-valuing assets and liabilities in connection with the Transactions or any Investments, and (G) all non-cash losses from Investments recorded using the equity method; </w:t>
      </w:r>
      <w:r>
        <w:rPr>
          <w:rFonts w:ascii="Times New Roman" w:cs="Times New Roman" w:eastAsia="Times New Roman" w:hAnsi="Times New Roman"/>
          <w:sz w:val="20"/>
          <w:szCs w:val="20"/>
          <w:i w:val="1"/>
          <w:iCs w:val="1"/>
          <w:u w:val="single" w:color="auto"/>
          <w:color w:val="auto"/>
        </w:rPr>
        <w:t>plus</w:t>
      </w:r>
    </w:p>
    <w:p>
      <w:pPr>
        <w:spacing w:after="0" w:line="186"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unusual, extraordinary or non-recurring items, whether or not classified as such under GAAP;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charges, costs, losses, expenses or reserves related to: (A) restructuring (including restructuring charges or reserves, whether or not classified as such under GAAP), severance, relocation, consolidation, integration or other similar items, (B) strategic initiatives, business optimization (including costs and expenses relating to business optimization programs) and new systems design and implementation, as well as consulting fees and any one-time expense relating to enhanced accounting function, (C) business or facilities (including greenfield facilities) start-up, opening, transition, consolidation, shut-down and closing, (D) signing, retention and completion bonuses, (E) severance, relocation or recruiting, (F) public company registration, listing, compliance, reporting and related expenses, (G) charges and expenses incurred in connection with litigation (including threatened litigation), any investigation or proceeding (or any threatened investigation or proceeding) by a regulatory, governmental or law enforcement body (including any attorney general), and</w:t>
      </w:r>
    </w:p>
    <w:p>
      <w:pPr>
        <w:spacing w:after="0" w:line="4" w:lineRule="exact"/>
        <w:rPr>
          <w:rFonts w:ascii="Times New Roman" w:cs="Times New Roman" w:eastAsia="Times New Roman" w:hAnsi="Times New Roman"/>
          <w:sz w:val="19"/>
          <w:szCs w:val="19"/>
          <w:color w:val="auto"/>
        </w:rPr>
      </w:pPr>
    </w:p>
    <w:p>
      <w:pPr>
        <w:ind w:left="700" w:hanging="315"/>
        <w:spacing w:after="0"/>
        <w:tabs>
          <w:tab w:leader="none" w:pos="7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incurred in connection with casualty events or asset sales outside the ordinary course of business; </w:t>
      </w:r>
      <w:r>
        <w:rPr>
          <w:rFonts w:ascii="Times New Roman" w:cs="Times New Roman" w:eastAsia="Times New Roman" w:hAnsi="Times New Roman"/>
          <w:sz w:val="20"/>
          <w:szCs w:val="20"/>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321310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02" w:name="page103"/>
    <w:bookmarkEnd w:id="102"/>
    <w:p>
      <w:pPr>
        <w:jc w:val="both"/>
        <w:ind w:left="380" w:firstLine="754"/>
        <w:spacing w:after="0" w:line="242" w:lineRule="auto"/>
        <w:tabs>
          <w:tab w:leader="none" w:pos="152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 costs, fees and expenses relating to the Transactions, (B) costs, fees and expenses (including diligence and integration costs) incurred in connection with (x) 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 (y) other transactions that are out of the ordinary course of business of such Person and its Restricted Subsidiaries (in each case, including transactions considered or proposed but not consummated), including equity issuances, Investments, acquisitions, dispositions, recapitalizations, mergers, option buyouts and the incurrence, modification or repayment of Indebtedness (including all consent fees, premium and other amounts payable in connection therewith) and (C) non-operating professional fees, costs and expenses; </w:t>
      </w:r>
      <w:r>
        <w:rPr>
          <w:rFonts w:ascii="Times New Roman" w:cs="Times New Roman" w:eastAsia="Times New Roman" w:hAnsi="Times New Roman"/>
          <w:sz w:val="20"/>
          <w:szCs w:val="20"/>
          <w:i w:val="1"/>
          <w:iCs w:val="1"/>
          <w:u w:val="single" w:color="auto"/>
          <w:color w:val="auto"/>
        </w:rPr>
        <w:t>plus</w:t>
      </w:r>
    </w:p>
    <w:p>
      <w:pPr>
        <w:spacing w:after="0" w:line="191"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91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items reducing Consolidated Net Income to the extent (A) covered by a binding indemnification or refunding obligation or insurance to the extent actually paid or reasonably expected to be paid, (B) paid or payable (directly or indirectly) by a third party that is not a Loan Party or a Restricted Subsidiary (except to the extent such payment gives rise to reimbursement obligations) or with the proceeds of a contribution to equity capital of such Person by a third party that is not a Loan Party or a Restricted Subsidiary or (C) such Person is, directly or indirectly, reimbursed for such item by a third party; </w:t>
      </w:r>
      <w:r>
        <w:rPr>
          <w:rFonts w:ascii="Times New Roman" w:cs="Times New Roman" w:eastAsia="Times New Roman" w:hAnsi="Times New Roman"/>
          <w:sz w:val="20"/>
          <w:szCs w:val="20"/>
          <w:i w:val="1"/>
          <w:iCs w:val="1"/>
          <w:u w:val="single" w:color="auto"/>
          <w:color w:val="auto"/>
        </w:rPr>
        <w:t>plus</w:t>
      </w:r>
    </w:p>
    <w:p>
      <w:pPr>
        <w:spacing w:after="0" w:line="182" w:lineRule="exact"/>
        <w:rPr>
          <w:rFonts w:ascii="Times New Roman" w:cs="Times New Roman" w:eastAsia="Times New Roman" w:hAnsi="Times New Roman"/>
          <w:sz w:val="20"/>
          <w:szCs w:val="20"/>
          <w:color w:val="auto"/>
        </w:rPr>
      </w:pPr>
    </w:p>
    <w:p>
      <w:pPr>
        <w:jc w:val="both"/>
        <w:ind w:left="380" w:right="20" w:firstLine="754"/>
        <w:spacing w:after="0" w:line="253" w:lineRule="auto"/>
        <w:tabs>
          <w:tab w:leader="none" w:pos="1551" w:val="left"/>
        </w:tabs>
        <w:numPr>
          <w:ilvl w:val="0"/>
          <w:numId w:val="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amount of management, monitoring, consulting and advisory fees (including termination fees) and related indemnities and expenses paid, payable or accrued in such Test Period to the extent permitted in such Test Period;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u w:val="single" w:color="auto"/>
          <w:color w:val="auto"/>
        </w:rPr>
      </w:pPr>
    </w:p>
    <w:p>
      <w:pPr>
        <w:jc w:val="both"/>
        <w:ind w:left="380" w:firstLine="754"/>
        <w:spacing w:after="0" w:line="253" w:lineRule="auto"/>
        <w:tabs>
          <w:tab w:leader="none" w:pos="152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effects of purchase accounting, fair value accounting or recapitalization accounting (including the effects of adjustments pushed down to such Person and its Subsidiaries) and the amortization, write-down or write-off of any such amount; </w:t>
      </w:r>
      <w:r>
        <w:rPr>
          <w:rFonts w:ascii="Times New Roman" w:cs="Times New Roman" w:eastAsia="Times New Roman" w:hAnsi="Times New Roman"/>
          <w:sz w:val="20"/>
          <w:szCs w:val="20"/>
          <w:i w:val="1"/>
          <w:iCs w:val="1"/>
          <w:u w:val="single" w:color="auto"/>
          <w:color w:val="auto"/>
        </w:rPr>
        <w:t>plus</w:t>
      </w:r>
    </w:p>
    <w:p>
      <w:pPr>
        <w:spacing w:after="0" w:line="172"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proceeds of business interruption insurance actually received;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ind w:left="380" w:right="20" w:firstLine="754"/>
        <w:spacing w:after="0" w:line="268" w:lineRule="auto"/>
        <w:tabs>
          <w:tab w:leader="none" w:pos="152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minority interest expense consisting of income attributable to Equity Interests held by third parties in any non-wholly-owned Restricted Subsidiary; </w:t>
      </w:r>
      <w:r>
        <w:rPr>
          <w:rFonts w:ascii="Times New Roman" w:cs="Times New Roman" w:eastAsia="Times New Roman" w:hAnsi="Times New Roman"/>
          <w:sz w:val="20"/>
          <w:szCs w:val="20"/>
          <w:i w:val="1"/>
          <w:iCs w:val="1"/>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91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charges, costs, expenses, accruals or reserves in connection with the rollover, acceleration or payout of Equity Interests held by officers or employees and all losses, charges and expenses related to payments made to holders of options or other derivative Equity Interests of such Person or any direct or indirect parent thereof in connection with, or as a result of, any distribution being made to equity holders of such Person or any direct or indirect parent thereof, including (A) payments made to compensate such holders as though they were equity holders at the time of, and entitled to share in, such distribution, and (B) all dividend equivalent rights owed pursuant to any compensation or equity arrangement;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91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charges and losses resulting from the payment or accrual of indemnification or refunding provisions, earn-outs and contingent consideration obligations, bonuses and other compensation paid to employees, directors or consultants, payments in respect of dissenting shares, and purchase price adjustments, in each case, made in connection with a permitted Investment or acquisition; </w:t>
      </w:r>
      <w:r>
        <w:rPr>
          <w:rFonts w:ascii="Times New Roman" w:cs="Times New Roman" w:eastAsia="Times New Roman" w:hAnsi="Times New Roman"/>
          <w:sz w:val="20"/>
          <w:szCs w:val="20"/>
          <w:i w:val="1"/>
          <w:iCs w:val="1"/>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losses from disposed or discontinued operations; </w:t>
      </w:r>
      <w:r>
        <w:rPr>
          <w:rFonts w:ascii="Times New Roman" w:cs="Times New Roman" w:eastAsia="Times New Roman" w:hAnsi="Times New Roman"/>
          <w:sz w:val="20"/>
          <w:szCs w:val="20"/>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337820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-3168015</wp:posOffset>
            </wp:positionV>
            <wp:extent cx="2508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03" w:name="page104"/>
    <w:bookmarkEnd w:id="103"/>
    <w:p>
      <w:pPr>
        <w:jc w:val="both"/>
        <w:ind w:left="1500" w:firstLine="754"/>
        <w:spacing w:after="0" w:line="244" w:lineRule="auto"/>
        <w:tabs>
          <w:tab w:leader="none" w:pos="303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costs or expenses (including any payroll taxes) incurred by the Borrower or a Restricted Subsidiary in such Test Period pursuant to any management equity plan, profits interest or stock option plan or any other management or employee benefit plan or agreement (including (A) as a result of curtailments or modifications to pension and post-retirement employee benefit plans and (B) without limitation, compensation arrangements with holders of unvested options entered into in connection with the Specified Dividend up to $25,000,000) or any stock subscription, stockholders or partnership agreement and any payments in the nature of compensation or expense reimbursement made to independent board members;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303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loss or discount on sale of receivables, Securitization Assets and related assets to any Securitization Subsidiary in connection with a Qualified Securitization Financing; </w:t>
      </w:r>
      <w:r>
        <w:rPr>
          <w:rFonts w:ascii="Times New Roman" w:cs="Times New Roman" w:eastAsia="Times New Roman" w:hAnsi="Times New Roman"/>
          <w:sz w:val="20"/>
          <w:szCs w:val="20"/>
          <w:i w:val="1"/>
          <w:iCs w:val="1"/>
          <w:u w:val="single" w:color="auto"/>
          <w:color w:val="auto"/>
        </w:rPr>
        <w:t>plus</w:t>
      </w:r>
    </w:p>
    <w:p>
      <w:pPr>
        <w:spacing w:after="0" w:line="156"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effect of a change in accounting principles;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jc w:val="both"/>
        <w:ind w:left="1500" w:right="20" w:firstLine="754"/>
        <w:spacing w:after="0" w:line="249" w:lineRule="auto"/>
        <w:tabs>
          <w:tab w:leader="none" w:pos="303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reflected in (A) the financial model for the Borrower and its Subsidiaries prepared by Sponsor and delivered to the Lead Arrangers prior to May 14, 2019 or (B) any quality of earnings report prepared by a nationally recognized accounting firm and furnished to the Administrative Agent, in connection with the Transactions or a Permitted Acquisition or other Investment consummated after the Closing Date;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“run rate” cost savings, operating expense reductions and other cost synergies that are projected by the Borrower in good faith to result from actions taken, committed to be taken or expected to be taken no later than 24 months after the end of such Test Period (which amounts will be determined by the Borrower in good faith and calculated on a pro forma basis as though such amounts had been realized on the first day of the Test Period for which Consolidated Adjusted EBITDA is being determined), net of the amount of actual benefits realized during such Test Period from such 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good faith judgment of the Borrower such cost savings are reasonably identifiable, reasonably anticipated to be realized and factually supportable (it being agreed such determination need not be made in compliance with Regulation S-X or other applicable securities law); and</w:t>
      </w:r>
    </w:p>
    <w:p>
      <w:pPr>
        <w:spacing w:after="0" w:line="186"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without duplication, by the following items of such Person and its Restricted Subsidiaries for such Test Period determined on a consolidated basis in accordance with GAAP:</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items increasing Consolidated Net Income, excluding any gains that represent the reversal of any accrual of, or cash reserve for, anticipated cash charges in any prior period (other than such cash charges that have been added back to Consolidated Net Income in calculating Consolidated Adjusted EBITDA in accordance with this definition); </w:t>
      </w:r>
      <w:r>
        <w:rPr>
          <w:rFonts w:ascii="Times New Roman" w:cs="Times New Roman" w:eastAsia="Times New Roman" w:hAnsi="Times New Roman"/>
          <w:sz w:val="20"/>
          <w:szCs w:val="20"/>
          <w:i w:val="1"/>
          <w:iCs w:val="1"/>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net income from disposed or discontinued operations;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unusual, extraordinary or non-recurring gains.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Consolidated Adjusted EBITDA (a) for the fiscal quarter ended June 30, 2018, will be deemed to be $41,067,000, (b) for the fiscal quarter ended September 30, 2018, will be deemed to be $36,538,000, (c) for the fiscal quarter ended December 31, 2018, will be deemed to be $31,088,000,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4" w:name="page105"/>
    <w:bookmarkEnd w:id="104"/>
    <w:p>
      <w:pPr>
        <w:jc w:val="both"/>
        <w:spacing w:after="0" w:line="268" w:lineRule="auto"/>
        <w:rPr>
          <w:sz w:val="20"/>
          <w:szCs w:val="20"/>
          <w:color w:val="auto"/>
        </w:rPr>
      </w:pPr>
      <w:r>
        <w:rPr>
          <w:rFonts w:ascii="Times New Roman" w:cs="Times New Roman" w:eastAsia="Times New Roman" w:hAnsi="Times New Roman"/>
          <w:sz w:val="20"/>
          <w:szCs w:val="20"/>
          <w:color w:val="auto"/>
        </w:rPr>
        <w:t>and (d) for the fiscal quarter ended March 31, 2018, will be deemed to be $41,800,000, as such amounts may be adjusted pursuant to the foregoing provisions and other pro forma adjustments permitted by this Agreement.</w:t>
      </w:r>
    </w:p>
    <w:p>
      <w:pPr>
        <w:spacing w:after="0" w:line="15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Current Assets</w:t>
      </w:r>
      <w:r>
        <w:rPr>
          <w:rFonts w:ascii="Times New Roman" w:cs="Times New Roman" w:eastAsia="Times New Roman" w:hAnsi="Times New Roman"/>
          <w:sz w:val="20"/>
          <w:szCs w:val="20"/>
          <w:color w:val="auto"/>
        </w:rPr>
        <w:t>” means, as of any date of determination, the total assets of the Borrower and the Restricted Subsidiaries on a consolidated basis that may properly be classified as current assets in conformity with GAAP, excluding cash and Cash Equivalents, amounts related to current or deferred taxes based on income or profits,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Transactions or any consummated acquisition.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Current Liabilities</w:t>
      </w:r>
      <w:r>
        <w:rPr>
          <w:rFonts w:ascii="Times New Roman" w:cs="Times New Roman" w:eastAsia="Times New Roman" w:hAnsi="Times New Roman"/>
          <w:sz w:val="20"/>
          <w:szCs w:val="20"/>
          <w:color w:val="auto"/>
        </w:rPr>
        <w:t>” means, as at any date of determination, the total liabilities of the Borrower and the Restricted Subsidiaries on a consolidated basis that may properly be classified as current liabilities in conformity with GAAP, excluding (a) the current portion of any Funded Debt, (b) the current portion of interest, (c) accruals for current or deferred taxes based on income or profits, (d) accruals of any costs or expenses related to restructuring reserves, (e) Revolving Loans, Swing Line Loans and Letter of Credit Obligations or any other revolving facility, (f) the current portion of any Capitalized Lease Obligation, (g) deferred revenue arising from cash receipts that are earmarked for specific projects, (h) liabilities in respect of unpaid earn-outs and (i) the current portion of any other long-term liabilities, and, furthermore, excluding the effects of adjustments pursuant to GAAP resulting from the application of recapitalization accounting or purchase accounting, as the case may be, in relation to the Transaction or any consummated acquisition.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Interest Expense</w:t>
      </w:r>
      <w:r>
        <w:rPr>
          <w:rFonts w:ascii="Times New Roman" w:cs="Times New Roman" w:eastAsia="Times New Roman" w:hAnsi="Times New Roman"/>
          <w:sz w:val="20"/>
          <w:szCs w:val="20"/>
          <w:color w:val="auto"/>
        </w:rPr>
        <w:t>” means, for any Test Period, the sum of:</w:t>
      </w:r>
    </w:p>
    <w:p>
      <w:pPr>
        <w:spacing w:after="0" w:line="219" w:lineRule="exact"/>
        <w:rPr>
          <w:sz w:val="20"/>
          <w:szCs w:val="20"/>
          <w:color w:val="auto"/>
        </w:rPr>
      </w:pPr>
    </w:p>
    <w:p>
      <w:pPr>
        <w:jc w:val="both"/>
        <w:ind w:left="760" w:firstLine="745"/>
        <w:spacing w:after="0" w:line="249" w:lineRule="auto"/>
        <w:tabs>
          <w:tab w:leader="none" w:pos="190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interest expense resulting solely from the amortization of original issue discount from the issuance of Indebtedness of the Borrower and the Restricted Subsidiaries (excluding Indebtedness borrowed under this Agreement and the Second Lien Credit Agreement in connection with the Transactions) at less than par,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pay-in-kind interest expense of the Borrower and the Restricted Subsidiaries payable pursuant to the terms of the agreements governing such debt for borrowed money;</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but excluding, for the avoidance of doubt, (i) amortization of deferred financing costs, debt issuance costs, commissions, fees and expenses and any other amounts of non-cash interest other than referred to in clause (b)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make whole premium and other fees and charges (including any interest expense) incurred in connection with any permitted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5" w:name="page106"/>
    <w:bookmarkEnd w:id="105"/>
    <w:p>
      <w:pPr>
        <w:jc w:val="both"/>
        <w:spacing w:after="0" w:line="244" w:lineRule="auto"/>
        <w:rPr>
          <w:sz w:val="20"/>
          <w:szCs w:val="20"/>
          <w:color w:val="auto"/>
        </w:rPr>
      </w:pPr>
      <w:r>
        <w:rPr>
          <w:rFonts w:ascii="Times New Roman" w:cs="Times New Roman" w:eastAsia="Times New Roman" w:hAnsi="Times New Roman"/>
          <w:sz w:val="20"/>
          <w:szCs w:val="20"/>
          <w:color w:val="auto"/>
        </w:rPr>
        <w:t>and interest relating to taxes, (viii) 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and (xi) any interest expense attributable to the exercise of appraisal rights and the settlement of any claims or actions (whether actual, contingent or potential) with respect thereto and with respect to any Permitted Acquisition or similar Investment permitted hereunder, all as calculated on a consolidated basis in accordance with GAAP. For the avoidance of doubt, interest expense shall be determined after giving effect to any net payments made or received by the Borrower and its Restricted Subsidiaries in respect of Swap Contracts relating to interest rate protection.</w:t>
      </w:r>
    </w:p>
    <w:p>
      <w:pPr>
        <w:spacing w:after="0" w:line="18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Debt</w:t>
      </w:r>
      <w:r>
        <w:rPr>
          <w:rFonts w:ascii="Times New Roman" w:cs="Times New Roman" w:eastAsia="Times New Roman" w:hAnsi="Times New Roman"/>
          <w:sz w:val="20"/>
          <w:szCs w:val="20"/>
          <w:color w:val="auto"/>
        </w:rPr>
        <w:t xml:space="preserve">” means, as of any date of determination, (a) Consolidated Total Debt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(b) the aggregate amount of cash and Cash Equivalents of the Borrower and the Restricted Subsidiaries as of such date that is not Restricted.</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Income</w:t>
      </w:r>
      <w:r>
        <w:rPr>
          <w:rFonts w:ascii="Times New Roman" w:cs="Times New Roman" w:eastAsia="Times New Roman" w:hAnsi="Times New Roman"/>
          <w:sz w:val="20"/>
          <w:szCs w:val="20"/>
          <w:color w:val="auto"/>
        </w:rPr>
        <w:t xml:space="preserve">” means, with respect to any Person for any Test Period, the Net Income of such Person and its Restricted Subsidiaries determined on a consolidated basis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there shall be excluded from such consolidated net income (to the extent otherwise included therein), without duplication:</w:t>
      </w:r>
    </w:p>
    <w:p>
      <w:pPr>
        <w:spacing w:after="0" w:line="174" w:lineRule="exact"/>
        <w:rPr>
          <w:sz w:val="20"/>
          <w:szCs w:val="20"/>
          <w:color w:val="auto"/>
        </w:rPr>
      </w:pPr>
    </w:p>
    <w:p>
      <w:pPr>
        <w:jc w:val="both"/>
        <w:ind w:left="760" w:firstLine="745"/>
        <w:spacing w:after="0" w:line="244"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Income for such Test Period of any Person that is not a Subsidiary, or is an Unrestricted Subsidiary, or that is accounted for by the equity method of accounting;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or any Restricted Subsidiary’s equity in the Net Income of such Person shall be included in the Consolidated Net Income of the Borrower for such Test Period up to the aggregate amount of dividends or distributions or other payments in respect of such equity that are actually paid in cash (or to the extent converted into cash) by such Person to the Borrower or a Restricted Subsidiary, in each case, in such Test Period, to the extent not already included therein (subject in the case of dividends, distributions or other payments in respect of such equity made to a Restricted Subsidiary to the limitations contained in clause (b) below);</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with respect to the calculation of Available Amount and Excess Cash Flow, the Net Income of any Subsidiary of such Person during such Test Period to the extent that the declaration or payment of dividends or similar distributions by such Subsidiary of that income is not permitted by operation of the terms of its Organization Documents or any agreement, instrument or requirement of Law applicable to such Subsidiary during such Test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Net Income of such Person shall be increased by the amount of dividends or distributions or other payments that are actually paid to such Person or its Restricted Subsidiaries in respect of such Test Period;</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spacing w:after="0" w:line="178"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and losses due solely to fluctuations in currency values and the related tax effects determined in accordance with GAAP for such Test Period;</w:t>
      </w:r>
    </w:p>
    <w:p>
      <w:pPr>
        <w:spacing w:after="0" w:line="160"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(or losses), including any impairment charge, resulting from any reappraisal, revaluation or write-up (or write-down) of assets during such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6" w:name="page107"/>
    <w:bookmarkEnd w:id="106"/>
    <w:p>
      <w:pPr>
        <w:jc w:val="both"/>
        <w:ind w:left="-360" w:firstLine="745"/>
        <w:spacing w:after="0" w:line="249"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unrealized gains and losses with respect to Hedge Agreements for such Test Period and the application of Accounting Standards Codification 815 (Derivatives and Hedging) and (ii) any after-tax effect of income (or losses) for such Test Period that result from the early extinguishment of (A) Indebtedness, (B) obligations under any Hedge Agreements or (C) other derivative instruments;</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non-recurring or unusual gain (or extraordinary, non-recurring or unusual loss), together with any related provision for taxes on any such gain (or the tax effect of any such loss), recorded or recognized by such Person or any of its Restricted Subsidiaries during such Test Period;</w:t>
      </w:r>
    </w:p>
    <w:p>
      <w:pPr>
        <w:spacing w:after="0" w:line="176"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 and changes as a result of the adoption or modification of accounting policies during such Test Period;</w:t>
      </w:r>
    </w:p>
    <w:p>
      <w:pPr>
        <w:spacing w:after="0" w:line="160"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after-tax gains (or losses) on disposal of disposed, abandoned or discontinued operations for such Test Period;</w:t>
      </w:r>
    </w:p>
    <w:p>
      <w:pPr>
        <w:spacing w:after="0" w:line="214"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spacing w:after="0" w:line="182"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Transaction Expenses incurred during such Test Period and (ii) any fees and expenses incurred during such Test Period, or any amortization thereof for such Test Period, in connection with any acquisition (other than the Transactions), Investment, disposition, issuance or repayment of Indebtedness, issuance of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spacing w:after="0" w:line="182"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expenses, charges or losses for such Test Period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314325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07" w:name="page108"/>
    <w:bookmarkEnd w:id="107"/>
    <w:p>
      <w:pPr>
        <w:jc w:val="both"/>
        <w:ind w:left="760" w:firstLine="745"/>
        <w:spacing w:after="0" w:line="249" w:lineRule="auto"/>
        <w:tabs>
          <w:tab w:leader="none" w:pos="190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covered by insurance and actually reimbursed, or, so long as the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Secured Net Debt</w:t>
      </w:r>
      <w:r>
        <w:rPr>
          <w:rFonts w:ascii="Times New Roman" w:cs="Times New Roman" w:eastAsia="Times New Roman" w:hAnsi="Times New Roman"/>
          <w:sz w:val="20"/>
          <w:szCs w:val="20"/>
          <w:color w:val="auto"/>
        </w:rPr>
        <w:t xml:space="preserve">” means, as of any date of determination, (a) Consolidated Total Debt outstanding under the Facilities, the Second Lien Credit Documents and any secured refinancing indebtedness or other debt that is secured by a Lien on any asset or property of the Borrower or any Subsidiary Guarantor outstanding as of such date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(b) the aggregate amount of cash and Cash Equivalents of the Borrower and the Restricted Subsidiaries as of such date that is not Restricted.</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Debt</w:t>
      </w:r>
      <w:r>
        <w:rPr>
          <w:rFonts w:ascii="Times New Roman" w:cs="Times New Roman" w:eastAsia="Times New Roman" w:hAnsi="Times New Roman"/>
          <w:sz w:val="20"/>
          <w:szCs w:val="20"/>
          <w:color w:val="auto"/>
        </w:rPr>
        <w:t xml:space="preserve">” means, as of any date of determination, the aggregate principal amount of Indebtedness of the Borrower and the Restricted Subsidiaries outstanding on such date, determined on a consolidated basis and as reflected on the face of a balance sheet prepared in accordance with GAAP (but excluding the effects of the application of purchase accounting in connection with the Transactions, any Permitted Acquisition or any other Investment permitted hereunder), consisting of Indebtedness for borrowed money, unreimbursed obligations in respect of drawn letters of credit (to the extent not cash collateralized), obligations in respect of Capitalized Leases and purchase money obligations and debt obligations evidenced by promissory notes or similar instruments;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Consolidated Total Debt will not include Indebtedness in respect of (a) any Qualified Securitization Financing, (b) any letter of credit, except to the extent of unreimbursed obligations in respect of drawn letters of credit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unreimbursed amount under commercial letters of credit will not be counted as Consolidated Total Debt until three Business Days after such amount is drawn (it being understood that any borrowing, whether automatic or otherwise, to fund such reimbursement will be counted)), (c) obligations under Hedge Agreements and (d) any lease obligations other than in respect of Capitalized Leases.</w:t>
      </w:r>
    </w:p>
    <w:p>
      <w:pPr>
        <w:spacing w:after="0" w:line="186"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Working Capital</w:t>
      </w:r>
      <w:r>
        <w:rPr>
          <w:rFonts w:ascii="Times New Roman" w:cs="Times New Roman" w:eastAsia="Times New Roman" w:hAnsi="Times New Roman"/>
          <w:sz w:val="20"/>
          <w:szCs w:val="20"/>
          <w:color w:val="auto"/>
        </w:rPr>
        <w:t xml:space="preserve">” means, as of any date of determination, the excess of Consolidated Current Assets </w:t>
      </w:r>
      <w:r>
        <w:rPr>
          <w:rFonts w:ascii="Times New Roman" w:cs="Times New Roman" w:eastAsia="Times New Roman" w:hAnsi="Times New Roman"/>
          <w:sz w:val="20"/>
          <w:szCs w:val="20"/>
          <w:i w:val="1"/>
          <w:iCs w:val="1"/>
          <w:u w:val="single" w:color="auto"/>
          <w:color w:val="auto"/>
        </w:rPr>
        <w:t>over</w:t>
      </w:r>
      <w:r>
        <w:rPr>
          <w:rFonts w:ascii="Times New Roman" w:cs="Times New Roman" w:eastAsia="Times New Roman" w:hAnsi="Times New Roman"/>
          <w:sz w:val="20"/>
          <w:szCs w:val="20"/>
          <w:color w:val="auto"/>
        </w:rPr>
        <w:t xml:space="preserve"> Consolidated Current Liabilities.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 Consideration</w:t>
      </w:r>
      <w:r>
        <w:rPr>
          <w:rFonts w:ascii="Times New Roman" w:cs="Times New Roman" w:eastAsia="Times New Roman" w:hAnsi="Times New Roman"/>
          <w:sz w:val="20"/>
          <w:szCs w:val="20"/>
          <w:color w:val="auto"/>
        </w:rPr>
        <w:t>” has the meaning specified in the definition of “Excess Cash Flow.”</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has the meaning specified in the definition of “Affiliate.”</w:t>
      </w:r>
    </w:p>
    <w:p>
      <w:pPr>
        <w:spacing w:after="0" w:line="21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Contribution Indebtedness</w:t>
      </w:r>
      <w:r>
        <w:rPr>
          <w:rFonts w:ascii="Times New Roman" w:cs="Times New Roman" w:eastAsia="Times New Roman" w:hAnsi="Times New Roman"/>
          <w:sz w:val="20"/>
          <w:szCs w:val="20"/>
          <w:color w:val="auto"/>
        </w:rPr>
        <w:t xml:space="preserve">” means Indebtedness in an aggregate principal amount at the time of the incurrence thereof not to exceed an amount equal to 200% of the amount of (i) any (A) new public or private Permitted Equity Issuances made in return for cash or other assets and cash and Cash Equivalents to the Borrower (with non-cash contributions and Permitted Equity Issuances in exchange for assets other than cash measured at the fair market value of such non-cash contributions and Permitted Equity Issuances at the time they were made) or (B) Net Cash Proceeds from Permitted Equity Issuances or the fair market value of other assets received by Holdings and contributed to the Borrower as equity solely in exchange for common Equity Interests of the Borrower during the period from and including the Business Day immediately following the Closing Date through and including the Reference Date that are Not Otherwise Applied and (ii) available dollar-based capacity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to make Restricted Payments which for the avoidance of doubt shall reduce such dollar-based capacity under the relevant clause of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08" w:name="page109"/>
    <w:bookmarkEnd w:id="108"/>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Conversion/Continuation Notice</w:t>
      </w:r>
      <w:r>
        <w:rPr>
          <w:rFonts w:ascii="Times New Roman" w:cs="Times New Roman" w:eastAsia="Times New Roman" w:hAnsi="Times New Roman"/>
          <w:sz w:val="20"/>
          <w:szCs w:val="20"/>
          <w:color w:val="auto"/>
        </w:rPr>
        <w:t xml:space="preserve">” means a notice of (a) a conversion of Loans from one Type to another or (b) a continuation of Eurocurrency Rate Loans or SOFR Loans, as applicable,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A-3</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Agreement Refinancing Indebtedness</w:t>
      </w:r>
      <w:r>
        <w:rPr>
          <w:rFonts w:ascii="Times New Roman" w:cs="Times New Roman" w:eastAsia="Times New Roman" w:hAnsi="Times New Roman"/>
          <w:sz w:val="20"/>
          <w:szCs w:val="20"/>
          <w:color w:val="auto"/>
        </w:rPr>
        <w:t xml:space="preserve">” means secured or unsecured Indebtedness of the Borrower in the form of term loans or notes or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57" w:lineRule="exact"/>
        <w:rPr>
          <w:sz w:val="20"/>
          <w:szCs w:val="20"/>
          <w:color w:val="auto"/>
        </w:rPr>
      </w:pPr>
    </w:p>
    <w:p>
      <w:pPr>
        <w:jc w:val="both"/>
        <w:ind w:left="760" w:firstLine="745"/>
        <w:spacing w:after="0" w:line="253"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incurred or otherwise obtained (including by means of the extension or renewal of existing Indebtedness) in exchange for, or to extend, renew, replace, or refinance, in whole or part, Indebtedness that is either (i) Term Loans, (ii) Revolving Commitments or (iii) other Credit Agreement Refinancing Indebtedness (“</w:t>
      </w:r>
      <w:r>
        <w:rPr>
          <w:rFonts w:ascii="Times New Roman" w:cs="Times New Roman" w:eastAsia="Times New Roman" w:hAnsi="Times New Roman"/>
          <w:sz w:val="20"/>
          <w:szCs w:val="20"/>
          <w:b w:val="1"/>
          <w:bCs w:val="1"/>
          <w:color w:val="auto"/>
        </w:rPr>
        <w:t>Refinanced Debt</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 an original aggregate principal amount not greater than the principal amount of the Refinanced Debt being exchanged, extended, renewed, replaced or refinanced (plus (i) the amount of all unpaid, accrued, or capitalized interest, penalties, premiums (including tender premiums) and other amounts payable with respect to the Refinanced Debt and (ii) underwriting discounts, fees, commissions, costs, expenses and other amounts payable with respect to such Credit Agreement Refinancing Indebtedness);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Weighted Average Life to Maturity of such Indebtedness is equal to or longer than the remaining Weighted Average Life to Maturity of the Refinanced Debt, and (ii) the final maturity date of such Credit Agreement Refinancing Indebtedness may not be earlier than the final maturity date of the Refinanced Debt;</w:t>
      </w:r>
    </w:p>
    <w:p>
      <w:pPr>
        <w:spacing w:after="0" w:line="176" w:lineRule="exact"/>
        <w:rPr>
          <w:rFonts w:ascii="Times New Roman" w:cs="Times New Roman" w:eastAsia="Times New Roman" w:hAnsi="Times New Roman"/>
          <w:sz w:val="20"/>
          <w:szCs w:val="20"/>
          <w:color w:val="auto"/>
        </w:rPr>
      </w:pPr>
    </w:p>
    <w:p>
      <w:pPr>
        <w:ind w:left="760" w:right="60" w:firstLine="745"/>
        <w:spacing w:after="0" w:line="268"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prepayments (and with respect to any Credit Agreement Refinancing Indebtedness comprising revolving loans, to the extent commitments thereunder are permanently terminated) of,</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 Agreement Refinancing Indebtedness that comprises junior lien or unsecured notes or loans may not be made except to the extent that prepayments are (A) permitted hereunder and (B) to the extent required hereunder or pursuant to the terms of any Credit Agreement Refinancing Indebtedness that is Pari Passu Lien Debt, first made or offered to the Loans and any such Credit Agreement Refinancing Indebtedness that is Pari Passu Lien Debt;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0" w:lineRule="auto"/>
        <w:tabs>
          <w:tab w:leader="none" w:pos="264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Agreement Refinancing Indebtedness that is Pari Passu Lien Debt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with any corresponding mandatory prepayment of the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this clause (ii) will not prohibit any repayment of such Credit Agreement Refinancing Indebtedness at maturity or with the proceeds of other Credit Agreement Refinancing Indebtedness;</w:t>
      </w:r>
    </w:p>
    <w:p>
      <w:pPr>
        <w:spacing w:after="0" w:line="178"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not guaranteed by any Subsidiary Loan Party other than a Subsidiary Guarantor (including any Subsidiary that becomes a Subsidiary Guarantor in connection therewith); and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secured:</w:t>
      </w:r>
    </w:p>
    <w:p>
      <w:pPr>
        <w:spacing w:after="0" w:line="214" w:lineRule="exact"/>
        <w:rPr>
          <w:rFonts w:ascii="Times New Roman" w:cs="Times New Roman" w:eastAsia="Times New Roman" w:hAnsi="Times New Roman"/>
          <w:sz w:val="20"/>
          <w:szCs w:val="20"/>
          <w:color w:val="auto"/>
        </w:rPr>
      </w:pPr>
    </w:p>
    <w:p>
      <w:pPr>
        <w:jc w:val="both"/>
        <w:ind w:left="1500" w:firstLine="754"/>
        <w:spacing w:after="0" w:line="273" w:lineRule="auto"/>
        <w:tabs>
          <w:tab w:leader="none" w:pos="2644"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is not secured by a Lien on any assets or property of a Loan Party that does not constitute Collateral (except (1) customary cash collateral in favor of an agent, letter of credit issuer or similar “fronting” lender, (2) Liens on property or assets applicable only to periods after the Latest Maturity Date of the Term Loans at the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9" w:name="page110"/>
    <w:bookmarkEnd w:id="109"/>
    <w:p>
      <w:pPr>
        <w:ind w:left="1500" w:right="20"/>
        <w:spacing w:after="0" w:line="268" w:lineRule="auto"/>
        <w:rPr>
          <w:sz w:val="20"/>
          <w:szCs w:val="20"/>
          <w:color w:val="auto"/>
        </w:rPr>
      </w:pPr>
      <w:r>
        <w:rPr>
          <w:rFonts w:ascii="Times New Roman" w:cs="Times New Roman" w:eastAsia="Times New Roman" w:hAnsi="Times New Roman"/>
          <w:sz w:val="20"/>
          <w:szCs w:val="20"/>
          <w:color w:val="auto"/>
        </w:rPr>
        <w:t>incurrence and (3) any Liens on property or assets to the extent that a Lien on such property or asset is also added for the benefit of the Lenders under the Term Loans);</w:t>
      </w:r>
    </w:p>
    <w:p>
      <w:pPr>
        <w:spacing w:after="0" w:line="161" w:lineRule="exact"/>
        <w:rPr>
          <w:sz w:val="20"/>
          <w:szCs w:val="20"/>
          <w:color w:val="auto"/>
        </w:rPr>
      </w:pPr>
    </w:p>
    <w:p>
      <w:pPr>
        <w:jc w:val="both"/>
        <w:ind w:left="1500" w:firstLine="754"/>
        <w:spacing w:after="0" w:line="249" w:lineRule="auto"/>
        <w:tabs>
          <w:tab w:leader="none" w:pos="26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Debt Representative acting on behalf of the holders of such Indebtedness has become party to, or is otherwise subject to the provisions of, (A) if such Indebtedness is Pari Passu Lien Debt, an Equal Priority Intercreditor Agreement or (B) if such Indebtedness is Junior Lien Debt, the Closing Date Intercreditor Agreement or another Junior Lien Intercreditor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Agreement Refinancing Indebtedness will be deemed to include any Registered Equivalent Notes issued in exchange therefor.</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Cure Expiration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SOFR</w:t>
      </w:r>
      <w:r>
        <w:rPr>
          <w:rFonts w:ascii="Times New Roman" w:cs="Times New Roman" w:eastAsia="Times New Roman" w:hAnsi="Times New Roman"/>
          <w:sz w:val="20"/>
          <w:szCs w:val="20"/>
          <w:color w:val="auto"/>
        </w:rPr>
        <w:t xml:space="preserve">” 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Representative</w:t>
      </w:r>
      <w:r>
        <w:rPr>
          <w:rFonts w:ascii="Times New Roman" w:cs="Times New Roman" w:eastAsia="Times New Roman" w:hAnsi="Times New Roman"/>
          <w:sz w:val="20"/>
          <w:szCs w:val="20"/>
          <w:color w:val="auto"/>
        </w:rPr>
        <w:t xml:space="preserve">” means, with respect to any series of Indebtedness secured by a Lien permitted under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(kk)</w:t>
      </w:r>
      <w:r>
        <w:rPr>
          <w:rFonts w:ascii="Times New Roman" w:cs="Times New Roman" w:eastAsia="Times New Roman" w:hAnsi="Times New Roman"/>
          <w:sz w:val="20"/>
          <w:szCs w:val="20"/>
          <w:color w:val="auto"/>
        </w:rPr>
        <w:t>, Incremental Equivalent Debt, Permitted Pari Passu Secured Refinancing or Permitted Junior Secured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0"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xml:space="preserve">” means an interest rate equal to (a) the Base Rate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(b) the Applicable Rate applicable to Base Rate Loans that are Revolving Loans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(c) 2.00%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cs="Times New Roman" w:eastAsia="Times New Roman" w:hAnsi="Times New Roman"/>
          <w:sz w:val="20"/>
          <w:szCs w:val="20"/>
          <w:u w:val="single" w:color="auto"/>
          <w:color w:val="auto"/>
        </w:rPr>
        <w:t>Section 2.05(c)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2.00%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in each case, to the fullest extent permitted by applicable Laws.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any Lender that,</w:t>
      </w:r>
    </w:p>
    <w:p>
      <w:pPr>
        <w:spacing w:after="0" w:line="219" w:lineRule="exact"/>
        <w:rPr>
          <w:sz w:val="20"/>
          <w:szCs w:val="20"/>
          <w:color w:val="auto"/>
        </w:rPr>
      </w:pPr>
    </w:p>
    <w:p>
      <w:pPr>
        <w:jc w:val="both"/>
        <w:ind w:left="760" w:firstLine="745"/>
        <w:spacing w:after="0" w:line="245" w:lineRule="auto"/>
        <w:tabs>
          <w:tab w:leader="none" w:pos="19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failed to (i) fund all or any portion of its Loans, including participations in respect of Letters of Credit or Swing Line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Swing Line Lender, the Issuing Banks or any other Lender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0" w:name="page111"/>
    <w:bookmarkEnd w:id="110"/>
    <w:p>
      <w:pPr>
        <w:ind w:left="760"/>
        <w:spacing w:after="0" w:line="268" w:lineRule="auto"/>
        <w:rPr>
          <w:sz w:val="20"/>
          <w:szCs w:val="20"/>
          <w:color w:val="auto"/>
        </w:rPr>
      </w:pPr>
      <w:r>
        <w:rPr>
          <w:rFonts w:ascii="Times New Roman" w:cs="Times New Roman" w:eastAsia="Times New Roman" w:hAnsi="Times New Roman"/>
          <w:sz w:val="20"/>
          <w:szCs w:val="20"/>
          <w:color w:val="auto"/>
        </w:rPr>
        <w:t>amount required to be paid by it hereunder (including in respect of its participation in Letters of Credit or Swing Line Loans) within two Business Days of the date when due,</w:t>
      </w:r>
    </w:p>
    <w:p>
      <w:pPr>
        <w:spacing w:after="0" w:line="161" w:lineRule="exact"/>
        <w:rPr>
          <w:sz w:val="20"/>
          <w:szCs w:val="20"/>
          <w:color w:val="auto"/>
        </w:rPr>
      </w:pPr>
    </w:p>
    <w:p>
      <w:pPr>
        <w:jc w:val="both"/>
        <w:ind w:left="760" w:firstLine="745"/>
        <w:spacing w:after="0" w:line="246" w:lineRule="auto"/>
        <w:tabs>
          <w:tab w:leader="none" w:pos="19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the Borrower, the Administrative Agent, the Swing Line Lender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regulatory authority acting in such a capacity or the like has been appointed for such Lender or its direct or indirect parent company, or such Lender or its direct or indirect parent company has taken any action in furtherance of or indicating its consent to or acquiescence in any such proceeding or appointment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Any determination by the Administrative Agent that a Lender is a Defaulting Lender under clauses (a) through (d) above shall be conclusive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upon delivery of written notice of such determination to the Borrower, the Swing Line Lender, the Issuing Banks and each Lender.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Delayed Draw Closing Date</w:t>
      </w:r>
      <w:r>
        <w:rPr>
          <w:rFonts w:ascii="Times New Roman" w:cs="Times New Roman" w:eastAsia="Times New Roman" w:hAnsi="Times New Roman"/>
          <w:sz w:val="19"/>
          <w:szCs w:val="19"/>
          <w:color w:val="auto"/>
        </w:rPr>
        <w:t xml:space="preserve">” means the date of any Borrowing of Delayed Draw Term Loans in accordance with </w:t>
      </w:r>
      <w:r>
        <w:rPr>
          <w:rFonts w:ascii="Times New Roman" w:cs="Times New Roman" w:eastAsia="Times New Roman" w:hAnsi="Times New Roman"/>
          <w:sz w:val="19"/>
          <w:szCs w:val="19"/>
          <w:u w:val="single" w:color="auto"/>
          <w:color w:val="auto"/>
        </w:rPr>
        <w:t>Sections 2.01(a)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4.03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Delayed Draw Commitment</w:t>
      </w:r>
      <w:r>
        <w:rPr>
          <w:rFonts w:ascii="Times New Roman" w:cs="Times New Roman" w:eastAsia="Times New Roman" w:hAnsi="Times New Roman"/>
          <w:sz w:val="20"/>
          <w:szCs w:val="20"/>
          <w:color w:val="auto"/>
        </w:rPr>
        <w:t xml:space="preserve">” means, as to each Lender, its obligation to make a Delayed Draw Term Loan to the Borrower hereunder during the Delayed Draw Commitment Period, expressed as an amount representing the maximum principal amount of the Delayed Draw Term Loans to be made by such Lender under this Agreement, as such commitment may be (a) automatically reduced to $0 on the Delayed Draw Commitment Termination Date, (b) reduced from time to time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and (c) reduced or increased from time to time pursuant to (i) assignments by or to such Lender pursuant to an Assignment and Assumption, (ii) a Refinancing Amendment or (iii) an Extension. The initial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each Lender’s Delayed Draw Commitment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“Delayed Draw Commitment” or, otherwise, in the Assignment and Assumption or Refinancing Amendment pursuant to which such Lender shall have assumed its Delayed Draw Commitment, as the case may be. The initial aggregate amount of the Delayed Draw Commitments is $40,000,000.</w:t>
      </w:r>
    </w:p>
    <w:p>
      <w:pPr>
        <w:spacing w:after="0" w:line="17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Delayed Draw Commitment Period</w:t>
      </w:r>
      <w:r>
        <w:rPr>
          <w:rFonts w:ascii="Times New Roman" w:cs="Times New Roman" w:eastAsia="Times New Roman" w:hAnsi="Times New Roman"/>
          <w:sz w:val="20"/>
          <w:szCs w:val="20"/>
          <w:color w:val="auto"/>
        </w:rPr>
        <w:t>” means the period from the Closing Date to and including the Delayed Draw Commitment Termination Date.</w:t>
      </w:r>
    </w:p>
    <w:p>
      <w:pPr>
        <w:spacing w:after="0" w:line="15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Delayed Draw Commitment Termination Date</w:t>
      </w:r>
      <w:r>
        <w:rPr>
          <w:rFonts w:ascii="Times New Roman" w:cs="Times New Roman" w:eastAsia="Times New Roman" w:hAnsi="Times New Roman"/>
          <w:sz w:val="19"/>
          <w:szCs w:val="19"/>
          <w:color w:val="auto"/>
        </w:rPr>
        <w:t>” means the earliest to occur of (i) 5:00 p.m. New York City time on the date that is 24 months after the Closing Date (at which date and time all unfunded Delayed Draw Commitments shall automatically be reduced to $0),</w:t>
      </w:r>
    </w:p>
    <w:p>
      <w:pPr>
        <w:jc w:val="both"/>
        <w:ind w:firstLine="8"/>
        <w:spacing w:after="0" w:line="242" w:lineRule="auto"/>
        <w:tabs>
          <w:tab w:leader="none" w:pos="30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on which all Delayed Draw Commitments then outstanding have been funded in one or more Borrowings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 xml:space="preserve"> and (iii) the date on which all unfunded Delayed Draw Commitments have been reduced to $0 pursuant to </w:t>
      </w:r>
      <w:r>
        <w:rPr>
          <w:rFonts w:ascii="Times New Roman" w:cs="Times New Roman" w:eastAsia="Times New Roman" w:hAnsi="Times New Roman"/>
          <w:sz w:val="20"/>
          <w:szCs w:val="20"/>
          <w:u w:val="single" w:color="auto"/>
          <w:color w:val="auto"/>
        </w:rPr>
        <w:t>Section 2.08(c)</w:t>
      </w:r>
      <w:r>
        <w:rPr>
          <w:rFonts w:ascii="Times New Roman" w:cs="Times New Roman" w:eastAsia="Times New Roman" w:hAnsi="Times New Roman"/>
          <w:sz w:val="20"/>
          <w:szCs w:val="20"/>
          <w:color w:val="auto"/>
        </w:rPr>
        <w:t xml:space="preserve"> or terminated by the Borrower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Delayed Draw Term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Delayed Draw Ticking Fee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2.11(h)</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Delayed Draw Upfront Fee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Designated Jurisdiction</w:t>
      </w:r>
      <w:r>
        <w:rPr>
          <w:rFonts w:ascii="Times New Roman" w:cs="Times New Roman" w:eastAsia="Times New Roman" w:hAnsi="Times New Roman"/>
          <w:sz w:val="19"/>
          <w:szCs w:val="19"/>
          <w:color w:val="auto"/>
        </w:rPr>
        <w:t>” means any country or territory to the extent that such country or territory is the subject of any Sanctions.</w:t>
      </w:r>
    </w:p>
    <w:p>
      <w:pPr>
        <w:spacing w:after="0" w:line="22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Non-Cash Consideration</w:t>
      </w:r>
      <w:r>
        <w:rPr>
          <w:rFonts w:ascii="Times New Roman" w:cs="Times New Roman" w:eastAsia="Times New Roman" w:hAnsi="Times New Roman"/>
          <w:sz w:val="20"/>
          <w:szCs w:val="20"/>
          <w:color w:val="auto"/>
        </w:rPr>
        <w:t>” means the fair market value of any non-cash consideration received by the Borrower or a Restricted Subsidiary in connection with a Disposition pursuant to the General Asset Sale Basket that is designated as Designated Non-Cash Consideration pursuant to a certificate of a Responsible Officer, setting forth the basis of such valuation (which amount will be reduced by the fair market value of the portion of the non-cash consideration converted to cash within one hundred eighty days following the consummation of the applicable Disposition).</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Dispose</w:t>
      </w:r>
      <w:r>
        <w:rPr>
          <w:rFonts w:ascii="Times New Roman" w:cs="Times New Roman" w:eastAsia="Times New Roman" w:hAnsi="Times New Roman"/>
          <w:sz w:val="20"/>
          <w:szCs w:val="20"/>
          <w:color w:val="auto"/>
        </w:rPr>
        <w:t>” means the sale, transfer, license, lease or other disposition (excluding Liens, but including any sale leaseback transaction and any sale of Equity Interests in, or issuance of Equity Interests by, a Restricted Subsidiary) of any property by any Person.</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Equity Interests</w:t>
      </w:r>
      <w:r>
        <w:rPr>
          <w:rFonts w:ascii="Times New Roman" w:cs="Times New Roman" w:eastAsia="Times New Roman" w:hAnsi="Times New Roman"/>
          <w:sz w:val="20"/>
          <w:szCs w:val="20"/>
          <w:color w:val="auto"/>
        </w:rPr>
        <w:t>” means any Equity Interest that, by its terms (or by the terms of any security or other Equity Interests into which it is convertible or for which it is exchangeable), or upon the happening of any event or condition,</w:t>
      </w:r>
    </w:p>
    <w:p>
      <w:pPr>
        <w:spacing w:after="0" w:line="157" w:lineRule="exact"/>
        <w:rPr>
          <w:sz w:val="20"/>
          <w:szCs w:val="20"/>
          <w:color w:val="auto"/>
        </w:rPr>
      </w:pPr>
    </w:p>
    <w:p>
      <w:pPr>
        <w:jc w:val="both"/>
        <w:ind w:left="760" w:firstLine="745"/>
        <w:spacing w:after="0" w:line="249" w:lineRule="auto"/>
        <w:tabs>
          <w:tab w:leader="none" w:pos="190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Qualified Equity Interests), pursuant to a sinking fund obligation or otherwise (except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Cash Collateralization of all Letters of Credit),</w:t>
      </w:r>
    </w:p>
    <w:p>
      <w:pPr>
        <w:spacing w:after="0" w:line="17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redeemable at the option of the holder thereof (other than solely for Qualified Equity Interests), in whole or in part,</w:t>
      </w:r>
    </w:p>
    <w:p>
      <w:pPr>
        <w:spacing w:after="0" w:line="226"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the scheduled payments of dividends in cash,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2" w:name="page113"/>
    <w:bookmarkEnd w:id="112"/>
    <w:p>
      <w:pPr>
        <w:ind w:left="760" w:right="20" w:firstLine="745"/>
        <w:spacing w:after="0" w:line="268" w:lineRule="auto"/>
        <w:tabs>
          <w:tab w:leader="none" w:pos="190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becomes convertible into or exchangeable for Indebtedness or any other Equity Interests that would constitute Disqualified Equity Interests,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in each case, prior to the Latest Maturity Date of the Loans at the time of issuance;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Equity Interests are issued pursuant to a plan for the benefit of future, current or former employees, directors, or officers of Holdings, the Borrower or the Restricted Subsidiaries or by any such plan to such employees, directors or officers, such Equity Interests shall not constitute Disqualified Equity Interests solely because they may be required to be repurchased by Holdings, the Borrower or the Restricted Subsidiaries in order to satisfy applicable statutory or regulatory obligations or as a result of such employee’s, director’s or officer’s termination, death or disability.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Lender</w:t>
      </w:r>
      <w:r>
        <w:rPr>
          <w:rFonts w:ascii="Times New Roman" w:cs="Times New Roman" w:eastAsia="Times New Roman" w:hAnsi="Times New Roman"/>
          <w:sz w:val="20"/>
          <w:szCs w:val="20"/>
          <w:color w:val="auto"/>
        </w:rPr>
        <w:t>” means,</w:t>
      </w:r>
    </w:p>
    <w:p>
      <w:pPr>
        <w:spacing w:after="0" w:line="219" w:lineRule="exact"/>
        <w:rPr>
          <w:sz w:val="20"/>
          <w:szCs w:val="20"/>
          <w:color w:val="auto"/>
        </w:rPr>
      </w:pPr>
    </w:p>
    <w:p>
      <w:pPr>
        <w:jc w:val="both"/>
        <w:ind w:left="760" w:firstLine="745"/>
        <w:spacing w:after="0" w:line="253" w:lineRule="auto"/>
        <w:tabs>
          <w:tab w:leader="none" w:pos="19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competitors of the Borrower and its Subsidiaries identified in writing by or on behalf of the Borrower (i) to the Lead Arrangers on or prior to the Closing Date, or (ii) from time to time after the Closing Date to the Administrative Agent (it being understood that a list was delivered),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persons that are engaged as principals primarily in private equity or venture capital and (ii) those particular banks, financial institutions, other institutional lenders and other persons, in the case of each of clauses (i) and (ii), to the extent identified in writing by or on behalf of the Borrower to the Lead Arrangers on or prior to May 14, 2019 (it being understood that no such list was delivered and, therefore, there are no Disqualified Lenders pursuant to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and</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affiliate of the entities described in the preceding clauses (a) or (b)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clause (a) above)), in each case, that are either reasonably identifiable as such on the basis of their name or are identified as such in writing by or on behalf of the Borrower (i) to the Lead Arrangers on or prior to the Closing Date, or (ii) after the Closing Date to the Administrative Agent from time to time;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Person that is a Lender and subsequently becomes a Disqualified Lender (but was not a Disqualified Lender on the Closing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or at the time it became a Lender) shall be deemed to not be a Disqualified Lender hereunder with respect to any Loans held by it immediately prior to becoming a Disqualified Lender. The Administrative Agent shall make the list of Disqualified Lenders available to any Lender or prospective Lender upon request by such Lender or prospective Lender.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Division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mean lawful money of the United States.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 Amount</w:t>
      </w:r>
      <w:r>
        <w:rPr>
          <w:rFonts w:ascii="Times New Roman" w:cs="Times New Roman" w:eastAsia="Times New Roman" w:hAnsi="Times New Roman"/>
          <w:sz w:val="20"/>
          <w:szCs w:val="20"/>
          <w:color w:val="auto"/>
        </w:rPr>
        <w:t>” means, at any time:</w:t>
      </w:r>
    </w:p>
    <w:p>
      <w:pPr>
        <w:spacing w:after="0" w:line="219" w:lineRule="exact"/>
        <w:rPr>
          <w:sz w:val="20"/>
          <w:szCs w:val="20"/>
          <w:color w:val="auto"/>
        </w:rPr>
      </w:pPr>
    </w:p>
    <w:p>
      <w:pPr>
        <w:ind w:left="760" w:right="40" w:firstLine="745"/>
        <w:spacing w:after="0" w:line="268" w:lineRule="auto"/>
        <w:tabs>
          <w:tab w:leader="none" w:pos="190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Loan denominated in Dollars, the principal amount thereof then outstanding (or in which such participation is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3" w:name="page114"/>
    <w:bookmarkEnd w:id="113"/>
    <w:p>
      <w:pPr>
        <w:ind w:left="760" w:right="20" w:firstLine="745"/>
        <w:spacing w:after="0" w:line="268" w:lineRule="auto"/>
        <w:tabs>
          <w:tab w:leader="none" w:pos="19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Loan denominated in any Alternative Currency, the principal amount thereof then outstanding in the relevant Alternative Currency converted to Dollars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Letter of Credit Obligation (or any risk participation therein), (i) if denominated in Dollars, the amount thereof and (ii) if denominated in any Alternative Currency other than Dollars, the amount thereof converted to Dollars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other amount (i) if denominated in Dollars, the amount thereof and (ii) if denominated in any currency other than Dollars, the equivalent amount thereof in Dollars as determined by the Administrative Agent or the Issuing Bank, as applicable, on the basis of the Exchange Rate (determined in respect of the most recent relevant date of determination) for the purchase of Dollars with such currency.</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Subsidiary</w:t>
      </w:r>
      <w:r>
        <w:rPr>
          <w:rFonts w:ascii="Times New Roman" w:cs="Times New Roman" w:eastAsia="Times New Roman" w:hAnsi="Times New Roman"/>
          <w:sz w:val="20"/>
          <w:szCs w:val="20"/>
          <w:color w:val="auto"/>
        </w:rPr>
        <w:t>” means (i) any Subsidiary that is organized under the Laws of the United States, any state thereof or the District of Columbia or (ii) any direct wholly-owned Subsidiary of the Borrower or of any Subsidiary described in clause (i) above that is disregarded for U.S. tax purposes.</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ECF Prepayment Percentage</w:t>
      </w:r>
      <w:r>
        <w:rPr>
          <w:rFonts w:ascii="Times New Roman" w:cs="Times New Roman" w:eastAsia="Times New Roman" w:hAnsi="Times New Roman"/>
          <w:sz w:val="20"/>
          <w:szCs w:val="20"/>
          <w:color w:val="auto"/>
        </w:rPr>
        <w:t>” means (a) 50%, if the Borrower’s First Lien Net Leverage Ratio at the end of the immediately preceding fiscal year equals or exceeds the Closing Date First Lien Net Leverage Ratio less 0.50 to 1.00, (b) 25%, if such First Lien Net Leverage Ratio is less than the Closing Date First Lien Net Leverage Ratio less 0.50 to 1.00, but equals or exceeds the Closing Date First Lien Net Leverage Ratio less 1.00 to 1.00, and (c) 0%, if such First Lien Net Leverage Ratio is less than the Closing Date First Lien Net Leverage Ratio less 1.00 to 1.00.</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11.07(b)(iii)</w:t>
      </w:r>
      <w:r>
        <w:rPr>
          <w:rFonts w:ascii="Times New Roman" w:cs="Times New Roman" w:eastAsia="Times New Roman" w:hAnsi="Times New Roman"/>
          <w:sz w:val="20"/>
          <w:szCs w:val="20"/>
          <w:color w:val="auto"/>
        </w:rPr>
        <w:t xml:space="preserve"> (including any consents that may be required thereunder)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neither (x) any Person that is or would be a Defaulting Lender nor (y) any Disqualified Lender shall be an Eligible Assignee.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EMU</w:t>
      </w:r>
      <w:r>
        <w:rPr>
          <w:rFonts w:ascii="Times New Roman" w:cs="Times New Roman" w:eastAsia="Times New Roman" w:hAnsi="Times New Roman"/>
          <w:sz w:val="20"/>
          <w:szCs w:val="20"/>
          <w:color w:val="auto"/>
        </w:rPr>
        <w:t>” means the Economic and Monetary Union as contemplated in the EU Treaty.</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EMU Legislation</w:t>
      </w:r>
      <w:r>
        <w:rPr>
          <w:rFonts w:ascii="Times New Roman" w:cs="Times New Roman" w:eastAsia="Times New Roman" w:hAnsi="Times New Roman"/>
          <w:sz w:val="20"/>
          <w:szCs w:val="20"/>
          <w:color w:val="auto"/>
        </w:rPr>
        <w:t>” means the legislative measures of the EMU for the introduction of, changeover to, or operation of the Euro in one or more member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4" w:name="page115"/>
    <w:bookmarkEnd w:id="114"/>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Engagement Letter</w:t>
      </w:r>
      <w:r>
        <w:rPr>
          <w:rFonts w:ascii="Times New Roman" w:cs="Times New Roman" w:eastAsia="Times New Roman" w:hAnsi="Times New Roman"/>
          <w:sz w:val="20"/>
          <w:szCs w:val="20"/>
          <w:color w:val="auto"/>
        </w:rPr>
        <w:t>” means that certain Engagement Letter, dated as of April 30, 2019, by and among Holdings, the Borrower, Jefferies Finance, BMOCO, UBS and Nomura as amended, restated, modified or supplemented from time to time in accordance with the terms thereof.</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and all administrative, regulatory or judicial actions, suits, demands, demand letters, claims, liens, notices of noncompliance or violation, investigations by any Governmental Authority,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Laws relating to the protection of the environment or, to the extent relating to exposure to Hazardous Materials, human health.</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any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Permit</w:t>
      </w:r>
      <w:r>
        <w:rPr>
          <w:rFonts w:ascii="Times New Roman" w:cs="Times New Roman" w:eastAsia="Times New Roman" w:hAnsi="Times New Roman"/>
          <w:sz w:val="20"/>
          <w:szCs w:val="20"/>
          <w:color w:val="auto"/>
        </w:rPr>
        <w:t>” means any permit, approval, identification number, license or other authorization required under or issued pursuant to any Environmental Law.</w:t>
      </w:r>
    </w:p>
    <w:p>
      <w:pPr>
        <w:spacing w:after="0" w:line="15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Equal Priority Intercreditor Agreement</w:t>
      </w:r>
      <w:r>
        <w:rPr>
          <w:rFonts w:ascii="Times New Roman" w:cs="Times New Roman" w:eastAsia="Times New Roman" w:hAnsi="Times New Roman"/>
          <w:sz w:val="19"/>
          <w:szCs w:val="19"/>
          <w:color w:val="auto"/>
        </w:rPr>
        <w:t xml:space="preserve">” means a “pari passu” intercreditor agreement substantially in the form attached hereto as </w:t>
      </w:r>
      <w:r>
        <w:rPr>
          <w:rFonts w:ascii="Times New Roman" w:cs="Times New Roman" w:eastAsia="Times New Roman" w:hAnsi="Times New Roman"/>
          <w:sz w:val="19"/>
          <w:szCs w:val="19"/>
          <w:u w:val="single" w:color="auto"/>
          <w:color w:val="auto"/>
        </w:rPr>
        <w:t>Exhibit K-2</w:t>
      </w:r>
      <w:r>
        <w:rPr>
          <w:rFonts w:ascii="Times New Roman" w:cs="Times New Roman" w:eastAsia="Times New Roman" w:hAnsi="Times New Roman"/>
          <w:sz w:val="19"/>
          <w:szCs w:val="19"/>
          <w:color w:val="auto"/>
        </w:rPr>
        <w:t xml:space="preserve"> (as the same may be modified in a manner satisfactory to the Administrative Agent, the Collateral Agent and the Borrower), or, if requested by the providers of Indebtedness permitted hereunder to be Pari Passu Lien Debt, another lien subordination arrangement reasonably satisfactory to the Administrative Agent, the Collateral Agent and the Borrower, in each case as amended, restated, amended and restated, modified or supplemented from time to time in accordance with the terms hereof and thereof. Upon the request of the Borrower, the Collateral Agent will execute and deliver an Equal Priority Intercreditor Agreement with one or more Debt Representatives for secured Indebtedness that is permitted hereunder to be incurred as Pari Passu Lien Debt;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will not make such request unless such Indebtedness and any related Liens do not violate (including with respect to priority) any provision of the Loan Documents.</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5" w:name="page116"/>
    <w:bookmarkEnd w:id="115"/>
    <w:p>
      <w:pPr>
        <w:jc w:val="both"/>
        <w:spacing w:after="0" w:line="268" w:lineRule="auto"/>
        <w:rPr>
          <w:sz w:val="20"/>
          <w:szCs w:val="20"/>
          <w:color w:val="auto"/>
        </w:rPr>
      </w:pPr>
      <w:r>
        <w:rPr>
          <w:rFonts w:ascii="Times New Roman" w:cs="Times New Roman" w:eastAsia="Times New Roman" w:hAnsi="Times New Roman"/>
          <w:sz w:val="20"/>
          <w:szCs w:val="20"/>
          <w:color w:val="auto"/>
        </w:rPr>
        <w:t>or period of time, the term “ERISA Affiliate” includes any Person who was, as to the time of such past event or period of time, an ERISA Affiliate within the meaning of the preceding sentence.</w:t>
      </w:r>
    </w:p>
    <w:p>
      <w:pPr>
        <w:spacing w:after="0" w:line="15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 Event</w:t>
      </w:r>
      <w:r>
        <w:rPr>
          <w:rFonts w:ascii="Times New Roman" w:cs="Times New Roman" w:eastAsia="Times New Roman" w:hAnsi="Times New Roman"/>
          <w:sz w:val="19"/>
          <w:szCs w:val="19"/>
          <w:color w:val="auto"/>
        </w:rPr>
        <w:t>”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w:t>
      </w:r>
    </w:p>
    <w:p>
      <w:pPr>
        <w:spacing w:after="0" w:line="3" w:lineRule="exact"/>
        <w:rPr>
          <w:sz w:val="20"/>
          <w:szCs w:val="20"/>
          <w:color w:val="auto"/>
        </w:rPr>
      </w:pPr>
    </w:p>
    <w:p>
      <w:pPr>
        <w:jc w:val="both"/>
        <w:ind w:firstLine="8"/>
        <w:spacing w:after="0"/>
        <w:tabs>
          <w:tab w:leader="none" w:pos="27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any liability under Title IV of ERISA, other than for the payment of plan contributions or PBGC premiums due but not delinquent under Section 4007 of ERISA, upon any Loan Party or any of their respective ERISA Affiliates; (f) the failure to satisfy the minimum funding standards (within the meaning of Section 412 of the Code or Section 302 of ERISA) with respect to any Pension Plan; (g) the application for a minimum funding waiver under Section 302(c) of ERISA with respect to a Pension Plan; (h) the imposition of a lien under Section 303(k) of ERISA with respect to any Pension Plan; or (i) a determination that any Pension Plan is in “at risk” status (within the meaning of Section 303 of ERISA).</w:t>
      </w:r>
    </w:p>
    <w:p>
      <w:pPr>
        <w:spacing w:after="0" w:line="185" w:lineRule="exact"/>
        <w:rPr>
          <w:sz w:val="20"/>
          <w:szCs w:val="20"/>
          <w:color w:val="auto"/>
        </w:rPr>
      </w:pPr>
    </w:p>
    <w:p>
      <w:pPr>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Treaty</w:t>
      </w:r>
      <w:r>
        <w:rPr>
          <w:rFonts w:ascii="Times New Roman" w:cs="Times New Roman" w:eastAsia="Times New Roman" w:hAnsi="Times New Roman"/>
          <w:sz w:val="20"/>
          <w:szCs w:val="20"/>
          <w:color w:val="auto"/>
        </w:rPr>
        <w:t>” means the Treaty on European Union.</w:t>
      </w:r>
    </w:p>
    <w:p>
      <w:pPr>
        <w:spacing w:after="0" w:line="215"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 the single currency of the Participating Member States introduced in accordance with the provisions of Article 109(i)4 of the EU Treaty.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Eurocurrency Rate</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Interest Period with respect to a Eurocurrency Rate Loan denominated in Dollars, the rate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equal to</w:t>
      </w:r>
    </w:p>
    <w:p>
      <w:pPr>
        <w:spacing w:after="0" w:line="36" w:lineRule="exact"/>
        <w:rPr>
          <w:rFonts w:ascii="Times New Roman" w:cs="Times New Roman" w:eastAsia="Times New Roman" w:hAnsi="Times New Roman"/>
          <w:sz w:val="19"/>
          <w:szCs w:val="19"/>
          <w:color w:val="auto"/>
        </w:rPr>
      </w:pPr>
    </w:p>
    <w:p>
      <w:pPr>
        <w:jc w:val="both"/>
        <w:ind w:left="760" w:hanging="3"/>
        <w:spacing w:after="0"/>
        <w:tabs>
          <w:tab w:leader="none" w:pos="99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ICE LIBOR Rate (“</w:t>
      </w:r>
      <w:r>
        <w:rPr>
          <w:rFonts w:ascii="Times New Roman" w:cs="Times New Roman" w:eastAsia="Times New Roman" w:hAnsi="Times New Roman"/>
          <w:sz w:val="20"/>
          <w:szCs w:val="20"/>
          <w:b w:val="1"/>
          <w:bCs w:val="1"/>
          <w:color w:val="auto"/>
        </w:rPr>
        <w:t>ICE LIBOR</w:t>
      </w:r>
      <w:r>
        <w:rPr>
          <w:rFonts w:ascii="Times New Roman" w:cs="Times New Roman" w:eastAsia="Times New Roman" w:hAnsi="Times New Roman"/>
          <w:sz w:val="20"/>
          <w:szCs w:val="20"/>
          <w:color w:val="auto"/>
        </w:rPr>
        <w:t xml:space="preserve">”), as published on the applicable Thomson Reuters screen page (or such other commercially available source providing quotations of ICE LIBOR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or (ii) if such rate is not available at such time for any reason,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the Administrative Agent to be the rate at which deposits in Dollars for delivery on the first day of such Interest Period in Same Day Funds in the approximate amount of the Eurocurrency Rate Loan being made, continued or converted and with a term equivalent to such Interest Period would be offered by the Administrative Agent to major banks in the London interbank eurodollar market at their request at approximately 11:00 a.m. (London time) two Business Days prior to the commencement of such Interest Period;</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Period with respect to a Eurocurrency Rate Loan denominated in an Alternative Currency, the rate per annum equal to (i) the rate, as published on the applicable Thomson Reuters screen page (or such other commercially available source providing quotations of LIBOR as may be designated by the Administrative Agent from time to time) at approximately 11:00 a.m., London time, two Business Days prior to the commencement of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6" w:name="page117"/>
    <w:bookmarkEnd w:id="116"/>
    <w:p>
      <w:pPr>
        <w:jc w:val="both"/>
        <w:ind w:left="760"/>
        <w:spacing w:after="0" w:line="260" w:lineRule="auto"/>
        <w:rPr>
          <w:sz w:val="20"/>
          <w:szCs w:val="20"/>
          <w:color w:val="auto"/>
        </w:rPr>
      </w:pPr>
      <w:r>
        <w:rPr>
          <w:rFonts w:ascii="Times New Roman" w:cs="Times New Roman" w:eastAsia="Times New Roman" w:hAnsi="Times New Roman"/>
          <w:sz w:val="19"/>
          <w:szCs w:val="19"/>
          <w:color w:val="auto"/>
        </w:rPr>
        <w:t>for deposits in such Alternative Currency (for delivery on the first day of such Interest Period) with a term equivalent to such Interest Period or (ii) if such rate is not available at such time for any reason, the rate per annum determined by the Administrative Agent to be the rate at which deposits in such Alternative Currency for delivery on the first day of such Interest Period in Same Day Funds in the approximate amount of the Eurocurrency Rate Loan being made, continued or converted and with a term equivalent to such Interest Period would be offered by the Administrative Agent to major banks in the London interbank market at their request at approximately 11:00 a.m. (London time) two Business Days prior to the commencement of such Interest Period; and</w:t>
      </w:r>
    </w:p>
    <w:p>
      <w:pPr>
        <w:spacing w:after="0" w:line="171" w:lineRule="exact"/>
        <w:rPr>
          <w:sz w:val="20"/>
          <w:szCs w:val="20"/>
          <w:color w:val="auto"/>
        </w:rPr>
      </w:pPr>
    </w:p>
    <w:p>
      <w:pPr>
        <w:jc w:val="both"/>
        <w:ind w:left="760" w:firstLine="745"/>
        <w:spacing w:after="0" w:line="244" w:lineRule="auto"/>
        <w:tabs>
          <w:tab w:leader="none" w:pos="19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Amendment No. 4 Effective Date, for any interest calculation with respect to a Base Rate Loan on any date,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ICE LIBOR, at approximately 11:00 a.m., London time determined two Business Days prior to such date for Dollar deposits being delivered in the London interbank market for a term of one month commencing that day or (ii) if such published rate is not available at such time for any reason,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the Administrative Agent to be the rate at which deposits in Dollars for delivery on the date of determination in Same Day Funds in the approximate amount of the Base Rate Loan being made or maintained and with a term equal to one month would be offered by the Administrative Agent to major banks in the London interbank eurodollar market at their request at the date and time of determination.</w:t>
      </w:r>
    </w:p>
    <w:p>
      <w:pPr>
        <w:spacing w:after="0" w:line="180"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Eurocurrency Rate Loan</w:t>
      </w:r>
      <w:r>
        <w:rPr>
          <w:rFonts w:ascii="Times New Roman" w:cs="Times New Roman" w:eastAsia="Times New Roman" w:hAnsi="Times New Roman"/>
          <w:sz w:val="20"/>
          <w:szCs w:val="20"/>
          <w:color w:val="auto"/>
        </w:rPr>
        <w:t>” means a Loan, whether denominated in Dollars or any Alternative Currency, that bears interest at a rate based on clause (a) or (b), as applicable, of the definition of “Eurocurrency Rate.”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Cash Flow</w:t>
      </w:r>
      <w:r>
        <w:rPr>
          <w:rFonts w:ascii="Times New Roman" w:cs="Times New Roman" w:eastAsia="Times New Roman" w:hAnsi="Times New Roman"/>
          <w:sz w:val="20"/>
          <w:szCs w:val="20"/>
          <w:color w:val="auto"/>
        </w:rPr>
        <w:t>” means, for any period, an amount equal to the excess of:</w:t>
      </w:r>
    </w:p>
    <w:p>
      <w:pPr>
        <w:spacing w:after="0" w:line="219" w:lineRule="exact"/>
        <w:rPr>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of the Borrower and the Restricted Subsidiaries for such period,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amount of all non-cash charges (including depreciation and amortization) for such period to the extent deducted in arriving at such Consolidated Net Income, but excluding any such non-cash charges representing an accrual or reserve for potential cash items in any future period and excluding amortization of a prepaid cash item that was paid in a prior period,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decreases in Consolidated Working Capital for such period (other than any such decreases arising from acquisitions or 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aggregate net non-cash loss on Dispositions by the Borrower and the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ind w:left="1500" w:firstLine="754"/>
        <w:spacing w:after="0" w:line="268" w:lineRule="auto"/>
        <w:tabs>
          <w:tab w:leader="none" w:pos="26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deducted as tax expense in determining Consolidated Net Income to the extent in excess of cash taxes paid in such period (including, without duplication,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7" w:name="page118"/>
    <w:bookmarkEnd w:id="117"/>
    <w:p>
      <w:pPr>
        <w:ind w:left="380"/>
        <w:spacing w:after="0"/>
        <w:rPr>
          <w:sz w:val="20"/>
          <w:szCs w:val="20"/>
          <w:color w:val="auto"/>
        </w:rPr>
      </w:pPr>
      <w:r>
        <w:rPr>
          <w:rFonts w:ascii="Times New Roman" w:cs="Times New Roman" w:eastAsia="Times New Roman" w:hAnsi="Times New Roman"/>
          <w:sz w:val="20"/>
          <w:szCs w:val="20"/>
          <w:color w:val="auto"/>
        </w:rPr>
        <w:t xml:space="preserve">tax distributions pursuant to </w:t>
      </w:r>
      <w:r>
        <w:rPr>
          <w:rFonts w:ascii="Times New Roman" w:cs="Times New Roman" w:eastAsia="Times New Roman" w:hAnsi="Times New Roman"/>
          <w:sz w:val="20"/>
          <w:szCs w:val="20"/>
          <w:u w:val="single" w:color="auto"/>
          <w:color w:val="auto"/>
        </w:rPr>
        <w:t>Section 7.06(g)(i)</w:t>
      </w:r>
      <w:r>
        <w:rPr>
          <w:rFonts w:ascii="Times New Roman" w:cs="Times New Roman" w:eastAsia="Times New Roman" w:hAnsi="Times New Roman"/>
          <w:sz w:val="20"/>
          <w:szCs w:val="20"/>
          <w:color w:val="auto"/>
        </w:rPr>
        <w:t xml:space="preserve">) and tax distribution reserves set aside or payable, </w:t>
      </w:r>
      <w:r>
        <w:rPr>
          <w:rFonts w:ascii="Times New Roman" w:cs="Times New Roman" w:eastAsia="Times New Roman" w:hAnsi="Times New Roman"/>
          <w:sz w:val="20"/>
          <w:szCs w:val="20"/>
          <w:i w:val="1"/>
          <w:iCs w:val="1"/>
          <w:u w:val="single" w:color="auto"/>
          <w:color w:val="auto"/>
        </w:rPr>
        <w:t>plus</w:t>
      </w:r>
    </w:p>
    <w:p>
      <w:pPr>
        <w:spacing w:after="0" w:line="219" w:lineRule="exact"/>
        <w:rPr>
          <w:sz w:val="20"/>
          <w:szCs w:val="20"/>
          <w:color w:val="auto"/>
        </w:rPr>
      </w:pPr>
    </w:p>
    <w:p>
      <w:pPr>
        <w:ind w:left="380" w:right="20" w:firstLine="754"/>
        <w:spacing w:after="0" w:line="268" w:lineRule="auto"/>
        <w:tabs>
          <w:tab w:leader="none" w:pos="152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receipts in respect of Hedge Agreements during such period to the extent not otherwise included in such Consolidated Net Income; </w:t>
      </w:r>
      <w:r>
        <w:rPr>
          <w:rFonts w:ascii="Times New Roman" w:cs="Times New Roman" w:eastAsia="Times New Roman" w:hAnsi="Times New Roman"/>
          <w:sz w:val="20"/>
          <w:szCs w:val="20"/>
          <w:i w:val="1"/>
          <w:iCs w:val="1"/>
          <w:u w:val="single" w:color="auto"/>
          <w:color w:val="auto"/>
        </w:rPr>
        <w:t>over</w:t>
      </w:r>
    </w:p>
    <w:p>
      <w:pPr>
        <w:spacing w:after="0" w:line="160"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amount of all non-cash credits included in arriving at such Consolidated Net Income (but excluding any non-cash credit to the extent representing the reversal of an accrual or reserve described in clause (a)(ii) above) and cash charges excluded by virtue of clauses (a) through (l) (other than clause (g)) of the definition of “Consolidated Net Income”,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380" w:right="20" w:firstLine="754"/>
        <w:spacing w:after="0" w:line="253"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amounts deducted pursuant to clause (b)(xi) below or this clause (b)(ii) in prior periods, the amount of Capital Expenditures or acquisitions of intellectual property accrued or made in cash during such period to the extent not financed with the proceeds of Funded Debt,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principal payments of Indebtedness (including the principal component of payments in respect of Capitalized Leases) of the Borrower and the Restricted Subsidiaries to the extent such prepayments or repayments are not funded with the proceeds of Funded Debt, excluding (A) all payments of Indebtedness described in </w:t>
      </w:r>
      <w:r>
        <w:rPr>
          <w:rFonts w:ascii="Times New Roman" w:cs="Times New Roman" w:eastAsia="Times New Roman" w:hAnsi="Times New Roman"/>
          <w:sz w:val="20"/>
          <w:szCs w:val="20"/>
          <w:u w:val="single" w:color="auto"/>
          <w:color w:val="auto"/>
        </w:rPr>
        <w:t>Section 2.07(b)(i)(B)(1)-(3)</w:t>
      </w:r>
      <w:r>
        <w:rPr>
          <w:rFonts w:ascii="Times New Roman" w:cs="Times New Roman" w:eastAsia="Times New Roman" w:hAnsi="Times New Roman"/>
          <w:sz w:val="20"/>
          <w:szCs w:val="20"/>
          <w:color w:val="auto"/>
        </w:rPr>
        <w:t xml:space="preserve"> to the extent such payments reduce the repayment of Term Loans that would otherwise be required by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 xml:space="preserve">, (B) all payments of Indebtedness pursuant to and in accordance with </w:t>
      </w:r>
      <w:r>
        <w:rPr>
          <w:rFonts w:ascii="Times New Roman" w:cs="Times New Roman" w:eastAsia="Times New Roman" w:hAnsi="Times New Roman"/>
          <w:sz w:val="20"/>
          <w:szCs w:val="20"/>
          <w:u w:val="single" w:color="auto"/>
          <w:color w:val="auto"/>
        </w:rPr>
        <w:t>Section 7.10(a)(v)(B)</w:t>
      </w:r>
      <w:r>
        <w:rPr>
          <w:rFonts w:ascii="Times New Roman" w:cs="Times New Roman" w:eastAsia="Times New Roman" w:hAnsi="Times New Roman"/>
          <w:sz w:val="20"/>
          <w:szCs w:val="20"/>
          <w:color w:val="auto"/>
        </w:rPr>
        <w:t xml:space="preserve">, and (C) any prepayment of revolving loans to the extent there is not an equivalent permanent reduction in commitments thereunder,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aggregate net non-cash gain on Dispositions by the Borrower and the Restricted Subsidiaries during such period (other than Dispositions in the ordinary course of business) to the extent included in arriving at such Consolidated Net Income and the net cash loss on Dispositions to the extent otherwise added to arrive at Consolidated Net Income,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380" w:firstLine="754"/>
        <w:spacing w:after="0" w:line="253"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increases in Consolidated Working Capital for such period (other than any such increases arising from acquisitions or 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payments by the Borrower and the Restricted Subsidiaries actually made during such period to the extent not financed with the proceeds of Funded Debt in respect of any purchase price holdbacks, earn-out obligations, long-term liabilities of the Borrower and the Restricted Subsidiaries (other than Indebtedness) to the extent such payments are not expensed during such period or are not deducted in calculating Consolidated Net Income for such period (and so long as there has not been any reduction in respect of such payments in arriving at Consolidated Net Income for such fiscal year), </w:t>
      </w:r>
      <w:r>
        <w:rPr>
          <w:rFonts w:ascii="Times New Roman" w:cs="Times New Roman" w:eastAsia="Times New Roman" w:hAnsi="Times New Roman"/>
          <w:sz w:val="20"/>
          <w:szCs w:val="20"/>
          <w:i w:val="1"/>
          <w:iCs w:val="1"/>
          <w:u w:val="single" w:color="auto"/>
          <w:color w:val="auto"/>
        </w:rPr>
        <w:t>plus</w:t>
      </w:r>
    </w:p>
    <w:p>
      <w:pPr>
        <w:spacing w:after="0" w:line="182" w:lineRule="exact"/>
        <w:rPr>
          <w:rFonts w:ascii="Times New Roman" w:cs="Times New Roman" w:eastAsia="Times New Roman" w:hAnsi="Times New Roman"/>
          <w:sz w:val="20"/>
          <w:szCs w:val="20"/>
          <w:color w:val="auto"/>
        </w:rPr>
      </w:pPr>
    </w:p>
    <w:p>
      <w:pPr>
        <w:ind w:left="380" w:firstLine="754"/>
        <w:spacing w:after="0" w:line="268" w:lineRule="auto"/>
        <w:tabs>
          <w:tab w:leader="none" w:pos="15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amounts deducted pursuant to </w:t>
      </w:r>
      <w:r>
        <w:rPr>
          <w:rFonts w:ascii="Times New Roman" w:cs="Times New Roman" w:eastAsia="Times New Roman" w:hAnsi="Times New Roman"/>
          <w:sz w:val="20"/>
          <w:szCs w:val="20"/>
          <w:u w:val="single" w:color="auto"/>
          <w:color w:val="auto"/>
        </w:rPr>
        <w:t>clauses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below in prior periods, the amount of Permitted Investments made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300990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118" w:name="page119"/>
    <w:bookmarkEnd w:id="118"/>
    <w:p>
      <w:pPr>
        <w:ind w:left="740"/>
        <w:spacing w:after="0" w:line="282"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(excluding </w:t>
      </w:r>
      <w:r>
        <w:rPr>
          <w:rFonts w:ascii="Times New Roman" w:cs="Times New Roman" w:eastAsia="Times New Roman" w:hAnsi="Times New Roman"/>
          <w:sz w:val="20"/>
          <w:szCs w:val="20"/>
          <w:u w:val="single" w:color="auto"/>
          <w:color w:val="auto"/>
        </w:rPr>
        <w:t>Section 7.02(e)(ii)</w:t>
      </w:r>
      <w:r>
        <w:rPr>
          <w:rFonts w:ascii="Times New Roman" w:cs="Times New Roman" w:eastAsia="Times New Roman" w:hAnsi="Times New Roman"/>
          <w:sz w:val="20"/>
          <w:szCs w:val="20"/>
          <w:color w:val="auto"/>
        </w:rPr>
        <w:t xml:space="preserve">) to the extent that such Permitted Investments were not financed with the proceeds of Funded Debt, </w:t>
      </w:r>
      <w:r>
        <w:rPr>
          <w:rFonts w:ascii="Times New Roman" w:cs="Times New Roman" w:eastAsia="Times New Roman" w:hAnsi="Times New Roman"/>
          <w:sz w:val="20"/>
          <w:szCs w:val="20"/>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-97155</wp:posOffset>
            </wp:positionV>
            <wp:extent cx="209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20955" cy="8255"/>
                    </a:xfrm>
                    <a:prstGeom prst="rect">
                      <a:avLst/>
                    </a:prstGeom>
                    <a:noFill/>
                  </pic:spPr>
                </pic:pic>
              </a:graphicData>
            </a:graphic>
          </wp:anchor>
        </w:drawing>
      </w:r>
    </w:p>
    <w:p>
      <w:pPr>
        <w:spacing w:after="0" w:line="127" w:lineRule="exact"/>
        <w:rPr>
          <w:sz w:val="20"/>
          <w:szCs w:val="20"/>
          <w:color w:val="auto"/>
        </w:rPr>
      </w:pPr>
    </w:p>
    <w:p>
      <w:pPr>
        <w:jc w:val="both"/>
        <w:ind w:left="740" w:firstLine="754"/>
        <w:spacing w:after="0" w:line="266" w:lineRule="auto"/>
        <w:tabs>
          <w:tab w:leader="none" w:pos="227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Restricted Payments actually paid (and permitted to be paid) during such period pursuant to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(excluding </w:t>
      </w:r>
      <w:r>
        <w:rPr>
          <w:rFonts w:ascii="Times New Roman" w:cs="Times New Roman" w:eastAsia="Times New Roman" w:hAnsi="Times New Roman"/>
          <w:sz w:val="19"/>
          <w:szCs w:val="19"/>
          <w:u w:val="single" w:color="auto"/>
          <w:color w:val="auto"/>
        </w:rPr>
        <w:t>Sections 7.06(a)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7.06(c)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7.06(o)(ii)</w:t>
      </w:r>
      <w:r>
        <w:rPr>
          <w:rFonts w:ascii="Times New Roman" w:cs="Times New Roman" w:eastAsia="Times New Roman" w:hAnsi="Times New Roman"/>
          <w:sz w:val="19"/>
          <w:szCs w:val="19"/>
          <w:color w:val="auto"/>
        </w:rPr>
        <w:t xml:space="preserve">) to the extent such Restricted Payments were not financed with the proceeds of Funded Debt (including, without limitation, amounts paid in connection with compensations arrangements with holders of unvested options entered into in connection with the Specified Dividend), </w:t>
      </w:r>
      <w:r>
        <w:rPr>
          <w:rFonts w:ascii="Times New Roman" w:cs="Times New Roman" w:eastAsia="Times New Roman" w:hAnsi="Times New Roman"/>
          <w:sz w:val="19"/>
          <w:szCs w:val="19"/>
          <w:i w:val="1"/>
          <w:iCs w:val="1"/>
          <w:u w:val="single" w:color="auto"/>
          <w:color w:val="auto"/>
        </w:rPr>
        <w:t>plus</w:t>
      </w:r>
    </w:p>
    <w:p>
      <w:pPr>
        <w:spacing w:after="0" w:line="164" w:lineRule="exact"/>
        <w:rPr>
          <w:rFonts w:ascii="Times New Roman" w:cs="Times New Roman" w:eastAsia="Times New Roman" w:hAnsi="Times New Roman"/>
          <w:sz w:val="19"/>
          <w:szCs w:val="19"/>
          <w:color w:val="auto"/>
        </w:rPr>
      </w:pPr>
    </w:p>
    <w:p>
      <w:pPr>
        <w:jc w:val="both"/>
        <w:ind w:left="740" w:firstLine="754"/>
        <w:spacing w:after="0" w:line="246" w:lineRule="auto"/>
        <w:tabs>
          <w:tab w:leader="none" w:pos="18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expenditures actually made by the Borrower and its Restricted Subsidiaries to the extent not financed with the proceeds of Funded Debt during such period (including expenditures for the payment of financing fees) to the extent that such expenditures are not expensed during such fiscal year or are not deducted in calculating Consolidated Net Income (and so long as there has not been any reduction in respect of such expenditures in arriving at Consolidated Net Income for such period),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8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were not deducted in calculating Consolidated Net Income for such period, the aggregate amount of any premium, make-whole or penalty payments actually paid in cash by Holdings, the Borrower and the Restricted Subsidiaries during such period that are made in connection with any prepayment of any principal of Indebtedness to the extent such prepayment of principal reduced Excess Cash Flow pursuant to </w:t>
      </w:r>
      <w:r>
        <w:rPr>
          <w:rFonts w:ascii="Times New Roman" w:cs="Times New Roman" w:eastAsia="Times New Roman" w:hAnsi="Times New Roman"/>
          <w:sz w:val="20"/>
          <w:szCs w:val="20"/>
          <w:u w:val="single" w:color="auto"/>
          <w:color w:val="auto"/>
        </w:rPr>
        <w:t>clause (b)(iii)</w:t>
      </w:r>
      <w:r>
        <w:rPr>
          <w:rFonts w:ascii="Times New Roman" w:cs="Times New Roman" w:eastAsia="Times New Roman" w:hAnsi="Times New Roman"/>
          <w:sz w:val="20"/>
          <w:szCs w:val="20"/>
          <w:color w:val="auto"/>
        </w:rPr>
        <w:t xml:space="preserve"> above or reduced the mandatory prepayment required by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plus</w:t>
      </w:r>
    </w:p>
    <w:p>
      <w:pPr>
        <w:spacing w:after="0" w:line="183" w:lineRule="exact"/>
        <w:rPr>
          <w:rFonts w:ascii="Times New Roman" w:cs="Times New Roman" w:eastAsia="Times New Roman" w:hAnsi="Times New Roman"/>
          <w:sz w:val="20"/>
          <w:szCs w:val="20"/>
          <w:color w:val="auto"/>
        </w:rPr>
      </w:pPr>
    </w:p>
    <w:p>
      <w:pPr>
        <w:ind w:left="740" w:firstLine="754"/>
        <w:spacing w:after="0" w:line="242" w:lineRule="auto"/>
        <w:tabs>
          <w:tab w:leader="none" w:pos="18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from Excess Cash Flow in prior periods, the aggregate consideration required to be paid in cash by the Borrower or any of the Restricted Subsidiaries pursuant to binding contracts, commitments, or binding purchase orders (to the extent not financed with the proceeds of Funded Debt, the “</w:t>
      </w:r>
      <w:r>
        <w:rPr>
          <w:rFonts w:ascii="Times New Roman" w:cs="Times New Roman" w:eastAsia="Times New Roman" w:hAnsi="Times New Roman"/>
          <w:sz w:val="20"/>
          <w:szCs w:val="20"/>
          <w:b w:val="1"/>
          <w:bCs w:val="1"/>
          <w:color w:val="auto"/>
        </w:rPr>
        <w:t>Contract Consideration</w:t>
      </w:r>
      <w:r>
        <w:rPr>
          <w:rFonts w:ascii="Times New Roman" w:cs="Times New Roman" w:eastAsia="Times New Roman" w:hAnsi="Times New Roman"/>
          <w:sz w:val="20"/>
          <w:szCs w:val="20"/>
          <w:color w:val="auto"/>
        </w:rPr>
        <w:t xml:space="preserve">”) entered into prior to or during such period relating to Permitted Acquisitions (or Investments similar to those made for Permitted Acquisitions), Capital Expenditures or acquisitions of intellectual property to be consummated;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the aggregate amount actually utilized to finance such Permitted Acquisitions (or Investments similar to those made for Permitted Acquisitions), Capital Expenditures or acquisitions of intellectual property during any period is less than the Contract Consideration that reduced Excess Cash Flow for the prior period, the amount of such shortfall shall be added to the calculation of Excess Cash Flow for such period, </w:t>
      </w:r>
      <w:r>
        <w:rPr>
          <w:rFonts w:ascii="Times New Roman" w:cs="Times New Roman" w:eastAsia="Times New Roman" w:hAnsi="Times New Roman"/>
          <w:sz w:val="20"/>
          <w:szCs w:val="20"/>
          <w:i w:val="1"/>
          <w:iCs w:val="1"/>
          <w:u w:val="single" w:color="auto"/>
          <w:color w:val="auto"/>
        </w:rPr>
        <w:t>plus</w:t>
      </w:r>
    </w:p>
    <w:p>
      <w:pPr>
        <w:spacing w:after="0" w:line="191" w:lineRule="exact"/>
        <w:rPr>
          <w:rFonts w:ascii="Times New Roman" w:cs="Times New Roman" w:eastAsia="Times New Roman" w:hAnsi="Times New Roman"/>
          <w:sz w:val="20"/>
          <w:szCs w:val="20"/>
          <w:color w:val="auto"/>
        </w:rPr>
      </w:pPr>
    </w:p>
    <w:p>
      <w:pPr>
        <w:jc w:val="both"/>
        <w:ind w:left="740" w:firstLine="754"/>
        <w:spacing w:after="0" w:line="253" w:lineRule="auto"/>
        <w:tabs>
          <w:tab w:leader="none" w:pos="18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cash taxes (including penalties and interest) paid or tax reserves set aside or payable (without duplication) in such period, to the extent they exceed the amount of tax expense deducted in calculating Consolidated Net Income for such period,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227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expenditures in respect of Hedge Agreements during such period to the extent not deducted in calculating Consolidated Net Income;</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at the option of the Borrower, any item that meets the criteria of any sub-clause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after the end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applicable period and prior to the applicable date of calculation of Excess Cash Flow for such period may, at the Borrower’s option, be included in the applicable period, but not in any calculation pursuant to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for the subsequent calculation period if such election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311785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6" w:right="339" w:bottom="1440" w:gutter="0" w:footer="0" w:header="0"/>
        </w:sectPr>
      </w:pPr>
    </w:p>
    <w:bookmarkStart w:id="119" w:name="page120"/>
    <w:bookmarkEnd w:id="11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Rate</w:t>
      </w:r>
      <w:r>
        <w:rPr>
          <w:rFonts w:ascii="Times New Roman" w:cs="Times New Roman" w:eastAsia="Times New Roman" w:hAnsi="Times New Roman"/>
          <w:sz w:val="19"/>
          <w:szCs w:val="19"/>
          <w:color w:val="auto"/>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Business Days later;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Asset</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Equity Interests</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Subsidiary</w:t>
      </w:r>
      <w:r>
        <w:rPr>
          <w:rFonts w:ascii="Times New Roman" w:cs="Times New Roman" w:eastAsia="Times New Roman" w:hAnsi="Times New Roman"/>
          <w:sz w:val="20"/>
          <w:szCs w:val="20"/>
          <w:color w:val="auto"/>
        </w:rPr>
        <w:t>” means:</w:t>
      </w:r>
    </w:p>
    <w:p>
      <w:pPr>
        <w:spacing w:after="0" w:line="219" w:lineRule="exact"/>
        <w:rPr>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not a wholly owned Subsidiary of the Borrower or a Guarantor,</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 of the Borrower or of any direct or indirect Domestic Subsidiary or Foreign Subsidiary,</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FSHCO,</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Domestic Subsidiary that is a direct or indirect Subsidiary of a Foreign Subsidiary,</w:t>
      </w:r>
    </w:p>
    <w:p>
      <w:pPr>
        <w:spacing w:after="0" w:line="21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contractual obligation is not entered into by the Borrower or its Restricted Subsidiaries principally for the purpose of qualifying as an “Excluded Subsidiary” under this definition) or if such Guaranty would require governmental (including regulatory) or third party (other than Holdings, the Borrower or a Restricted Subsidiary) consent, approval, license or authorization, unless such consent, approval, license or authorization has been obtained,</w:t>
      </w:r>
    </w:p>
    <w:p>
      <w:pPr>
        <w:spacing w:after="0" w:line="183" w:lineRule="exact"/>
        <w:rPr>
          <w:rFonts w:ascii="Times New Roman" w:cs="Times New Roman" w:eastAsia="Times New Roman" w:hAnsi="Times New Roman"/>
          <w:sz w:val="20"/>
          <w:szCs w:val="20"/>
          <w:color w:val="auto"/>
        </w:rPr>
      </w:pPr>
    </w:p>
    <w:p>
      <w:pPr>
        <w:ind w:left="760" w:firstLine="745"/>
        <w:spacing w:after="0" w:line="268" w:lineRule="auto"/>
        <w:tabs>
          <w:tab w:leader="none" w:pos="19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special purpose securitization vehicle (or similar entity) including any Securitization Subsidiary created pursuant to a transaction permitted under this Agreement,</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a not-for-profit organization,</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Captive Insurance Subsidiary,</w:t>
      </w:r>
    </w:p>
    <w:p>
      <w:pPr>
        <w:spacing w:after="0" w:line="214"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Subsidiary with respect to which, in the reasonable judgment of the Administrative Agent in consultation with the Borrower (confirmed in writing by notice to the Borrower), the cost or other consequences (including any material adverse tax consequences)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0" w:name="page121"/>
    <w:bookmarkEnd w:id="120"/>
    <w:p>
      <w:pPr>
        <w:ind w:left="760"/>
        <w:spacing w:after="0"/>
        <w:rPr>
          <w:sz w:val="20"/>
          <w:szCs w:val="20"/>
          <w:color w:val="auto"/>
        </w:rPr>
      </w:pPr>
      <w:r>
        <w:rPr>
          <w:rFonts w:ascii="Times New Roman" w:cs="Times New Roman" w:eastAsia="Times New Roman" w:hAnsi="Times New Roman"/>
          <w:sz w:val="20"/>
          <w:szCs w:val="20"/>
          <w:color w:val="auto"/>
        </w:rPr>
        <w:t>providing the Guaranty shall be excessive in view of the benefits to be obtained by the Lenders therefrom,</w:t>
      </w:r>
    </w:p>
    <w:p>
      <w:pPr>
        <w:spacing w:after="0" w:line="215" w:lineRule="exact"/>
        <w:rPr>
          <w:sz w:val="20"/>
          <w:szCs w:val="20"/>
          <w:color w:val="auto"/>
        </w:rPr>
      </w:pPr>
    </w:p>
    <w:p>
      <w:pPr>
        <w:jc w:val="both"/>
        <w:ind w:left="760" w:firstLine="745"/>
        <w:spacing w:after="0" w:line="249" w:lineRule="auto"/>
        <w:tabs>
          <w:tab w:leader="none" w:pos="19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Subsidiary to the extent the provision of a guaranty by such Subsidiary would result in material adverse tax consequences to Holdings (or any parent of Holdings to the extent such material adverse tax consequences are related to its ownership of the Equity Interests in Holdings or the Borrower and its Restricted Subsidiaries), the Borrower or any of the Restricted Subsidiaries as reasonably determined by the Borrower in good faith in consultation with the Administrative Agent;</w:t>
      </w:r>
    </w:p>
    <w:p>
      <w:pPr>
        <w:spacing w:after="0" w:line="17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Unrestricted Subsidiary, and</w:t>
      </w:r>
    </w:p>
    <w:p>
      <w:pPr>
        <w:spacing w:after="0" w:line="210" w:lineRule="exact"/>
        <w:rPr>
          <w:rFonts w:ascii="Times New Roman" w:cs="Times New Roman" w:eastAsia="Times New Roman" w:hAnsi="Times New Roman"/>
          <w:sz w:val="20"/>
          <w:szCs w:val="20"/>
          <w:color w:val="auto"/>
        </w:rPr>
      </w:pPr>
    </w:p>
    <w:p>
      <w:pPr>
        <w:jc w:val="both"/>
        <w:ind w:left="760" w:firstLine="745"/>
        <w:spacing w:after="0" w:line="259" w:lineRule="auto"/>
        <w:tabs>
          <w:tab w:leader="none" w:pos="190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Immaterial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in its sole discretion (or in the case of any Foreign Subsidiary, with the consent of the Administrative Agent not to be unreasonably withheld), may cause any Restricted Subsidiary that qualifies as an Excluded Subsidiary under clauses (a) through (l) above to become a Guarantor in accordance with the definition thereof (subject to completion of “know your customer” and similar requirements of the Administrative Agent) and thereafter such Subsidiary shall not constitute an “Excluded Subsidiary” (unless and until the Borrower elects, in its sole discretion, to designate such Persons as an Excluded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designation shall be treated as an Investment pursuant to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and shall be permitted solely to the extent such designation is permitted as an Investment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has the meaning specified in the preliminary statements to this Agreement.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Debt</w:t>
      </w:r>
      <w:r>
        <w:rPr>
          <w:rFonts w:ascii="Times New Roman" w:cs="Times New Roman" w:eastAsia="Times New Roman" w:hAnsi="Times New Roman"/>
          <w:sz w:val="20"/>
          <w:szCs w:val="20"/>
          <w:color w:val="auto"/>
        </w:rPr>
        <w:t>” means the Indebtedness of the Borrower and is Subsidiaries under (i) that certain Note Purchase Agreement, dated as of August 21, 2014 (as amended by that certain First Amendment to Note Purchase Agreement, dated as of December 14, 2016 and as further amended, restated, amended and restated, supplemented or otherwise modified prior to the date hereof), by and among Holdings, the Borrower, the subsidiary guarantor from time to time party thereto and the purchasers from time to time party thereto and (ii) the Existing Credit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Commitments</w:t>
      </w:r>
      <w:r>
        <w:rPr>
          <w:rFonts w:ascii="Times New Roman" w:cs="Times New Roman" w:eastAsia="Times New Roman" w:hAnsi="Times New Roman"/>
          <w:sz w:val="20"/>
          <w:szCs w:val="20"/>
          <w:color w:val="auto"/>
        </w:rPr>
        <w:t>” means, collectively, Extended Revolving Commitments and Extended Term Commitments.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Loans</w:t>
      </w:r>
      <w:r>
        <w:rPr>
          <w:rFonts w:ascii="Times New Roman" w:cs="Times New Roman" w:eastAsia="Times New Roman" w:hAnsi="Times New Roman"/>
          <w:sz w:val="20"/>
          <w:szCs w:val="20"/>
          <w:color w:val="auto"/>
        </w:rPr>
        <w:t>” means, collectively, Extended Revolving Loans and Extended Term Loans.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Revolving Commitments</w:t>
      </w:r>
      <w:r>
        <w:rPr>
          <w:rFonts w:ascii="Times New Roman" w:cs="Times New Roman" w:eastAsia="Times New Roman" w:hAnsi="Times New Roman"/>
          <w:sz w:val="20"/>
          <w:szCs w:val="20"/>
          <w:color w:val="auto"/>
        </w:rPr>
        <w:t>” means the Revolving Commitments held by an Extending Lender.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Revolving Loans</w:t>
      </w:r>
      <w:r>
        <w:rPr>
          <w:rFonts w:ascii="Times New Roman" w:cs="Times New Roman" w:eastAsia="Times New Roman" w:hAnsi="Times New Roman"/>
          <w:sz w:val="20"/>
          <w:szCs w:val="20"/>
          <w:color w:val="auto"/>
        </w:rPr>
        <w:t>” means the Revolving Loans made pursuant to Extended Revolving Commitments.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Term Commitments</w:t>
      </w:r>
      <w:r>
        <w:rPr>
          <w:rFonts w:ascii="Times New Roman" w:cs="Times New Roman" w:eastAsia="Times New Roman" w:hAnsi="Times New Roman"/>
          <w:sz w:val="20"/>
          <w:szCs w:val="20"/>
          <w:color w:val="auto"/>
        </w:rPr>
        <w:t>” means the Term Loan Commitments held by an Extending Lender.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Term Loans</w:t>
      </w:r>
      <w:r>
        <w:rPr>
          <w:rFonts w:ascii="Times New Roman" w:cs="Times New Roman" w:eastAsia="Times New Roman" w:hAnsi="Times New Roman"/>
          <w:sz w:val="20"/>
          <w:szCs w:val="20"/>
          <w:color w:val="auto"/>
        </w:rPr>
        <w:t>” means the Term Loans made pursuant to Extended Term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1" w:name="page122"/>
    <w:bookmarkEnd w:id="12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Extending Lender</w:t>
      </w:r>
      <w:r>
        <w:rPr>
          <w:rFonts w:ascii="Times New Roman" w:cs="Times New Roman" w:eastAsia="Times New Roman" w:hAnsi="Times New Roman"/>
          <w:sz w:val="20"/>
          <w:szCs w:val="20"/>
          <w:color w:val="auto"/>
        </w:rPr>
        <w:t>” means each Lender accepting an Extension Offer.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Offer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xml:space="preserve">” means the Term Loans made by the Lenders to the Borrower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(including both Initial Term Loans and Delayed Draw Term Loans, which shall constitute a single Facility hereunder), the Delayed Draw Commitments, the Revolving Loans, the Swing Line Loans, any Extended Term Loans, any Extended Revolving Commitments and Extended Revolving Loans, any Incremental Term Loans, any Refinancing Term Loans or any Refinancing Revolving Loans, as the context may require.</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such Sections of the Code.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means the United States Foreign Corrupt Practices Act of 1977, as amended or modified from time to time.</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Rate</w:t>
      </w:r>
      <w:r>
        <w:rPr>
          <w:rFonts w:ascii="Times New Roman" w:cs="Times New Roman" w:eastAsia="Times New Roman" w:hAnsi="Times New Roman"/>
          <w:sz w:val="20"/>
          <w:szCs w:val="20"/>
          <w:color w:val="auto"/>
        </w:rPr>
        <w:t xml:space="preserve">” means, for any day,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weighted average of the rates on overnight Federal funds transactions with members of the Federal Reserve System on such day, as published by the Federal Reserve Bank on the Business Day next succeeding such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further that, the Federal Funds Rate, if negative, shall be deemed to be zero.</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 Cross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 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Net Leverage Ratio</w:t>
      </w:r>
      <w:r>
        <w:rPr>
          <w:rFonts w:ascii="Times New Roman" w:cs="Times New Roman" w:eastAsia="Times New Roman" w:hAnsi="Times New Roman"/>
          <w:sz w:val="20"/>
          <w:szCs w:val="20"/>
          <w:color w:val="auto"/>
        </w:rPr>
        <w:t>” means, with respect to any Test Period, the ratio of (a) Consolidated Secured Net Debt under the Facilities and any Pari Passu Lien Debt outstanding as of the last day of such Test Period to (b) Consolidated Adjusted EBITDA of the Borrower for such Test Period.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Prepayment Date</w:t>
      </w:r>
      <w:r>
        <w:rPr>
          <w:rFonts w:ascii="Times New Roman" w:cs="Times New Roman" w:eastAsia="Times New Roman" w:hAnsi="Times New Roman"/>
          <w:sz w:val="20"/>
          <w:szCs w:val="20"/>
          <w:color w:val="auto"/>
        </w:rPr>
        <w:t>” means such date that is the 46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following the Third Amendment Funding Date.</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Fitch</w:t>
      </w:r>
      <w:r>
        <w:rPr>
          <w:rFonts w:ascii="Times New Roman" w:cs="Times New Roman" w:eastAsia="Times New Roman" w:hAnsi="Times New Roman"/>
          <w:sz w:val="20"/>
          <w:szCs w:val="20"/>
          <w:color w:val="auto"/>
        </w:rPr>
        <w:t>” means Fitch Ratings, Inc.,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2" w:name="page123"/>
    <w:bookmarkEnd w:id="12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Fixed Incremental Amount</w:t>
      </w:r>
      <w:r>
        <w:rPr>
          <w:rFonts w:ascii="Times New Roman" w:cs="Times New Roman" w:eastAsia="Times New Roman" w:hAnsi="Times New Roman"/>
          <w:sz w:val="20"/>
          <w:szCs w:val="20"/>
          <w:color w:val="auto"/>
        </w:rPr>
        <w:t>” means, as of the date of measurement, the sum of:</w:t>
      </w:r>
    </w:p>
    <w:p>
      <w:pPr>
        <w:spacing w:after="0" w:line="219" w:lineRule="exact"/>
        <w:rPr>
          <w:sz w:val="20"/>
          <w:szCs w:val="20"/>
          <w:color w:val="auto"/>
        </w:rPr>
      </w:pPr>
    </w:p>
    <w:p>
      <w:pPr>
        <w:ind w:left="760" w:right="20" w:firstLine="745"/>
        <w:spacing w:after="0" w:line="268" w:lineRule="auto"/>
        <w:tabs>
          <w:tab w:leader="none" w:pos="19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greater of (i) 100% of Closing Date EBITDA and (ii) 100% of TTM Consolidated Adjusted EBITDA as of the applicable date of determination, </w:t>
      </w:r>
      <w:r>
        <w:rPr>
          <w:rFonts w:ascii="Times New Roman" w:cs="Times New Roman" w:eastAsia="Times New Roman" w:hAnsi="Times New Roman"/>
          <w:sz w:val="20"/>
          <w:szCs w:val="20"/>
          <w:i w:val="1"/>
          <w:iCs w:val="1"/>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any voluntary prepayments (including those made through (i) debt buybacks (whether or not offered to all lenders) and in the case of below-par repurchases in an amount equal to the discounted amount actually paid in cash in respect of such below-par repurchase and (ii) “yank-a-bank” payments of Term Loans (including funded Delayed Draw Term Loans) made pursuant to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3.07</w:t>
      </w:r>
      <w:r>
        <w:rPr>
          <w:rFonts w:ascii="Times New Roman" w:cs="Times New Roman" w:eastAsia="Times New Roman" w:hAnsi="Times New Roman"/>
          <w:sz w:val="20"/>
          <w:szCs w:val="20"/>
          <w:color w:val="auto"/>
        </w:rPr>
        <w:t xml:space="preserve">, reductions in Delayed Draw Term Loan Commitments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repayments of Revolving Loans made pursuant to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3.07</w:t>
      </w:r>
      <w:r>
        <w:rPr>
          <w:rFonts w:ascii="Times New Roman" w:cs="Times New Roman" w:eastAsia="Times New Roman" w:hAnsi="Times New Roman"/>
          <w:sz w:val="20"/>
          <w:szCs w:val="20"/>
          <w:color w:val="auto"/>
        </w:rPr>
        <w:t xml:space="preserve"> (if accompanied by a corresponding reduction of commitments), prepayments of Pari Passu Lien Debt, or prepayments of the Second Lien Term Loans and other Junior Lien Debt, in each case, to the extent not funded with the proceeds of Funded Debt; </w:t>
      </w:r>
      <w:r>
        <w:rPr>
          <w:rFonts w:ascii="Times New Roman" w:cs="Times New Roman" w:eastAsia="Times New Roman" w:hAnsi="Times New Roman"/>
          <w:sz w:val="20"/>
          <w:szCs w:val="20"/>
          <w:i w:val="1"/>
          <w:iCs w:val="1"/>
          <w:u w:val="single" w:color="auto"/>
          <w:color w:val="auto"/>
        </w:rPr>
        <w:t>minus</w:t>
      </w:r>
    </w:p>
    <w:p>
      <w:pPr>
        <w:spacing w:after="0" w:line="18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any amounts incurred in reliance on this definition, the sum of:</w:t>
      </w:r>
    </w:p>
    <w:p>
      <w:pPr>
        <w:spacing w:after="0" w:line="214"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any Incremental Equivalent Debt incurred and then outstanding in reliance on the Fixed Incremental Amount, </w:t>
      </w:r>
      <w:r>
        <w:rPr>
          <w:rFonts w:ascii="Times New Roman" w:cs="Times New Roman" w:eastAsia="Times New Roman" w:hAnsi="Times New Roman"/>
          <w:sz w:val="20"/>
          <w:szCs w:val="20"/>
          <w:i w:val="1"/>
          <w:iCs w:val="1"/>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any “Incremental Loans” (as defined in the Second Lien Credit Agreement) incurred and then outstanding in reliance on the definition of “Fixed Incremental Amount” (or equivalent concept) in the Second Lien Credit Agreement,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any “Incremental Equivalent Debt” (as defined in the Second Lien Credit Agreement) incurred and then outstanding in reliance on the definition of “Fixed Incremental Amount” (or equivalent concept) in the Second Lien Credit Agreement;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Indebtedness incurred and then outstanding under </w:t>
      </w:r>
      <w:r>
        <w:rPr>
          <w:rFonts w:ascii="Times New Roman" w:cs="Times New Roman" w:eastAsia="Times New Roman" w:hAnsi="Times New Roman"/>
          <w:sz w:val="20"/>
          <w:szCs w:val="20"/>
          <w:u w:val="single" w:color="auto"/>
          <w:color w:val="auto"/>
        </w:rPr>
        <w:t>Section 6.03(y)(ii)</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Flood Insurance Certificate</w:t>
      </w:r>
      <w:r>
        <w:rPr>
          <w:rFonts w:ascii="Times New Roman" w:cs="Times New Roman" w:eastAsia="Times New Roman" w:hAnsi="Times New Roman"/>
          <w:sz w:val="20"/>
          <w:szCs w:val="20"/>
          <w:color w:val="auto"/>
        </w:rPr>
        <w:t>” means with respect to each Mortgaged Property, a completed “Life-of-Loan” Federal Emergency Management Agency Standard Flood Hazard Determination.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of interest equal to 0.00%.</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Casualty Event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2.07(b)(vi)(A)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Disposition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2.07(b)(vi)(A)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Plan</w:t>
      </w:r>
      <w:r>
        <w:rPr>
          <w:rFonts w:ascii="Times New Roman" w:cs="Times New Roman" w:eastAsia="Times New Roman" w:hAnsi="Times New Roman"/>
          <w:sz w:val="20"/>
          <w:szCs w:val="20"/>
          <w:color w:val="auto"/>
        </w:rPr>
        <w:t>” means any material employee benefit plan, program or agreement maintained or contributed to by, or entered into with, Holdings or any Subsidiary of Holdings with respect to employees employed outside the United States (other than benefit plans, programs or agreements that are mandated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3" w:name="page124"/>
    <w:bookmarkEnd w:id="12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means any direct or indirect Subsidiary of the Borrower that is not a Domestic Subsidiary.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Fronted Delayed Draw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2.01(b)(vi)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Fronting Exposure</w:t>
      </w:r>
      <w:r>
        <w:rPr>
          <w:rFonts w:ascii="Times New Roman" w:cs="Times New Roman" w:eastAsia="Times New Roman" w:hAnsi="Times New Roman"/>
          <w:sz w:val="20"/>
          <w:szCs w:val="20"/>
          <w:color w:val="auto"/>
        </w:rPr>
        <w:t>” means, at any time there is a Defaulting Lender, (a)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 and (b) with respect to the Swing Line Lender, such Defaulting Lender’s Pro Rata Share of the outstanding Obligations with respect to Swing Line Loans extended by the Swing Line Lender other than such Obligations as to which such Defaulting Lender’s participation obligation has been reallocated to other Lenders or Cash Collateralized in accordance with the terms hereof.</w:t>
      </w:r>
    </w:p>
    <w:p>
      <w:pPr>
        <w:spacing w:after="0" w:line="18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FSHCO</w:t>
      </w:r>
      <w:r>
        <w:rPr>
          <w:rFonts w:ascii="Times New Roman" w:cs="Times New Roman" w:eastAsia="Times New Roman" w:hAnsi="Times New Roman"/>
          <w:sz w:val="20"/>
          <w:szCs w:val="20"/>
          <w:color w:val="auto"/>
        </w:rPr>
        <w:t>” means any direct or indirect Subsidiary of Holdings (other than the Borrower) that has no material assets other than Equity Interests (or Equity Interests and Indebtedness) in one or more Foreign Subsidiaries or other FSHCOs.</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means any Person (other than a natural person) that is engaged in making, purchasing, holding or otherwise investing in commercial loans and similar extensions of credit in the ordinary course.</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Funded Debt</w:t>
      </w:r>
      <w:r>
        <w:rPr>
          <w:rFonts w:ascii="Times New Roman" w:cs="Times New Roman" w:eastAsia="Times New Roman" w:hAnsi="Times New Roman"/>
          <w:sz w:val="20"/>
          <w:szCs w:val="20"/>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generally accepted accounting principles in the United States, as in effect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Borrower notifies the Administrative Agent that the Borrower requests an amendment to any provision hereof to eliminate the effect of any change occurring after the Closing Date in GAAP or in the application thereof (including through the adoption of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Asset Sale Basket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7.05(j)</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Intercompany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executed by Holdings, the Borrower and the wholly owned Restricted Subsidiaries.</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4" w:name="page125"/>
    <w:bookmarkEnd w:id="124"/>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 Event</w:t>
      </w:r>
      <w:r>
        <w:rPr>
          <w:rFonts w:ascii="Times New Roman" w:cs="Times New Roman" w:eastAsia="Times New Roman" w:hAnsi="Times New Roman"/>
          <w:sz w:val="20"/>
          <w:szCs w:val="20"/>
          <w:color w:val="auto"/>
        </w:rPr>
        <w:t xml:space="preserve">” means the occurrence of any of the following: (a) the formation or acquisition of any new wholly owned Material Domestic Subsidiary by any Loan Party, (b) the designation in accordance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of any existing wholly owned Material Domestic Subsidiary of any Loan Party as a Restricted Subsidiary, (c) any Person becoming a wholly owned Material Domestic Subsidiary that is a Restricted Subsidiary of a Loan Party, in each case under clauses (a) – (c) other than an Excluded Subsidiary, or (d) any Restricted Subsidiary of a Loan Party ceasing to be an Excluded Subsidiary.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20"/>
          <w:szCs w:val="20"/>
          <w:b w:val="1"/>
          <w:bCs w:val="1"/>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xml:space="preserve">” means Holdings and each Restricted Subsidiary that executed a counterpart to the Guaranty (or a joinder thereto) on the Closing Date or thereafter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in each case, other than any Excluded Subsidiaries.</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xml:space="preserve">” means (a) the guaranty made by Holdings and the other Guarantors in favor of the Administrative Agent on behalf of the Secured Parties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and (b) each other guaranty and guaranty supplement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Agreement</w:t>
      </w:r>
      <w:r>
        <w:rPr>
          <w:rFonts w:ascii="Times New Roman" w:cs="Times New Roman" w:eastAsia="Times New Roman" w:hAnsi="Times New Roman"/>
          <w:sz w:val="20"/>
          <w:szCs w:val="20"/>
          <w:color w:val="auto"/>
        </w:rPr>
        <w:t>” means any agreement with respect to (a) any and all rate swap transactions, basis swaps, credit derivative transactions, forward rate transactions, commodity swaps, commodity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5" w:name="page126"/>
    <w:bookmarkEnd w:id="125"/>
    <w:p>
      <w:pPr>
        <w:jc w:val="both"/>
        <w:spacing w:after="0" w:line="242" w:lineRule="auto"/>
        <w:rPr>
          <w:sz w:val="20"/>
          <w:szCs w:val="20"/>
          <w:color w:val="auto"/>
        </w:rPr>
      </w:pPr>
      <w:r>
        <w:rPr>
          <w:rFonts w:ascii="Times New Roman" w:cs="Times New Roman" w:eastAsia="Times New Roman" w:hAnsi="Times New Roman"/>
          <w:sz w:val="20"/>
          <w:szCs w:val="20"/>
          <w:color w:val="auto"/>
        </w:rPr>
        <w:t>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Bank</w:t>
      </w:r>
      <w:r>
        <w:rPr>
          <w:rFonts w:ascii="Times New Roman" w:cs="Times New Roman" w:eastAsia="Times New Roman" w:hAnsi="Times New Roman"/>
          <w:sz w:val="20"/>
          <w:szCs w:val="20"/>
          <w:color w:val="auto"/>
        </w:rPr>
        <w:t xml:space="preserve">” means any Person that is an Agent, a Lender, a Lead Arranger or an Affiliate of any of the foregoing on the Closing Date (with respect to any Secured Hedge Agreement entered into on or prior to the Closing Date) or at the time it enters into a Secured Hedge Agreement, in its capacity as a party thereto, whether or not such Person subsequently ceases to be an Agent, a Lender, a Lead Arranger or an Affiliate of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at the time of entering into a Secured Hedge Agreement, no Hedge Bank shall be a Defaulting Lender.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HMT</w:t>
      </w:r>
      <w:r>
        <w:rPr>
          <w:rFonts w:ascii="Times New Roman" w:cs="Times New Roman" w:eastAsia="Times New Roman" w:hAnsi="Times New Roman"/>
          <w:sz w:val="20"/>
          <w:szCs w:val="20"/>
          <w:color w:val="auto"/>
        </w:rPr>
        <w:t>” means Her Majesty’s Treasury.</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has the meaning specified in the preliminary statements to this Agreement, together with its successors and assigns permitted hereunder.</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Immaterial Subsidiary</w:t>
      </w:r>
      <w:r>
        <w:rPr>
          <w:rFonts w:ascii="Times New Roman" w:cs="Times New Roman" w:eastAsia="Times New Roman" w:hAnsi="Times New Roman"/>
          <w:sz w:val="20"/>
          <w:szCs w:val="20"/>
          <w:color w:val="auto"/>
        </w:rPr>
        <w:t>” means any Subsidiary of the Borrower other than a Material Subsidiary.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Equivalent Debt</w:t>
      </w:r>
      <w:r>
        <w:rPr>
          <w:rFonts w:ascii="Times New Roman" w:cs="Times New Roman" w:eastAsia="Times New Roman" w:hAnsi="Times New Roman"/>
          <w:sz w:val="20"/>
          <w:szCs w:val="20"/>
          <w:color w:val="auto"/>
        </w:rPr>
        <w:t xml:space="preserve">” means secured or unsecured Indebtedness of the Borrower and its Subsidiary Guarantors in the form of term loans or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57" w:lineRule="exact"/>
        <w:rPr>
          <w:sz w:val="20"/>
          <w:szCs w:val="20"/>
          <w:color w:val="auto"/>
        </w:rPr>
      </w:pPr>
    </w:p>
    <w:p>
      <w:pPr>
        <w:ind w:firstLine="757"/>
        <w:spacing w:after="0" w:line="268" w:lineRule="auto"/>
        <w:tabs>
          <w:tab w:leader="none" w:pos="114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Incremental Equivalent Debt on any date such Indebtedness is incurred shall not, together with any Incremental Revolving Facilities and/or Incremental Term Facilities then outstanding, exceed the Incremental Amount;</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Equivalent Debt (i) that is Pari Passu Lien Debt shall not mature prior to the Latest Maturity Date of, and shall not have a Weighted Average Life to Maturity shorter than the remaining Weighted Average Life to Maturity of, the Initial Term Loans, or (ii) that is Junior Lien Debt or unsecured Indebtedness shall not mature, or have scheduled amortization, prior to the date that is 91 days following the Latest Maturity Date of the Initial Term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to the incurrence of any such Indebtedness pursuant to the Inside Maturity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6" w:name="page127"/>
    <w:bookmarkEnd w:id="126"/>
    <w:p>
      <w:pPr>
        <w:jc w:val="both"/>
        <w:ind w:left="-8" w:firstLine="757"/>
        <w:spacing w:after="0" w:line="259" w:lineRule="auto"/>
        <w:tabs>
          <w:tab w:leader="none" w:pos="113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such Incremental Equivalent Debt is guaranteed, such Indebtedness is not incurred or guaranteed by any Loan Party other than the Borrower and the Guarantors (including any Person required to be a Guarantor) (except (A) for guarantees by other Persons that are applicable only to periods after the Latest Maturity Date of the Term Loans or Revolving Loans, as applicable, at the time of incurrence and</w:t>
      </w:r>
    </w:p>
    <w:p>
      <w:pPr>
        <w:spacing w:after="0" w:line="2" w:lineRule="exact"/>
        <w:rPr>
          <w:rFonts w:ascii="Times New Roman" w:cs="Times New Roman" w:eastAsia="Times New Roman" w:hAnsi="Times New Roman"/>
          <w:sz w:val="19"/>
          <w:szCs w:val="19"/>
          <w:color w:val="auto"/>
        </w:rPr>
      </w:pPr>
    </w:p>
    <w:p>
      <w:pPr>
        <w:jc w:val="both"/>
        <w:ind w:left="-8" w:firstLine="8"/>
        <w:spacing w:after="0" w:line="239" w:lineRule="auto"/>
        <w:tabs>
          <w:tab w:leader="none" w:pos="31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Person incurring or guaranteeing such Incremental Term Facilities or Incremental Revolving Facilities, as applicable, that also guarantees the Term Loans or Revolving Loans, as applicable) and (ii) if such Incremental Equivalent Debt is secured, such Indebtedness is not secured by any Lien on any property or asset of the Borrower or any Guarantor that does not also secure the Term Loans or Revolving Loans, as applicable, at the time of such incurrence (except (A) customary cash collateral in favor of an agent, letter of credit issuer or similar “fronting” lender, (B) Liens on property or assets applicable only to periods after the Latest Maturity Date of the Term Loans or Revolving Loans, as applicable, at the time of incurrence, (C) any Liens on property or assets to the extent that a Lien on such property or asset is also added for the benefit of the Lenders under the Term Loans or Revolving Loans and (D) a Debt Representative acting on behalf of the holders of such Incremental Equivalent Debt has become party to, or is otherwise subject to the provisions of, (x) if such Incremental Equivalent Debt is Pari Passu Lien Debt, an Equal Priority Intercreditor Agreement or (y) if such Incremental Equivalent Debt is Junior Lien Debt, the Closing Date Intercreditor Agreement or another Junior Lien Intercreditor Agreement, as applicable;</w:t>
      </w:r>
    </w:p>
    <w:p>
      <w:pPr>
        <w:spacing w:after="0" w:line="195" w:lineRule="exact"/>
        <w:rPr>
          <w:rFonts w:ascii="Times New Roman" w:cs="Times New Roman" w:eastAsia="Times New Roman" w:hAnsi="Times New Roman"/>
          <w:sz w:val="20"/>
          <w:szCs w:val="20"/>
          <w:color w:val="auto"/>
        </w:rPr>
      </w:pPr>
    </w:p>
    <w:p>
      <w:pPr>
        <w:ind w:left="1152" w:hanging="403"/>
        <w:spacing w:after="0"/>
        <w:tabs>
          <w:tab w:leader="none" w:pos="115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prepayments of any Incremental Equivalent Debt:</w:t>
      </w:r>
    </w:p>
    <w:p>
      <w:pPr>
        <w:spacing w:after="0" w:line="210" w:lineRule="exact"/>
        <w:rPr>
          <w:rFonts w:ascii="Times New Roman" w:cs="Times New Roman" w:eastAsia="Times New Roman" w:hAnsi="Times New Roman"/>
          <w:sz w:val="20"/>
          <w:szCs w:val="20"/>
          <w:color w:val="auto"/>
        </w:rPr>
      </w:pPr>
    </w:p>
    <w:p>
      <w:pPr>
        <w:jc w:val="both"/>
        <w:ind w:left="752" w:firstLine="745"/>
        <w:spacing w:after="0" w:line="250" w:lineRule="auto"/>
        <w:tabs>
          <w:tab w:leader="none" w:pos="1896"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Pari Passu Lien Debt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with any corresponding mandatory prepayment of the Loans (but not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except for (A) any repayment of such Incremental Equivalent Debt at maturity and (B) any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repayment of such Incremental Equivalent Debt with the proceeds of a refinancing thereof); and</w:t>
      </w:r>
    </w:p>
    <w:p>
      <w:pPr>
        <w:spacing w:after="0" w:line="178" w:lineRule="exact"/>
        <w:rPr>
          <w:rFonts w:ascii="Times New Roman" w:cs="Times New Roman" w:eastAsia="Times New Roman" w:hAnsi="Times New Roman"/>
          <w:sz w:val="20"/>
          <w:szCs w:val="20"/>
          <w:color w:val="auto"/>
        </w:rPr>
      </w:pPr>
    </w:p>
    <w:p>
      <w:pPr>
        <w:jc w:val="both"/>
        <w:ind w:left="752" w:firstLine="745"/>
        <w:spacing w:after="0" w:line="253" w:lineRule="auto"/>
        <w:tabs>
          <w:tab w:leader="none" w:pos="1896"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comprises Junior Financing or unsecured notes or loans may not be made unless, to the extent required hereunder or pursuant to the terms of any Incremental Equivalent Debt that is Pari Passu Lien Debt, such prepayments are first made or offered to the Loans and any such Incremental Equivalent Debt that is Pari Passu Lien Debt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w:t>
      </w:r>
    </w:p>
    <w:p>
      <w:pPr>
        <w:spacing w:after="0" w:line="176" w:lineRule="exact"/>
        <w:rPr>
          <w:sz w:val="20"/>
          <w:szCs w:val="20"/>
          <w:color w:val="auto"/>
        </w:rPr>
      </w:pPr>
    </w:p>
    <w:p>
      <w:pPr>
        <w:ind w:left="752" w:right="20" w:firstLine="745"/>
        <w:spacing w:after="0" w:line="268" w:lineRule="auto"/>
        <w:tabs>
          <w:tab w:leader="none" w:pos="189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Incremental Equivalent Debt is in the form of term loans and is Pari Passu Lien Debt, then the provisions of </w:t>
      </w:r>
      <w:r>
        <w:rPr>
          <w:rFonts w:ascii="Times New Roman" w:cs="Times New Roman" w:eastAsia="Times New Roman" w:hAnsi="Times New Roman"/>
          <w:sz w:val="20"/>
          <w:szCs w:val="20"/>
          <w:u w:val="single" w:color="auto"/>
          <w:color w:val="auto"/>
        </w:rPr>
        <w:t>Section 2.16(h)</w:t>
      </w:r>
      <w:r>
        <w:rPr>
          <w:rFonts w:ascii="Times New Roman" w:cs="Times New Roman" w:eastAsia="Times New Roman" w:hAnsi="Times New Roman"/>
          <w:sz w:val="20"/>
          <w:szCs w:val="20"/>
          <w:color w:val="auto"/>
        </w:rPr>
        <w:t xml:space="preserve"> shall apply as if such Incremental Equivalent Debt was Incremental Term Loans.</w:t>
      </w:r>
    </w:p>
    <w:p>
      <w:pPr>
        <w:spacing w:after="0" w:line="16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Incremental Equivalent Debt will be deemed to include any Registered Equivalent Notes issued in exchange therefor.</w:t>
      </w:r>
    </w:p>
    <w:p>
      <w:pPr>
        <w:spacing w:after="0" w:line="21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Facilities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Facility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Facilities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337820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127" w:name="page128"/>
    <w:bookmarkEnd w:id="127"/>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 Commitment</w:t>
      </w:r>
      <w:r>
        <w:rPr>
          <w:rFonts w:ascii="Times New Roman" w:cs="Times New Roman" w:eastAsia="Times New Roman" w:hAnsi="Times New Roman"/>
          <w:sz w:val="20"/>
          <w:szCs w:val="20"/>
          <w:color w:val="auto"/>
        </w:rPr>
        <w:t>” means the commitment of a Lender to make or otherwise fund an Incremental Term Loan and “Incremental Term Loan Commitments” means such commitments of all Lenders in the aggregate.</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 Exposure</w:t>
      </w:r>
      <w:r>
        <w:rPr>
          <w:rFonts w:ascii="Times New Roman" w:cs="Times New Roman" w:eastAsia="Times New Roman" w:hAnsi="Times New Roman"/>
          <w:sz w:val="20"/>
          <w:szCs w:val="20"/>
          <w:color w:val="auto"/>
        </w:rPr>
        <w:t xml:space="preserve">” means, with respect to any Lender, as of any date of determination, the outstanding principal amount of the Incremental Term Loans of such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at any time prior to the making of the Incremental Term Loans, the Incremental Term Loan Exposure of any Lender shall be equal to such Lender’s Incremental Term Loan Commitment.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without duplication,</w:t>
      </w:r>
    </w:p>
    <w:p>
      <w:pPr>
        <w:spacing w:after="0" w:line="219" w:lineRule="exact"/>
        <w:rPr>
          <w:sz w:val="20"/>
          <w:szCs w:val="20"/>
          <w:color w:val="auto"/>
        </w:rPr>
      </w:pPr>
    </w:p>
    <w:p>
      <w:pPr>
        <w:jc w:val="both"/>
        <w:ind w:left="760" w:firstLine="745"/>
        <w:spacing w:after="0" w:line="242" w:lineRule="auto"/>
        <w:tabs>
          <w:tab w:leader="none" w:pos="19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(including principal or premium) of such Person in respect of borrowed money, evidenced by bonds, notes, debentures, loan agreements or similar instruments, letters of credit or banker’s acceptances (or, without double counting, reimbursement agreements in respect thereof), representing Capital Lease Obligations or the balance deferred and unpaid of the purchase price of any property, except (i) any such balance that constitutes a trade payable or similar obligation to a trade creditor, in each case accrued in the ordinary course of business, or representing any Swap Obligations and (ii) any earn-out obligations until, after 30 days of becoming due and payable, has not been paid and such obligation becomes a liability on the balance sheet of such Person in accordance with GAAP and any purchase price holdbacks in respect of a portion of the purchase price of an asset to satisfy warranty or other unperformed obligations of the seller, if and to the extent any of the foregoing indebtedness (other than letters of credit and Swap Obligations) would appear as a liability upon a balance sheet (excluding the footnotes thereto) of such Person prepared in accordance with GAAP;</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included, any guarantee obligation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the obligations of the type referred to in clause (a) of another Person secured by a Lien on any property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such Indebtedness for purposes of this clause (c) will be the lesser of the fair market value of such property at such date of determination and the amount of Indebtedness so secured;</w:t>
      </w:r>
    </w:p>
    <w:p>
      <w:pPr>
        <w:spacing w:after="0" w:line="183"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Hedge Agreement to the extent such obligations would appear as a net liability on a balance sheet of such Person (other than in the footnotes) prepared in accordance with GAAP; and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Disqualified Equity Interests;</w:t>
      </w:r>
    </w:p>
    <w:p>
      <w:pPr>
        <w:spacing w:after="0" w:line="211"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the foregoing, Indebtedness will be deemed not to include (1) contingent obligations incurred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ordinary course of business unless and until such obligations are non-contingent or (2) indebtedness that constitutes “</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merely by virtue of a pledge of the capital stock of an Unrestricted Subsidiary. For all purposes hereof, the Indebtedness of any Person shall in the case of Restricted Subsidiaries that are not Loan Parties, exclude loans and advances made by Loan Parties having a term not exceeding 364 days (inclusive of any roll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8" w:name="page129"/>
    <w:bookmarkEnd w:id="128"/>
    <w:p>
      <w:pPr>
        <w:jc w:val="both"/>
        <w:ind w:left="760"/>
        <w:spacing w:after="0" w:line="250" w:lineRule="auto"/>
        <w:rPr>
          <w:sz w:val="20"/>
          <w:szCs w:val="20"/>
          <w:color w:val="auto"/>
        </w:rPr>
      </w:pPr>
      <w:r>
        <w:rPr>
          <w:rFonts w:ascii="Times New Roman" w:cs="Times New Roman" w:eastAsia="Times New Roman" w:hAnsi="Times New Roman"/>
          <w:sz w:val="20"/>
          <w:szCs w:val="20"/>
          <w:color w:val="auto"/>
        </w:rPr>
        <w:t>or extension of terms) and made in the ordinary course of business (such loans and advances, “</w:t>
      </w:r>
      <w:r>
        <w:rPr>
          <w:rFonts w:ascii="Times New Roman" w:cs="Times New Roman" w:eastAsia="Times New Roman" w:hAnsi="Times New Roman"/>
          <w:sz w:val="20"/>
          <w:szCs w:val="20"/>
          <w:b w:val="1"/>
          <w:bCs w:val="1"/>
          <w:color w:val="auto"/>
        </w:rPr>
        <w:t>Short Term Advances</w:t>
      </w:r>
      <w:r>
        <w:rPr>
          <w:rFonts w:ascii="Times New Roman" w:cs="Times New Roman" w:eastAsia="Times New Roman" w:hAnsi="Times New Roman"/>
          <w:sz w:val="20"/>
          <w:szCs w:val="20"/>
          <w:color w:val="auto"/>
        </w:rPr>
        <w:t>”). Indebtedness shall not include Indebtedness of any direct or indirect parent company appearing on the balance sheet of such Person solely by reason of push down accounting under GAAP. The amount of any net obligation under any Hedge Agreement on any date shall be deemed to be the Swap Termination Value thereof as of such date.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Liabilities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Financial Advisor</w:t>
      </w:r>
      <w:r>
        <w:rPr>
          <w:rFonts w:ascii="Times New Roman" w:cs="Times New Roman" w:eastAsia="Times New Roman" w:hAnsi="Times New Roman"/>
          <w:sz w:val="20"/>
          <w:szCs w:val="20"/>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Term Loan Commitment</w:t>
      </w:r>
      <w:r>
        <w:rPr>
          <w:rFonts w:ascii="Times New Roman" w:cs="Times New Roman" w:eastAsia="Times New Roman" w:hAnsi="Times New Roman"/>
          <w:sz w:val="19"/>
          <w:szCs w:val="19"/>
          <w:color w:val="auto"/>
        </w:rPr>
        <w:t xml:space="preserve">” means, as to each Lender, (I) prior to the Third Amendment Effective Date, its obligation to make an Initial Term Loan (other than a Delayed Draw Term Loan) to the Borrower hereunder on the Closing Date, expressed as an amount representing the maximum principal amount of such Initial Term Loans to be made by such Lender under this Agreement, and (II) on or after the Third Amendment Effective Date, its obligation to make a 2021 Incremental Term Loan to the Borrower hereunder on the Third Amendment Funding Date, expressed as an amount representing the maximum principal amount of such 2021 Incremental Term Loans to be made by such Lender under the Third Amendment, in each case, as such commitment may be (a) reduced from time to time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and (b) reduced or increased from time to time pursuant to (i) assignments by or to such Lender pursuant to an Assignment and Assumption, (ii) a Refinancing Amendment or (iii) an Extension. The initial amount of each Lender’s Initial Term Loan Commitment is set forth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under the caption “Initial Term Loan Commitment” or, otherwise, in the Assignment and Assumption, Refinancing Amendment or Incremental Amendment (including the Third Amendment) pursuant to which such Lender shall have assumed its Initial Term Loan Commitment, as the case may be. The aggregate amount of the Initial Term Loan Commitments as of the Closing Date is $800,000,000. The aggregate amount of the 2021 Incremental Term Loan Commitments as of the Third Amendment Effective Date is $290,000,000.</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 Maturity Exception</w:t>
      </w:r>
      <w:r>
        <w:rPr>
          <w:rFonts w:ascii="Times New Roman" w:cs="Times New Roman" w:eastAsia="Times New Roman" w:hAnsi="Times New Roman"/>
          <w:sz w:val="20"/>
          <w:szCs w:val="20"/>
          <w:color w:val="auto"/>
        </w:rPr>
        <w:t xml:space="preserve">” means Indebtedness consisting of, at the Borrower’s option, any combination of Credit Agreement Refinancing Debt, Incremental Facilities, Incremental Equivalent Debt, Permitted Ratio Debt, Indebtedness incurred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7.03(l)(iii)</w:t>
      </w:r>
      <w:r>
        <w:rPr>
          <w:rFonts w:ascii="Times New Roman" w:cs="Times New Roman" w:eastAsia="Times New Roman" w:hAnsi="Times New Roman"/>
          <w:sz w:val="20"/>
          <w:szCs w:val="20"/>
          <w:color w:val="auto"/>
        </w:rPr>
        <w:t xml:space="preserve"> and Permitted Refinancing of the foregoing in an original principal amount not to exceed the greater of (a) $75,000,000 and (b) 50% of TTM Consolidated Adjusted EBITDA as of the applicable date of determination.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Security Agreements</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Intercreditor Agreements</w:t>
      </w:r>
      <w:r>
        <w:rPr>
          <w:rFonts w:ascii="Times New Roman" w:cs="Times New Roman" w:eastAsia="Times New Roman" w:hAnsi="Times New Roman"/>
          <w:sz w:val="20"/>
          <w:szCs w:val="20"/>
          <w:color w:val="auto"/>
        </w:rPr>
        <w:t>” means the Closing Date Intercreditor Agreement, any other Junior Lien Intercreditor Agreement and any Equal Priority Intercreditor Agreement, in each case that may be executed by the Collateral Agent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9" w:name="page130"/>
    <w:bookmarkEnd w:id="129"/>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Coverage Ratio</w:t>
      </w:r>
      <w:r>
        <w:rPr>
          <w:rFonts w:ascii="Times New Roman" w:cs="Times New Roman" w:eastAsia="Times New Roman" w:hAnsi="Times New Roman"/>
          <w:sz w:val="20"/>
          <w:szCs w:val="20"/>
          <w:color w:val="auto"/>
        </w:rPr>
        <w:t>” means, as of any date, the ratio of (a) Consolidated Adjusted EBITDA to (b) Consolidated Interest Expense, in each case for the Test Period as of such date.</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means, (a) as to any Eurocurrency Rate Loan or SOFR Loan, the last day of each Interest Period applicable to such Eurocurrency Rate Loan or SOFR Loan, as applicable, and the applicable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Interest Period for a Eurocurrency Rate Loan or SOFR Loan exceeds three months, the respective dates that fall every three months after the beginning of such Interest Period shall also be Interest Payment Dates, (b) as to any Base Rate Loan (including a Swing Line Loan), the last Business Day of each fiscal quarter and the applicable Maturity Date and (c) to the extent necessary to create a fungible tranche of Term Loans, the date of the incurrence of any Delayed Draw Term Loans and/or Incremental Term Loans.</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xml:space="preserve">” means, (x) as to each Eurocurrency Rate Loan, the period commencing on the date such Eurocurrency Rate Loan is disbursed or converted to or continued as a Eurocurrency Rate Loan and ending on the date one, two, three or six months thereafter, or to the extent consented to by each applicable Lender, twelve months (or such period of less than one month as may be consented to by each applicable Lender), as selected by the Borrower in its Committed Loan Notice and (y) as to each SOFR Loan, the period commencing on the date such SOFR Loan is disbursed or converted to or continued as a SOFR Loan and ending on the date one, three or six months thereafter, as selected by the Borrower in its Committed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7" w:lineRule="exact"/>
        <w:rPr>
          <w:sz w:val="20"/>
          <w:szCs w:val="20"/>
          <w:color w:val="auto"/>
        </w:rPr>
      </w:pPr>
    </w:p>
    <w:p>
      <w:pPr>
        <w:jc w:val="both"/>
        <w:ind w:left="760" w:firstLine="745"/>
        <w:spacing w:after="0" w:line="253" w:lineRule="auto"/>
        <w:tabs>
          <w:tab w:leader="none" w:pos="190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Maturity Date.</w:t>
      </w:r>
    </w:p>
    <w:p>
      <w:pPr>
        <w:spacing w:after="0" w:line="21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means, as to any Person, any direct or indirect acquisition or investment by such Person, including by means of (a) the purchase or other acquisition (including by merger or otherwise)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but excluding any Short Term Advances or (c) the purchase or other acquisition (in one transaction or a series of transactions, including by merger or otherwise) of all or substantially all of the property and assets or business of another Person or assets constituting a business unit, line of business or division of another Person. The amount of any Investment at any time shall be the amount of cash and the fair market value of other property actually invested (measured at the time made), without adjustment for subsequent changes in the value of such Investment, net of any return, whether a return of capital, interest, dividend or otherwise, with respect to such Investment.</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 Rating</w:t>
      </w:r>
      <w:r>
        <w:rPr>
          <w:rFonts w:ascii="Times New Roman" w:cs="Times New Roman" w:eastAsia="Times New Roman" w:hAnsi="Times New Roman"/>
          <w:sz w:val="20"/>
          <w:szCs w:val="20"/>
          <w:color w:val="auto"/>
        </w:rPr>
        <w:t>” means a rating equal to or higher than Baa3 (or the equivalent) by Moody’s and BBB- (or the equivalent) by S&amp;P, or an equivalent rating by any other nationally recognized statistical rating agency selected by the Borrower.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Internal Revenue Service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Issuance Notice</w:t>
      </w:r>
      <w:r>
        <w:rPr>
          <w:rFonts w:ascii="Times New Roman" w:cs="Times New Roman" w:eastAsia="Times New Roman" w:hAnsi="Times New Roman"/>
          <w:sz w:val="20"/>
          <w:szCs w:val="20"/>
          <w:color w:val="auto"/>
        </w:rPr>
        <w:t xml:space="preserve">” means an Issuance Notice in respect of letters of credit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Bank</w:t>
      </w:r>
      <w:r>
        <w:rPr>
          <w:rFonts w:ascii="Times New Roman" w:cs="Times New Roman" w:eastAsia="Times New Roman" w:hAnsi="Times New Roman"/>
          <w:sz w:val="20"/>
          <w:szCs w:val="20"/>
          <w:color w:val="auto"/>
        </w:rPr>
        <w:t xml:space="preserve">” means each of Jefferies Finance, Bank of Montreal, UBS AG, Stamford Branch, Bank of America, N.A., Morgan Stanley Senior Funding, Inc. and Goldman Sachs Bank USA, each as an Issuing Bank hereunder, together with its permitted successors and assigns in such capacity, and any other Revolving Lender that becomes an Issuing Bank in accordance with </w:t>
      </w:r>
      <w:r>
        <w:rPr>
          <w:rFonts w:ascii="Times New Roman" w:cs="Times New Roman" w:eastAsia="Times New Roman" w:hAnsi="Times New Roman"/>
          <w:sz w:val="20"/>
          <w:szCs w:val="20"/>
          <w:u w:val="single" w:color="auto"/>
          <w:color w:val="auto"/>
        </w:rPr>
        <w:t>Section 2.04(k)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Any Issuing Bank may cause Letters of Credit to be issued by an Affiliate of such Issuing Bank or by another financial institution designated by such Issuing Bank, and all Letters of Credit issued by any such Affiliate or any such designated financial institution shall be treated as being issued by such Issuing Bank for all purposes under the Loan Documents.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Jefferies Finance</w:t>
      </w:r>
      <w:r>
        <w:rPr>
          <w:rFonts w:ascii="Times New Roman" w:cs="Times New Roman" w:eastAsia="Times New Roman" w:hAnsi="Times New Roman"/>
          <w:sz w:val="20"/>
          <w:szCs w:val="20"/>
          <w:color w:val="auto"/>
        </w:rPr>
        <w:t>” has the meaning specified in the introductory paragraph to this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Bookrunners</w:t>
      </w:r>
      <w:r>
        <w:rPr>
          <w:rFonts w:ascii="Times New Roman" w:cs="Times New Roman" w:eastAsia="Times New Roman" w:hAnsi="Times New Roman"/>
          <w:sz w:val="20"/>
          <w:szCs w:val="20"/>
          <w:color w:val="auto"/>
        </w:rPr>
        <w:t>” means Jefferies Finance, BMOCM, UBS and Nomura.</w:t>
      </w:r>
    </w:p>
    <w:p>
      <w:pPr>
        <w:spacing w:after="0" w:line="21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Venture</w:t>
      </w:r>
      <w:r>
        <w:rPr>
          <w:rFonts w:ascii="Times New Roman" w:cs="Times New Roman" w:eastAsia="Times New Roman" w:hAnsi="Times New Roman"/>
          <w:sz w:val="20"/>
          <w:szCs w:val="20"/>
          <w:color w:val="auto"/>
        </w:rPr>
        <w:t>” means (a) any Person which would constitute an “equity method investee” of the Borrower or any of the Restricted Subsidiaries and (b) any Person in whom the Borrower or any of the Restricted Subsidiaries beneficially owns any Equity Interest that is not a Restricted Subsidiary (other than an Unrestricted Subsidiary).</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Venture Investments</w:t>
      </w:r>
      <w:r>
        <w:rPr>
          <w:rFonts w:ascii="Times New Roman" w:cs="Times New Roman" w:eastAsia="Times New Roman" w:hAnsi="Times New Roman"/>
          <w:sz w:val="20"/>
          <w:szCs w:val="20"/>
          <w:color w:val="auto"/>
        </w:rPr>
        <w:t>” means Investments in any Joint Venture or Unrestricted Subsidiary in an aggregate amount not to exceed the greater of (a) 25% of Closing Date EBITDA and (b) 25% of TTM Consolidated Adjusted EBITDA as of the applicable date of determination.</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Financing</w:t>
      </w:r>
      <w:r>
        <w:rPr>
          <w:rFonts w:ascii="Times New Roman" w:cs="Times New Roman" w:eastAsia="Times New Roman" w:hAnsi="Times New Roman"/>
          <w:sz w:val="20"/>
          <w:szCs w:val="20"/>
          <w:color w:val="auto"/>
        </w:rPr>
        <w:t>” means any Material Indebtedness that is contractually subordinated in right of payment to the Obligations expressly by its terms.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Financing Documentation</w:t>
      </w:r>
      <w:r>
        <w:rPr>
          <w:rFonts w:ascii="Times New Roman" w:cs="Times New Roman" w:eastAsia="Times New Roman" w:hAnsi="Times New Roman"/>
          <w:sz w:val="20"/>
          <w:szCs w:val="20"/>
          <w:color w:val="auto"/>
        </w:rPr>
        <w:t>” means any documentation governing any Junior Financing.</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Lien Debt</w:t>
      </w:r>
      <w:r>
        <w:rPr>
          <w:rFonts w:ascii="Times New Roman" w:cs="Times New Roman" w:eastAsia="Times New Roman" w:hAnsi="Times New Roman"/>
          <w:sz w:val="20"/>
          <w:szCs w:val="20"/>
          <w:color w:val="auto"/>
        </w:rPr>
        <w:t>” means any Indebtedness that is secured by a Lien on Collateral that has a priority that is contractually junior to the Lien on such Collateral that secure the Obligations.</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Lien Intercreditor Agreement</w:t>
      </w:r>
      <w:r>
        <w:rPr>
          <w:rFonts w:ascii="Times New Roman" w:cs="Times New Roman" w:eastAsia="Times New Roman" w:hAnsi="Times New Roman"/>
          <w:sz w:val="20"/>
          <w:szCs w:val="20"/>
          <w:color w:val="auto"/>
        </w:rPr>
        <w:t xml:space="preserve">” means an intercreditor agreement, substantially in the form attached hereto as </w:t>
      </w:r>
      <w:r>
        <w:rPr>
          <w:rFonts w:ascii="Times New Roman" w:cs="Times New Roman" w:eastAsia="Times New Roman" w:hAnsi="Times New Roman"/>
          <w:sz w:val="20"/>
          <w:szCs w:val="20"/>
          <w:u w:val="single" w:color="auto"/>
          <w:color w:val="auto"/>
        </w:rPr>
        <w:t>Exhibit K-1</w:t>
      </w:r>
      <w:r>
        <w:rPr>
          <w:rFonts w:ascii="Times New Roman" w:cs="Times New Roman" w:eastAsia="Times New Roman" w:hAnsi="Times New Roman"/>
          <w:sz w:val="20"/>
          <w:szCs w:val="20"/>
          <w:color w:val="auto"/>
        </w:rPr>
        <w:t xml:space="preserve"> (as the same may be modified in a manner satisfactory to the Administrative Agent, the Collateral Agent and the Borrower), or, if requested by the providers of Indebtedness permitted hereunder to be Junior Lien Debt, another lien subordination arrangement reasonably satisfactory to the Administrative Agent, the Collateral Agent and the Borrower, in each case as amended, restated, amended and restated, modified or supplemented from time to time in accordance with the terms hereof and thereof. Upon the request of the Borrower, the Collateral Agent will execute and deliver a Junior Lien Intercreditor Agreement with one or more Debt Representatives for secured Indebtedness that is permitted to be incurred hereunder as Junior Lien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make such request unless such Indebtedness and related Liens do not violate (including with respect to priority) any provisions of the Loan Documents.</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Latest Maturity Date</w:t>
      </w:r>
      <w:r>
        <w:rPr>
          <w:rFonts w:ascii="Times New Roman" w:cs="Times New Roman" w:eastAsia="Times New Roman" w:hAnsi="Times New Roman"/>
          <w:sz w:val="20"/>
          <w:szCs w:val="20"/>
          <w:color w:val="auto"/>
        </w:rPr>
        <w:t>” means, at any date of determination, the latest maturity or expiration date applicable to any Loan or Commitment hereunder at such time, including the latest maturity or expiration date of any Incremental Loan, any Refinancing Term Loan, any Refinancing Revolving Loan, any Extended Term Loan or any Extended Revolving Commitment, in each case as extended in accordance with this Agreement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1" w:name="page132"/>
    <w:bookmarkEnd w:id="131"/>
    <w:p>
      <w:pPr>
        <w:jc w:val="both"/>
        <w:ind w:firstLine="749"/>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Laws</w:t>
      </w:r>
      <w:r>
        <w:rPr>
          <w:rFonts w:ascii="Times New Roman" w:cs="Times New Roman" w:eastAsia="Times New Roman" w:hAnsi="Times New Roman"/>
          <w:sz w:val="19"/>
          <w:szCs w:val="19"/>
          <w:color w:val="auto"/>
        </w:rPr>
        <w:t>” means, collectively, all international, foreign, federal, state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LCA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1.08(f)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LCA Test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1.08(f)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Lead Arrangers</w:t>
      </w:r>
      <w:r>
        <w:rPr>
          <w:rFonts w:ascii="Times New Roman" w:cs="Times New Roman" w:eastAsia="Times New Roman" w:hAnsi="Times New Roman"/>
          <w:sz w:val="20"/>
          <w:szCs w:val="20"/>
          <w:color w:val="auto"/>
        </w:rPr>
        <w:t>” means (a) Jefferies Finance, BMOCM, UBS and Nomura, for the Initial Term Loans and (b) Jefferies Finance, for the 2021 Incremental Term Loans.</w:t>
      </w:r>
    </w:p>
    <w:p>
      <w:pPr>
        <w:spacing w:after="0" w:line="15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xml:space="preserve">” has the meaning specified in the introductory paragraph to this Agreement (and, for the avoidance of doubt, includes each Revolving Lender and each Term Loan Lender), and their respective successors and assigns as permitted hereunder, each of which is referred to herein as a “Lender.” Each Additional Lender shall be a Lender to the extent any such Person has executed and delivered a Refinancing Amendment or an Incremental Amendment, as the case may be, and to the extent such Refinancing Amendment or Incremental Amendment shall have become effective in accordance with the terms hereof and thereof, and each Extending Lender shall continue to be a Lender. As of the Closing Date,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sets forth the name of each Lender. Unless the context otherwise requires, the term “Lenders” includes the Issuing Banks and the Swing Line Lender. Notwithstanding the foregoing, no Disqualified Lender that purports to become a Lender hereunder (notwithstanding the provisions of this Agreement that prohibit Disqualified Lenders from becoming Lenders) shall be entitled to any of the rights or privileges enjoyed by the other Lenders (including with respect to voting, information and lender meetings) and shall be deemed for all purposes to be, at most, a Defaulting Lender (except for purposes of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 until such time as such Disqualified Lender no longer owns any Loans or Commitments.</w:t>
      </w:r>
    </w:p>
    <w:p>
      <w:pPr>
        <w:spacing w:after="0" w:line="186"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means a letter of credit issued or to be issued by any Issuing Bank pursuant to this Agreement, which letter of credit shall be (a) a standby letter of credit or (b) solely to the extent agreed by the applicable Issuing Bank in its sole discretion, a commercial or “trade” letter of credit.</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Advance</w:t>
      </w:r>
      <w:r>
        <w:rPr>
          <w:rFonts w:ascii="Times New Roman" w:cs="Times New Roman" w:eastAsia="Times New Roman" w:hAnsi="Times New Roman"/>
          <w:sz w:val="20"/>
          <w:szCs w:val="20"/>
          <w:color w:val="auto"/>
        </w:rPr>
        <w:t>” means, as to any Revolving Lender, such Lender’s funding of its participation in any Letter of Credit Borrowing in accordance with its Pro Rata Share.</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applicable Issuing Bank, together with an Issuance Notice.</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Borrowing</w:t>
      </w:r>
      <w:r>
        <w:rPr>
          <w:rFonts w:ascii="Times New Roman" w:cs="Times New Roman" w:eastAsia="Times New Roman" w:hAnsi="Times New Roman"/>
          <w:sz w:val="20"/>
          <w:szCs w:val="20"/>
          <w:color w:val="auto"/>
        </w:rPr>
        <w:t>” means an extension of credit resulting from a drawing under any Letter of Credit that has not been reimbursed by the Borrower on the date when made or refinanced as a Revolving Loan Borrowing.</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Documents</w:t>
      </w:r>
      <w:r>
        <w:rPr>
          <w:rFonts w:ascii="Times New Roman" w:cs="Times New Roman" w:eastAsia="Times New Roman" w:hAnsi="Times New Roman"/>
          <w:sz w:val="20"/>
          <w:szCs w:val="20"/>
          <w:color w:val="auto"/>
        </w:rPr>
        <w:t>” means, as to any Letter of Credit, each Letter of Credit Application and any other document, agreement and instrument entered into by the applicable Issuing Bank and the Borrower or in favor of such Issuing Bank and relating to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2" w:name="page133"/>
    <w:bookmarkEnd w:id="132"/>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Expiration Date</w:t>
      </w:r>
      <w:r>
        <w:rPr>
          <w:rFonts w:ascii="Times New Roman" w:cs="Times New Roman" w:eastAsia="Times New Roman" w:hAnsi="Times New Roman"/>
          <w:sz w:val="20"/>
          <w:szCs w:val="20"/>
          <w:color w:val="auto"/>
        </w:rPr>
        <w:t>” means the day that is five Business Days prior to the Revolving Commitment Maturity Date (or, if such day is not a Business Day, the immediately preceding Business Day).</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Extension</w:t>
      </w:r>
      <w:r>
        <w:rPr>
          <w:rFonts w:ascii="Times New Roman" w:cs="Times New Roman" w:eastAsia="Times New Roman" w:hAnsi="Times New Roman"/>
          <w:sz w:val="20"/>
          <w:szCs w:val="20"/>
          <w:color w:val="auto"/>
        </w:rPr>
        <w:t>” means, with respect to any Letter of Credit, the issuance thereof or the extension of the expiry date thereof, or the renewal or increase of the amount thereof.</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Obligations</w:t>
      </w:r>
      <w:r>
        <w:rPr>
          <w:rFonts w:ascii="Times New Roman" w:cs="Times New Roman" w:eastAsia="Times New Roman" w:hAnsi="Times New Roman"/>
          <w:sz w:val="20"/>
          <w:szCs w:val="20"/>
          <w:color w:val="auto"/>
        </w:rPr>
        <w:t>” 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Percentage</w:t>
      </w:r>
      <w:r>
        <w:rPr>
          <w:rFonts w:ascii="Times New Roman" w:cs="Times New Roman" w:eastAsia="Times New Roman" w:hAnsi="Times New Roman"/>
          <w:sz w:val="20"/>
          <w:szCs w:val="20"/>
          <w:color w:val="auto"/>
        </w:rPr>
        <w:t>” means, (a) initially with respect to (i) Jefferies Finance, 14.0%, (ii) Bank of Montreal, 7.9%, (iii) UBS AG, Stamford Branch, 7.9%, (iv) Bank of America, N.A., 25.3%, (v) Morgan Stanley Senior Funding, Inc., 25.3% and (vi) Goldman Sachs Bank USA, 19.7% (in each case, as may be reduced to reflect any percentage allocated to another Issuing Bank pursuant to the immediately succeeding clause (b)) and (b) from time to time after the Closing Date with respect to any other Issuing Bank, a percentage to be agreed between the Borrower and such Issuing Bank.</w:t>
      </w:r>
    </w:p>
    <w:p>
      <w:pPr>
        <w:spacing w:after="0" w:line="178"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Sublimit</w:t>
      </w:r>
      <w:r>
        <w:rPr>
          <w:rFonts w:ascii="Times New Roman" w:cs="Times New Roman" w:eastAsia="Times New Roman" w:hAnsi="Times New Roman"/>
          <w:sz w:val="20"/>
          <w:szCs w:val="20"/>
          <w:color w:val="auto"/>
        </w:rPr>
        <w:t>” means the greater of (a) $10,000,000 and (b) such higher amount as the Borrower, the Revolving Lenders and the applicable Issuing Bank(s) may from time to time agree.</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Usage</w:t>
      </w:r>
      <w:r>
        <w:rPr>
          <w:rFonts w:ascii="Times New Roman" w:cs="Times New Roman" w:eastAsia="Times New Roman" w:hAnsi="Times New Roman"/>
          <w:sz w:val="20"/>
          <w:szCs w:val="20"/>
          <w:color w:val="auto"/>
        </w:rPr>
        <w:t>” means,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 operating lease in and of itself be deemed a Lien.</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Limited Condition Acquisition</w:t>
      </w:r>
      <w:r>
        <w:rPr>
          <w:rFonts w:ascii="Times New Roman" w:cs="Times New Roman" w:eastAsia="Times New Roman" w:hAnsi="Times New Roman"/>
          <w:sz w:val="20"/>
          <w:szCs w:val="20"/>
          <w:color w:val="auto"/>
        </w:rPr>
        <w:t>” means any Permitted Acquisition or other Investment permitted hereunder by the Borrower or one or more of its Restricted Subsidiaries whose consummation is not conditioned on the availability of, or on obtaining, third party financing.</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xml:space="preserve">” means, as of any date of determination, (a) cash and Cash Equivalents of the Borrower and its Restricted Subsidiaries that are Domestic Subsidiaries on a consolidated basis that is not Restricted,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(b) the amount by which revolving commitments extended to the Borrower and its Restricted Subsidiaries, including the Revolving Commitments, exceed the total utilization of such revolving commitments, including the Total Utilization of Revolving Commitments.</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xml:space="preserve">” means a Term Loan, a Delayed Draw Term Loan, a Revolving Loan and a Swing Line Loan made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means collectively, (a) this Agreement, (b) the First Amendment, (c) the Second Amendment, (d) the Third Amendment, (e) the Notes, (f) any Refinancing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3" w:name="page134"/>
    <w:bookmarkEnd w:id="133"/>
    <w:p>
      <w:pPr>
        <w:jc w:val="both"/>
        <w:spacing w:after="0" w:line="268" w:lineRule="auto"/>
        <w:rPr>
          <w:sz w:val="20"/>
          <w:szCs w:val="20"/>
          <w:color w:val="auto"/>
        </w:rPr>
      </w:pPr>
      <w:r>
        <w:rPr>
          <w:rFonts w:ascii="Times New Roman" w:cs="Times New Roman" w:eastAsia="Times New Roman" w:hAnsi="Times New Roman"/>
          <w:sz w:val="20"/>
          <w:szCs w:val="20"/>
          <w:color w:val="auto"/>
        </w:rPr>
        <w:t>Incremental Amendment or Extension Amendment, (g) the Guaranty, (h) the Collateral Documents, (i) the Intercreditor Agreement (if any), and (j) the Global Intercompany Note.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collectively, the Borrower and the Guarantors.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Stockholders</w:t>
      </w:r>
      <w:r>
        <w:rPr>
          <w:rFonts w:ascii="Times New Roman" w:cs="Times New Roman" w:eastAsia="Times New Roman" w:hAnsi="Times New Roman"/>
          <w:sz w:val="20"/>
          <w:szCs w:val="20"/>
          <w:color w:val="auto"/>
        </w:rPr>
        <w:t xml:space="preserve">” means (a) the members of management of Holdings, any direct or indirect parent of Holdings, or any of their respective Subsidiaries who are investors in Holdings or any direct or indirect parent of Holdings, (b) family members of any of the individuals identified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(c) trusts, partnerships or limited liability companies for the benefit of any of the individuals identified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(d) heirs, executors, estates, successors and legal representatives of the individuals identified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has the meaning set forth in Regulation U of the Board of Governors of the United States Federal Reserve System, or any successor thereto.</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 Capitalization</w:t>
      </w:r>
      <w:r>
        <w:rPr>
          <w:rFonts w:ascii="Times New Roman" w:cs="Times New Roman" w:eastAsia="Times New Roman" w:hAnsi="Times New Roman"/>
          <w:sz w:val="20"/>
          <w:szCs w:val="20"/>
          <w:color w:val="auto"/>
        </w:rPr>
        <w:t xml:space="preserve">” means an amount equal to (a) the sum of (i) the total number of issued and outstanding shares of common stock of the Borrower or any direct or indirect parent of the Borrower on the date of the initial public offering of the shares of common stock of the Borrower or such direct or indirect parent of the Borrower,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(ii) the total number of shares of common stock of the Borrower or any direct or indirect parent of the Borrower that are actually issued, if any, upon exercise of the “overallotment option” granted to the underwriters of such initial public offering, </w:t>
      </w:r>
      <w:r>
        <w:rPr>
          <w:rFonts w:ascii="Times New Roman" w:cs="Times New Roman" w:eastAsia="Times New Roman" w:hAnsi="Times New Roman"/>
          <w:sz w:val="20"/>
          <w:szCs w:val="20"/>
          <w:i w:val="1"/>
          <w:iCs w:val="1"/>
          <w:u w:val="single" w:color="auto"/>
          <w:color w:val="auto"/>
        </w:rPr>
        <w:t>multiplied by</w:t>
      </w:r>
      <w:r>
        <w:rPr>
          <w:rFonts w:ascii="Times New Roman" w:cs="Times New Roman" w:eastAsia="Times New Roman" w:hAnsi="Times New Roman"/>
          <w:sz w:val="20"/>
          <w:szCs w:val="20"/>
          <w:color w:val="auto"/>
        </w:rPr>
        <w:t xml:space="preserve"> (b) the initial public offering price of such shares of common stock.</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has the meaning specified in the definition of “Hedge Agreement.”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any event, circumstance or condition that has had a materially adverse effect on (a) the business, operations, assets, liabilities (actual or contingent) or financial condition of the Borrower and its Restricted Subsidiaries, taken as a whole, (b) the ability of the Loan Parties (taken as a whole) to perform their respective payment obligations under any Loan Document to which any of the Loan Parties is a party and (c) the rights and remedies of the Lenders, the Collateral Agent or the Administrative Agent under any Loan Document.</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Domestic Subsidiary</w:t>
      </w:r>
      <w:r>
        <w:rPr>
          <w:rFonts w:ascii="Times New Roman" w:cs="Times New Roman" w:eastAsia="Times New Roman" w:hAnsi="Times New Roman"/>
          <w:sz w:val="20"/>
          <w:szCs w:val="20"/>
          <w:color w:val="auto"/>
        </w:rPr>
        <w:t xml:space="preserve">” means, as of the Closing Date and thereafter at any date of determination, each of the Borrower’s Domestic Subsidiaries (a) whose total assets at the last day of the most recent Test Period (when taken together with the total assets of the Subsidiaries of such Domestic Subsidiary at the last day of the most recent Test Period) were equal to or greater than 5.0% of the consolidated total assets of the Borrower and the Restricted Subsidiaries as of the last day of such Test Period, in each case determined in accordance with GAAP or (b) whose revenues for such Test Period (when taken together with the revenues of the Subsidiaries of such Domestic Subsidiary for such Test Period) were equal to or greater than 5.0% of the consolidated revenues of the Borrower and the Restricted Subsidiaries for such Test Period, in each case determined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at any time and from time to time after the date which is 30 days after the Closing Date (or such longer period as the Administrative Agent may agree in its sole discretion), Domestic Subsidiaries that are not Guarantors solely because they do not meet the thresholds set forth in clause (a) or (b) comprise in the aggregate more than (when taken together with the total assets of the Subsidiaries of such Domestic Subsidiaries at the last day of the most recent Test Period) 10.0% of total assets of the Borrower and the Restricted Subsidiaries that are Domestic Subsidiaries as of the end of the most recently ended Test Period or more than (when taken together with the revenues of the Subsidiaries of such Domestic Subsidiaries for such Test Period) 10.0% of the consolidated revenues of the Borrower and the Restricted Subsidiaries that are 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4" w:name="page135"/>
    <w:bookmarkEnd w:id="134"/>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Subsidiaries for such Test Period, then the Borrower shall, not later than sixty days after the date by which financial statements for such Test Period were required to be delivered pursuant to this Agreement (or such longer period as the Administrative Agent may agree in its reasonable discretion), (i) designate in writing to the Administrative Agent one or more of such Domestic Subsidiaries as “Material Domestic Subsidiaries” to the extent required such that the foregoing condition ceases to be true and (ii) comply with the provisions of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with respect to any such Subsidiaries.</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Foreign Subsidiary</w:t>
      </w:r>
      <w:r>
        <w:rPr>
          <w:rFonts w:ascii="Times New Roman" w:cs="Times New Roman" w:eastAsia="Times New Roman" w:hAnsi="Times New Roman"/>
          <w:sz w:val="19"/>
          <w:szCs w:val="19"/>
          <w:color w:val="auto"/>
        </w:rPr>
        <w:t xml:space="preserve">” means, as of the Closing Date and thereafter at any date of determination, each of the Borrower’s Foreign Subsidiaries (a) whose total assets at the last day of the most recent Test Period (when taken together with the total assets of the Subsidiaries of such Foreign Subsidiary at the last day of the most recent Test Period) were equal to or greater than 5.0% of the consolidated total assets of the Borrower and the Restricted Subsidiaries as of the last day of such Test Period, in each case determined in accordance with GAAP or (b) whose revenues for such Test Period (when taken together with the revenues of the Subsidiaries of such Foreign Subsidiary for such Test Period) were equal to or greater than 5.0% of the consolidated revenues of the Borrower and the Restricted Subsidiaries for such Test Period, in each case determined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at any time and from time to time after the date which is 30 days after the Closing Date (or such longer period as the Administrative Agent may agree in its sole discretion), Foreign Subsidiaries that are not Material Foreign Subsidiaries comprise in the aggregate more than (when taken together with the total assets of the Subsidiaries of such Foreign Subsidiaries at the last day of the most recent Test Period) 10.0% of total assets of the Borrower and the Restricted Subsidiaries that are Foreign Subsidiaries as of the end of the most recently ended Test Period or more than (when taken together with the revenues of the Subsidiaries of such Foreign Subsidiaries for such Test Period) 10.0% of the consolidated revenues of the Borrower and the Restricted Subsidiaries that are Foreign Subsidiaries for such Test Period, then the Borrower shall, not later than sixty days after the date by which financial statements for such Test Period were required to be delivered pursuant to this Agreement (or such longer period as the Administrative Agent may agree in its reasonable discretion), designate in writing to the Administrative Agent one or more of such Foreign Subsidiaries as “Material Foreign Subsidiaries” to the extent required such that the foregoing condition ceases to be true.</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Indebtedness</w:t>
      </w:r>
      <w:r>
        <w:rPr>
          <w:rFonts w:ascii="Times New Roman" w:cs="Times New Roman" w:eastAsia="Times New Roman" w:hAnsi="Times New Roman"/>
          <w:sz w:val="20"/>
          <w:szCs w:val="20"/>
          <w:color w:val="auto"/>
        </w:rPr>
        <w:t xml:space="preserve">” means, as of any date, Indebtedness for borrowed money on such date of any Loan Party in an aggregate principal amount exceeding the Threshold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any of the following be Material Indebtedness (a) Indebtedness under a Loan Document, (b) obligations in respect of a Permitted Receivables Financing, (c) capital lease obligations and (d) Indebtedness held by a Loan Party or any Indebtedness held solely by an Affiliate of a Loan Party.</w:t>
      </w:r>
    </w:p>
    <w:p>
      <w:pPr>
        <w:spacing w:after="0" w:line="17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Real Property</w:t>
      </w:r>
      <w:r>
        <w:rPr>
          <w:rFonts w:ascii="Times New Roman" w:cs="Times New Roman" w:eastAsia="Times New Roman" w:hAnsi="Times New Roman"/>
          <w:sz w:val="19"/>
          <w:szCs w:val="19"/>
          <w:color w:val="auto"/>
        </w:rPr>
        <w:t>” means any real property owned in fee by the Borrower or any Restricted Subsidiary that is a Loan Party (or owned by any Person required to become a Loan Party hereunder) (a) with a book value in excess of $7,500,000 and (b) not located in an area determined by the Federal Emergency Management Agency (or any successor agency) to be located in a special flood hazard area.</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Subsidiary</w:t>
      </w:r>
      <w:r>
        <w:rPr>
          <w:rFonts w:ascii="Times New Roman" w:cs="Times New Roman" w:eastAsia="Times New Roman" w:hAnsi="Times New Roman"/>
          <w:sz w:val="20"/>
          <w:szCs w:val="20"/>
          <w:color w:val="auto"/>
        </w:rPr>
        <w:t>” means any Material Domestic Subsidiary or any Material Foreign Subsidiary.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w:t>
      </w:r>
    </w:p>
    <w:p>
      <w:pPr>
        <w:spacing w:after="0" w:line="219" w:lineRule="exact"/>
        <w:rPr>
          <w:sz w:val="20"/>
          <w:szCs w:val="20"/>
          <w:color w:val="auto"/>
        </w:rPr>
      </w:pPr>
    </w:p>
    <w:p>
      <w:pPr>
        <w:jc w:val="both"/>
        <w:ind w:left="760" w:firstLine="745"/>
        <w:spacing w:after="0" w:line="253" w:lineRule="auto"/>
        <w:tabs>
          <w:tab w:leader="none" w:pos="19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Initial Term Loans and any Delayed Draw Term Loans, in each case, that have not been extended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the date that is the earlier of (i) seven years after the Closing Date and (ii) the date such Term Loans are declared due and payable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5" w:name="page136"/>
    <w:bookmarkEnd w:id="135"/>
    <w:p>
      <w:pPr>
        <w:ind w:left="760" w:firstLine="745"/>
        <w:spacing w:after="0" w:line="268"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Revolving Loans, the date that is the earlier of (i) five years after the Closing Date and (ii) the date Revolving Loans are declared due and payable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tranche of Extended Term Loans and/or Extended Revolving Commitments, the earlier of (i) the final maturity date as specified in the applicable Extension Amendment and (ii) the date such tranche of Extended Term Loans and/or Extended Revolving Commitments are terminated and/or declared due and payable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Refinancing Term Loans or Refinancing Revolving Loans, the earlier of (i) the final maturity date as specified in the applicable Refinancing Amendment and (ii) the date such Refinancing Term Loans or Refinancing Revolving Loans are declared due and payable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Incremental Term Loans, the earlier of (i) the final maturity date as specified in the applicable Incremental Amendment and (ii) the date such Incremental Term Loans are declared due and payable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each case, that if such day is not a Business Day, the applicable Maturity Date shall be the Business Day immediately preceding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day.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Issuing Banks with respect to Letters of Credit issued and outstanding at such time, (b) with respect to Cash Collateral consisting of cash or deposit account balances, an amount equal to 103% of the Fronting Exposure of the Swing Line Lender with respect to Swing Line Loans outstanding at such time and (c) otherwise, an amount determined by the Administrative Agent and the Issuing Banks or the Swing Line Lender, as the case may be, in their sole discretion.</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Minority Investment</w:t>
      </w:r>
      <w:r>
        <w:rPr>
          <w:rFonts w:ascii="Times New Roman" w:cs="Times New Roman" w:eastAsia="Times New Roman" w:hAnsi="Times New Roman"/>
          <w:sz w:val="20"/>
          <w:szCs w:val="20"/>
          <w:color w:val="auto"/>
        </w:rPr>
        <w:t>” means any Person other than a Subsidiary in which the Borrower or any Restricted Subsidiary owns any Equity Interests.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 Policy</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b w:val="1"/>
          <w:bCs w:val="1"/>
          <w:color w:val="auto"/>
        </w:rPr>
        <w:t>Mortgage Policies</w:t>
      </w:r>
      <w:r>
        <w:rPr>
          <w:rFonts w:ascii="Times New Roman" w:cs="Times New Roman" w:eastAsia="Times New Roman" w:hAnsi="Times New Roman"/>
          <w:sz w:val="20"/>
          <w:szCs w:val="20"/>
          <w:color w:val="auto"/>
        </w:rPr>
        <w:t xml:space="preserve">” means an American Land Title Association Lender’s Extended Coverage title insurance policy covering such interest in the Mortgaged Property in an amount at least equal to the fair market value of such Mortgaged Property (or such lesser amount as shall be specified by the Collateral Agent) insuring the first priority Lien of each such Mortgage as a valid Lien on the property described therein, free of any other Liens except as expressly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together with such endorsements, coinsurance and reinsurance as the Collateral Agent may reasonably request and in form and substance reasonably satisfactory to the Collateral Agent.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Mortgaged Properties</w:t>
      </w:r>
      <w:r>
        <w:rPr>
          <w:rFonts w:ascii="Times New Roman" w:cs="Times New Roman" w:eastAsia="Times New Roman" w:hAnsi="Times New Roman"/>
          <w:sz w:val="20"/>
          <w:szCs w:val="20"/>
          <w:color w:val="auto"/>
        </w:rPr>
        <w:t xml:space="preserve">” means the property on which Mortgages are required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Mortgages</w:t>
      </w:r>
      <w:r>
        <w:rPr>
          <w:rFonts w:ascii="Times New Roman" w:cs="Times New Roman" w:eastAsia="Times New Roman" w:hAnsi="Times New Roman"/>
          <w:sz w:val="20"/>
          <w:szCs w:val="20"/>
          <w:color w:val="auto"/>
        </w:rPr>
        <w:t xml:space="preserve">” means, collectively, the deeds of trust, trust deeds, hypothecs and mortgages made by the Loan Parties in favor or for the benefit of the Collateral Agent for the benefit of the Secured Parties in form and substance reasonably satisfactory to the Collateral Agent, and any other mortgages, deeds of trust, trust deeds and hypothecs executed and delivered pursuant to </w:t>
      </w:r>
      <w:r>
        <w:rPr>
          <w:rFonts w:ascii="Times New Roman" w:cs="Times New Roman" w:eastAsia="Times New Roman" w:hAnsi="Times New Roman"/>
          <w:sz w:val="20"/>
          <w:szCs w:val="20"/>
          <w:u w:val="single" w:color="auto"/>
          <w:color w:val="auto"/>
        </w:rPr>
        <w:t>Sections 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6.12(b)</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6" w:name="page137"/>
    <w:bookmarkEnd w:id="136"/>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Cash Proceeds</w:t>
      </w:r>
      <w:r>
        <w:rPr>
          <w:rFonts w:ascii="Times New Roman" w:cs="Times New Roman" w:eastAsia="Times New Roman" w:hAnsi="Times New Roman"/>
          <w:sz w:val="20"/>
          <w:szCs w:val="20"/>
          <w:color w:val="auto"/>
        </w:rPr>
        <w:t>” means, with respect to:</w:t>
      </w:r>
    </w:p>
    <w:p>
      <w:pPr>
        <w:spacing w:after="0" w:line="219"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tab/>
        <w:t>the Disposition of any asset by the Borrower or any Restricted Subsidiary or any Casualty Event, the excess, if any,</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of:</w:t>
      </w:r>
    </w:p>
    <w:p>
      <w:pPr>
        <w:spacing w:after="0" w:line="193" w:lineRule="exact"/>
        <w:rPr>
          <w:sz w:val="20"/>
          <w:szCs w:val="20"/>
          <w:color w:val="auto"/>
        </w:rPr>
      </w:pPr>
    </w:p>
    <w:p>
      <w:pPr>
        <w:jc w:val="both"/>
        <w:ind w:left="1500" w:firstLine="754"/>
        <w:spacing w:after="0" w:line="246" w:lineRule="auto"/>
        <w:tabs>
          <w:tab w:leader="none" w:pos="26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cash and Cash Equivalents received in connection with such Disposition or Casualty Event (including any cash and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of the Restricted Subsidiaries), </w:t>
      </w:r>
      <w:r>
        <w:rPr>
          <w:rFonts w:ascii="Times New Roman" w:cs="Times New Roman" w:eastAsia="Times New Roman" w:hAnsi="Times New Roman"/>
          <w:sz w:val="20"/>
          <w:szCs w:val="20"/>
          <w:i w:val="1"/>
          <w:iCs w:val="1"/>
          <w:u w:val="single" w:color="auto"/>
          <w:color w:val="auto"/>
        </w:rPr>
        <w:t>over</w:t>
      </w:r>
    </w:p>
    <w:p>
      <w:pPr>
        <w:spacing w:after="0" w:line="183"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214" w:lineRule="exact"/>
        <w:rPr>
          <w:rFonts w:ascii="Times New Roman" w:cs="Times New Roman" w:eastAsia="Times New Roman" w:hAnsi="Times New Roman"/>
          <w:sz w:val="20"/>
          <w:szCs w:val="20"/>
          <w:color w:val="auto"/>
        </w:rPr>
      </w:pPr>
    </w:p>
    <w:p>
      <w:pPr>
        <w:jc w:val="both"/>
        <w:ind w:left="2260" w:firstLine="743"/>
        <w:spacing w:after="0" w:line="249" w:lineRule="auto"/>
        <w:tabs>
          <w:tab w:leader="none" w:pos="34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premium or penalty, if any, interest, breakage costs and other amounts on any Indebtedness that is secured by the asset subject to such Disposition or Casualty Event and required to be repaid in connection with such Disposition or Casualty Event (other than Indebtedness under the Loan Documents, Pari Passu Lien Debt or Junior Lien Debt),</w:t>
      </w:r>
    </w:p>
    <w:p>
      <w:pPr>
        <w:spacing w:after="0" w:line="178" w:lineRule="exact"/>
        <w:rPr>
          <w:rFonts w:ascii="Times New Roman" w:cs="Times New Roman" w:eastAsia="Times New Roman" w:hAnsi="Times New Roman"/>
          <w:sz w:val="20"/>
          <w:szCs w:val="20"/>
          <w:color w:val="auto"/>
        </w:rPr>
      </w:pPr>
    </w:p>
    <w:p>
      <w:pPr>
        <w:jc w:val="both"/>
        <w:ind w:left="2260" w:firstLine="743"/>
        <w:spacing w:after="0" w:line="246" w:lineRule="auto"/>
        <w:tabs>
          <w:tab w:leader="none" w:pos="34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Borrower or such Restricted Subsidiary in connection with such Disposition or Casualty Event and restoration costs following a Casualty Event,</w:t>
      </w:r>
    </w:p>
    <w:p>
      <w:pPr>
        <w:spacing w:after="0" w:line="183" w:lineRule="exact"/>
        <w:rPr>
          <w:rFonts w:ascii="Times New Roman" w:cs="Times New Roman" w:eastAsia="Times New Roman" w:hAnsi="Times New Roman"/>
          <w:sz w:val="20"/>
          <w:szCs w:val="20"/>
          <w:color w:val="auto"/>
        </w:rPr>
      </w:pPr>
    </w:p>
    <w:p>
      <w:pPr>
        <w:jc w:val="both"/>
        <w:ind w:left="2260" w:firstLine="743"/>
        <w:spacing w:after="0" w:line="253" w:lineRule="auto"/>
        <w:tabs>
          <w:tab w:leader="none" w:pos="34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or distributions made pursuant to </w:t>
      </w:r>
      <w:r>
        <w:rPr>
          <w:rFonts w:ascii="Times New Roman" w:cs="Times New Roman" w:eastAsia="Times New Roman" w:hAnsi="Times New Roman"/>
          <w:sz w:val="20"/>
          <w:szCs w:val="20"/>
          <w:u w:val="single" w:color="auto"/>
          <w:color w:val="auto"/>
        </w:rPr>
        <w:t>Section 7.06(g)(i)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7.06(g)(iii)</w:t>
      </w:r>
      <w:r>
        <w:rPr>
          <w:rFonts w:ascii="Times New Roman" w:cs="Times New Roman" w:eastAsia="Times New Roman" w:hAnsi="Times New Roman"/>
          <w:sz w:val="20"/>
          <w:szCs w:val="20"/>
          <w:color w:val="auto"/>
        </w:rPr>
        <w:t xml:space="preserve"> paid or reasonably estimated to be payable in connection therewith (including taxes imposed on the distribution or repatriation of any such Net Cash Proceeds),</w:t>
      </w:r>
    </w:p>
    <w:p>
      <w:pPr>
        <w:spacing w:after="0" w:line="176" w:lineRule="exact"/>
        <w:rPr>
          <w:rFonts w:ascii="Times New Roman" w:cs="Times New Roman" w:eastAsia="Times New Roman" w:hAnsi="Times New Roman"/>
          <w:sz w:val="20"/>
          <w:szCs w:val="20"/>
          <w:color w:val="auto"/>
        </w:rPr>
      </w:pPr>
    </w:p>
    <w:p>
      <w:pPr>
        <w:jc w:val="both"/>
        <w:ind w:left="2260" w:firstLine="743"/>
        <w:spacing w:after="0" w:line="249" w:lineRule="auto"/>
        <w:tabs>
          <w:tab w:leader="none" w:pos="34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Disposition or Casualty Event by a non-wholly owned Restricted Subsidiary, the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portion of the Net Cash Proceeds thereof (calculated without regard to this clause (D)) attributable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minority interests and not available for distribution to or for the account of the Borrower or a wholly owned Restricted Subsidiary as a result thereof, and</w:t>
      </w:r>
    </w:p>
    <w:p>
      <w:pPr>
        <w:spacing w:after="0" w:line="178" w:lineRule="exact"/>
        <w:rPr>
          <w:rFonts w:ascii="Times New Roman" w:cs="Times New Roman" w:eastAsia="Times New Roman" w:hAnsi="Times New Roman"/>
          <w:sz w:val="20"/>
          <w:szCs w:val="20"/>
          <w:color w:val="auto"/>
        </w:rPr>
      </w:pPr>
    </w:p>
    <w:p>
      <w:pPr>
        <w:jc w:val="both"/>
        <w:ind w:left="2260" w:firstLine="743"/>
        <w:spacing w:after="0" w:line="245" w:lineRule="auto"/>
        <w:tabs>
          <w:tab w:leader="none" w:pos="34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reserve for adjustment in respect of (1) the sale price of such asset or assets established in accordance with GAAP and (2) any liabilities associated with such asset or assets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7" w:name="page138"/>
    <w:bookmarkEnd w:id="137"/>
    <w:p>
      <w:pPr>
        <w:ind w:left="2260"/>
        <w:spacing w:after="0" w:line="268" w:lineRule="auto"/>
        <w:rPr>
          <w:sz w:val="20"/>
          <w:szCs w:val="20"/>
          <w:color w:val="auto"/>
        </w:rPr>
      </w:pPr>
      <w:r>
        <w:rPr>
          <w:rFonts w:ascii="Times New Roman" w:cs="Times New Roman" w:eastAsia="Times New Roman" w:hAnsi="Times New Roman"/>
          <w:sz w:val="20"/>
          <w:szCs w:val="20"/>
          <w:color w:val="auto"/>
        </w:rPr>
        <w:t>reversal (without the satisfaction of any applicable liabilities in cash in a corresponding amount) of any reserve described in this clause (E);</w:t>
      </w:r>
    </w:p>
    <w:p>
      <w:pPr>
        <w:spacing w:after="0" w:line="157"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 no net cash proceeds calculated in accordance with the foregoing realized in a single transaction or series of 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transactions shall constitute Net Cash Proceeds unless such amount exceeds $5,000,000 and (II) no such net cash proceeds shall constitute Net Cash Proceeds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in any fiscal year until the aggregate amount of all such net cash proceeds in such fiscal year exceeds $10,000,000 (and thereafter only net cash proceeds in excess of such amount shall constitute Net Cash Proceeds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and</w:t>
      </w:r>
    </w:p>
    <w:p>
      <w:pPr>
        <w:spacing w:after="0" w:line="182" w:lineRule="exact"/>
        <w:rPr>
          <w:sz w:val="20"/>
          <w:szCs w:val="20"/>
          <w:color w:val="auto"/>
        </w:rPr>
      </w:pPr>
    </w:p>
    <w:p>
      <w:pPr>
        <w:ind w:left="760" w:right="20" w:firstLine="745"/>
        <w:spacing w:after="0" w:line="268" w:lineRule="auto"/>
        <w:tabs>
          <w:tab w:leader="none" w:pos="19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incurrence or issuance of any Indebtedness by the Borrower or any Restricted Subsidiary or any Permitted Equity Issuance by the Borrower, the excess, if any, of:</w:t>
      </w:r>
    </w:p>
    <w:p>
      <w:pPr>
        <w:spacing w:after="0" w:line="156"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cash and Cash Equivalents received in connection with such incurrence or issuance </w:t>
      </w:r>
      <w:r>
        <w:rPr>
          <w:rFonts w:ascii="Times New Roman" w:cs="Times New Roman" w:eastAsia="Times New Roman" w:hAnsi="Times New Roman"/>
          <w:sz w:val="20"/>
          <w:szCs w:val="20"/>
          <w:i w:val="1"/>
          <w:iCs w:val="1"/>
          <w:u w:val="single" w:color="auto"/>
          <w:color w:val="auto"/>
        </w:rPr>
        <w:t>over</w:t>
      </w:r>
    </w:p>
    <w:p>
      <w:pPr>
        <w:spacing w:after="0" w:line="218"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paid or reasonably estimated to be payable as a result thereof, fees (including investment banking fees, attorneys’ fees, accountants’ fees, underwriting fees and discounts), commissions, costs and other out-of-pocket expenses and other customary expenses, incurred by the Borrower or such Restricted Subsidiary in connection with such sale, incurrence or issuance; and</w:t>
      </w:r>
    </w:p>
    <w:p>
      <w:pPr>
        <w:spacing w:after="0" w:line="178"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Equity Issuance by any direct or indirect parent of the Borrower, the amount of cash and Cash Equivalents from such Permitted Equity Issuance contributed to the capital of the Borrower.</w:t>
      </w:r>
    </w:p>
    <w:p>
      <w:pPr>
        <w:spacing w:after="0" w:line="157"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Income</w:t>
      </w:r>
      <w:r>
        <w:rPr>
          <w:rFonts w:ascii="Times New Roman" w:cs="Times New Roman" w:eastAsia="Times New Roman" w:hAnsi="Times New Roman"/>
          <w:sz w:val="20"/>
          <w:szCs w:val="20"/>
          <w:color w:val="auto"/>
        </w:rPr>
        <w:t>” means, with respect to any Person, the net income (loss) of such Person, determined in accordance with GAAP (determined, for the avoidance of doubt, on an unconsolidated basis) and before any reduction in respect of preferred stock dividends.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Netted Tax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2.07(b)(vi)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Nomura</w:t>
      </w:r>
      <w:r>
        <w:rPr>
          <w:rFonts w:ascii="Times New Roman" w:cs="Times New Roman" w:eastAsia="Times New Roman" w:hAnsi="Times New Roman"/>
          <w:sz w:val="20"/>
          <w:szCs w:val="20"/>
          <w:color w:val="auto"/>
        </w:rPr>
        <w:t>” has the meaning specified in the introductory paragraph to this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Non-Bank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has the meaning specified in the penultimate paragraph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Non-Loan Party</w:t>
      </w:r>
      <w:r>
        <w:rPr>
          <w:rFonts w:ascii="Times New Roman" w:cs="Times New Roman" w:eastAsia="Times New Roman" w:hAnsi="Times New Roman"/>
          <w:sz w:val="20"/>
          <w:szCs w:val="20"/>
          <w:color w:val="auto"/>
        </w:rPr>
        <w:t>” means any Restricted Subsidiary of the Borrower that is not a Loan Party.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Nonrenewal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2.04(b)(iii)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 Otherwise Applied</w:t>
      </w:r>
      <w:r>
        <w:rPr>
          <w:rFonts w:ascii="Times New Roman" w:cs="Times New Roman" w:eastAsia="Times New Roman" w:hAnsi="Times New Roman"/>
          <w:sz w:val="19"/>
          <w:szCs w:val="19"/>
          <w:color w:val="auto"/>
        </w:rPr>
        <w:t>” means, with reference to the amount of any capital contributions or Net Cash Proceeds from Permitted Equity Issuances that is proposed to be applied to a particular use or transaction, that such amount was not previously applied in determining the permissibility of a transaction under the Loan Documents (including, for the avoidance of doubt, any use of such amount to increase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Available Amount) where such permissibility was (or may have been) contingent on the receipt or availability of such amount.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means each of the Term Loan Notes, the Revolving Loan Notes and the Swing Line Note.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Intent to Cure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all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arising under any Secured Hedge Agreement and (c) Cash Management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Office of Foreign Assets Control of the U.S. Treasury Department.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OID</w:t>
      </w:r>
      <w:r>
        <w:rPr>
          <w:rFonts w:ascii="Times New Roman" w:cs="Times New Roman" w:eastAsia="Times New Roman" w:hAnsi="Times New Roman"/>
          <w:sz w:val="20"/>
          <w:szCs w:val="20"/>
          <w:color w:val="auto"/>
        </w:rPr>
        <w:t>” means original issue discount.</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 Documents</w:t>
      </w:r>
      <w:r>
        <w:rPr>
          <w:rFonts w:ascii="Times New Roman" w:cs="Times New Roman" w:eastAsia="Times New Roman" w:hAnsi="Times New Roman"/>
          <w:sz w:val="20"/>
          <w:szCs w:val="20"/>
          <w:color w:val="auto"/>
        </w:rPr>
        <w:t>” means,</w:t>
      </w:r>
    </w:p>
    <w:p>
      <w:pPr>
        <w:spacing w:after="0" w:line="219" w:lineRule="exact"/>
        <w:rPr>
          <w:sz w:val="20"/>
          <w:szCs w:val="20"/>
          <w:color w:val="auto"/>
        </w:rPr>
      </w:pPr>
    </w:p>
    <w:p>
      <w:pPr>
        <w:ind w:left="760" w:right="60" w:firstLine="745"/>
        <w:spacing w:after="0" w:line="268"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corporation, the certificate or articles of incorporation and the bylaws (or equivalent or comparable constitutive documents with respect to any non-U.S. jurisdiction);</w:t>
      </w:r>
    </w:p>
    <w:p>
      <w:pPr>
        <w:spacing w:after="0" w:line="160"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limited liability company, the certificate or articles of formation or organization and operating agreement; and</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Applicable ECF Indebtedness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Applicable Indebtedness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2.07(b)(ii)(B)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9" w:name="page140"/>
    <w:bookmarkEnd w:id="139"/>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Overnight Rate</w:t>
      </w:r>
      <w:r>
        <w:rPr>
          <w:rFonts w:ascii="Times New Roman" w:cs="Times New Roman" w:eastAsia="Times New Roman" w:hAnsi="Times New Roman"/>
          <w:sz w:val="20"/>
          <w:szCs w:val="20"/>
          <w:color w:val="auto"/>
        </w:rPr>
        <w:t>” means, for any day, (a) the greater of (i) the Federal Funds Rate and (ii) an overnight rate determined by the Administrative Agent in accordance with banking industry rules on interbank compensation and (b) with respect to any amount denominated in any Alternative Currency, the rate of interest per annum reasonably determined by the Administrative Agent to be its cost of funding such amount.</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Pari Passu Lien Debt</w:t>
      </w:r>
      <w:r>
        <w:rPr>
          <w:rFonts w:ascii="Times New Roman" w:cs="Times New Roman" w:eastAsia="Times New Roman" w:hAnsi="Times New Roman"/>
          <w:sz w:val="20"/>
          <w:szCs w:val="20"/>
          <w:color w:val="auto"/>
        </w:rPr>
        <w:t xml:space="preserve">” means any Indebtedness that is secured by Liens on Collateral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priority with the Liens on Collateral that secure the Obligations. For the avoidance of doubt, “Pari Passu Lien Debt” includes the Initial Term Loans (including, for the avoidance of doubt, the Delayed Draw Term Loans), the Revolving Loans (if any) and the Revolving Commitments, in each case, as of the Closing Date.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Member State</w:t>
      </w:r>
      <w:r>
        <w:rPr>
          <w:rFonts w:ascii="Times New Roman" w:cs="Times New Roman" w:eastAsia="Times New Roman" w:hAnsi="Times New Roman"/>
          <w:sz w:val="20"/>
          <w:szCs w:val="20"/>
          <w:color w:val="auto"/>
        </w:rPr>
        <w:t>” means each state as described in any EMU Legislation.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Perfection Certificate</w:t>
      </w:r>
      <w:r>
        <w:rPr>
          <w:rFonts w:ascii="Times New Roman" w:cs="Times New Roman" w:eastAsia="Times New Roman" w:hAnsi="Times New Roman"/>
          <w:sz w:val="20"/>
          <w:szCs w:val="20"/>
          <w:color w:val="auto"/>
        </w:rPr>
        <w:t>” means a certificate in the form of Exhibit II to the Security Agreement or any other form reasonably approved by the Collateral Agent, as the same shall be supplemented from time to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Equity Issuance</w:t>
      </w:r>
      <w:r>
        <w:rPr>
          <w:rFonts w:ascii="Times New Roman" w:cs="Times New Roman" w:eastAsia="Times New Roman" w:hAnsi="Times New Roman"/>
          <w:sz w:val="20"/>
          <w:szCs w:val="20"/>
          <w:color w:val="auto"/>
        </w:rPr>
        <w:t xml:space="preserve">” means any (a) public or private sale or issuance of any Qualified Equity Interests of the Borrower or any direct or indirect parent of the Borrower or (b) sale or issuance of debt securities representing obligations of Holdings, the Borrower and/or Restricted Subsidiaries (other than debt securities representing intercompany Indebtedness) that have been converted into or exchanged for Qualified Equity Interests, in each case, other than Specified Equity Contributions;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Net Cash Proceeds of any such debt securities will be deemed to have been received by the Borrower upon any such conversion or exchange.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Holders</w:t>
      </w:r>
      <w:r>
        <w:rPr>
          <w:rFonts w:ascii="Times New Roman" w:cs="Times New Roman" w:eastAsia="Times New Roman" w:hAnsi="Times New Roman"/>
          <w:sz w:val="20"/>
          <w:szCs w:val="20"/>
          <w:color w:val="auto"/>
        </w:rPr>
        <w:t>” means any:</w:t>
      </w:r>
    </w:p>
    <w:p>
      <w:pPr>
        <w:spacing w:after="0" w:line="219" w:lineRule="exact"/>
        <w:rPr>
          <w:sz w:val="20"/>
          <w:szCs w:val="20"/>
          <w:color w:val="auto"/>
        </w:rPr>
      </w:pPr>
    </w:p>
    <w:p>
      <w:pPr>
        <w:ind w:left="1900" w:hanging="395"/>
        <w:spacing w:after="0"/>
        <w:tabs>
          <w:tab w:leader="none" w:pos="19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Sponsor;</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Management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0" w:name="page141"/>
    <w:bookmarkEnd w:id="140"/>
    <w:p>
      <w:pPr>
        <w:jc w:val="both"/>
        <w:ind w:left="760" w:firstLine="745"/>
        <w:spacing w:after="0" w:line="246" w:lineRule="auto"/>
        <w:tabs>
          <w:tab w:leader="none" w:pos="19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group (within the meaning of Rules 13d-3 and 13d-5 under the Exchange Act) of which the Persons described in clauses (a) or (b) above are members;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without giving effect to the existence of such group or any other group, the Persons described in clauses (a) and (b) above, collectively, beneficially own (as defined in Rules 13(d) and 14(d) of the Exchange Act) Equity Interests representing at least a majority of the aggregate ordinary voting power represented by the issued and outstanding Equity Interest of Holdings (or any Successor Holdings, if applicable) then held by such group); and</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parent of Holdings, for so long as a majority of the aggregate ordinary voting power represented by the issued and outstanding Equity Interests of such entity is beneficially owned (as defined in Rules 13d-3 and 13d-5 under the Exchange Act), directly or indirectly, by one or more Permitted Holders described in clauses (a), (b) and/or (c) of the definition thereof.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w:t>
      </w:r>
      <w:r>
        <w:rPr>
          <w:rFonts w:ascii="Times New Roman" w:cs="Times New Roman" w:eastAsia="Times New Roman" w:hAnsi="Times New Roman"/>
          <w:sz w:val="20"/>
          <w:szCs w:val="20"/>
          <w:color w:val="auto"/>
        </w:rPr>
        <w:t>” means (a) any Permitted Acquisition and/or (b) any other Investment or acquisition permitted hereunder.</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Investors</w:t>
      </w:r>
      <w:r>
        <w:rPr>
          <w:rFonts w:ascii="Times New Roman" w:cs="Times New Roman" w:eastAsia="Times New Roman" w:hAnsi="Times New Roman"/>
          <w:sz w:val="20"/>
          <w:szCs w:val="20"/>
          <w:color w:val="auto"/>
        </w:rPr>
        <w:t>” means (a) the Sponsor, (b) each of the Affiliates and investment managers of the Sponsor, (c) any fund or account managed by any of the persons described in clause (a) or (b) of this definition, (d) any employee benefit plan of Holdings or any of its subsidiaries and any person or entity acting in its capacity as trustee, agent or other fiduciary or administrator of any such plan, and (e) investment vehicles of members of management of Holdings or the Borrower but excluding natural persons, Holdings, the Borrower, and their respective subsidiaries.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Junior Secured Refinancing Debt</w:t>
      </w:r>
      <w:r>
        <w:rPr>
          <w:rFonts w:ascii="Times New Roman" w:cs="Times New Roman" w:eastAsia="Times New Roman" w:hAnsi="Times New Roman"/>
          <w:sz w:val="20"/>
          <w:szCs w:val="20"/>
          <w:color w:val="auto"/>
        </w:rPr>
        <w:t>” means any Credit Agreement Refinancing Indebtedness that is Junior Lien Debt.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Pari Passu Secured Refinancing Debt</w:t>
      </w:r>
      <w:r>
        <w:rPr>
          <w:rFonts w:ascii="Times New Roman" w:cs="Times New Roman" w:eastAsia="Times New Roman" w:hAnsi="Times New Roman"/>
          <w:sz w:val="19"/>
          <w:szCs w:val="19"/>
          <w:color w:val="auto"/>
        </w:rPr>
        <w:t>” means any Credit Agreement Refinancing Indebtedness that is Pari Passu Lien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w:t>
      </w:r>
    </w:p>
    <w:p>
      <w:pPr>
        <w:spacing w:after="0" w:line="18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Ratio Debt</w:t>
      </w:r>
      <w:r>
        <w:rPr>
          <w:rFonts w:ascii="Times New Roman" w:cs="Times New Roman" w:eastAsia="Times New Roman" w:hAnsi="Times New Roman"/>
          <w:sz w:val="20"/>
          <w:szCs w:val="20"/>
          <w:color w:val="auto"/>
        </w:rPr>
        <w:t xml:space="preserve">” means secured or unsecured Indebtedness of the Borrower or any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incurrence thereof:</w:t>
      </w:r>
    </w:p>
    <w:p>
      <w:pPr>
        <w:spacing w:after="0" w:line="157" w:lineRule="exact"/>
        <w:rPr>
          <w:sz w:val="20"/>
          <w:szCs w:val="20"/>
          <w:color w:val="auto"/>
        </w:rPr>
      </w:pPr>
    </w:p>
    <w:p>
      <w:pPr>
        <w:ind w:left="1900" w:hanging="395"/>
        <w:spacing w:after="0"/>
        <w:tabs>
          <w:tab w:leader="none" w:pos="19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the issuance, incurrence, or assumption of such Indebtedness:</w:t>
      </w:r>
    </w:p>
    <w:p>
      <w:pPr>
        <w:spacing w:after="0" w:line="214" w:lineRule="exact"/>
        <w:rPr>
          <w:rFonts w:ascii="Times New Roman" w:cs="Times New Roman" w:eastAsia="Times New Roman" w:hAnsi="Times New Roman"/>
          <w:sz w:val="20"/>
          <w:szCs w:val="20"/>
          <w:color w:val="auto"/>
        </w:rPr>
      </w:pPr>
    </w:p>
    <w:p>
      <w:pPr>
        <w:jc w:val="both"/>
        <w:ind w:left="1500" w:right="20" w:firstLine="754"/>
        <w:spacing w:after="0" w:line="253" w:lineRule="auto"/>
        <w:tabs>
          <w:tab w:leader="none" w:pos="264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Pari Passu Lien Debt, the First Lien Net Leverage Ratio for the applicable Test Period is equal to or less than (A) the Closing Date First Lien Net Leverage Ratio or (B) the First Lien Net Leverage Ratio immediately prior to such incurrence;</w:t>
      </w:r>
    </w:p>
    <w:p>
      <w:pPr>
        <w:spacing w:after="0" w:line="17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Junior Lien Debt that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lien priority with the Second Lien Facility,</w:t>
      </w:r>
    </w:p>
    <w:p>
      <w:pPr>
        <w:spacing w:after="0" w:line="25"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92" w:lineRule="exact"/>
        <w:rPr>
          <w:rFonts w:ascii="Times New Roman" w:cs="Times New Roman" w:eastAsia="Times New Roman" w:hAnsi="Times New Roman"/>
          <w:sz w:val="20"/>
          <w:szCs w:val="20"/>
          <w:color w:val="auto"/>
        </w:rPr>
      </w:pPr>
    </w:p>
    <w:p>
      <w:pPr>
        <w:jc w:val="both"/>
        <w:ind w:left="2260" w:firstLine="743"/>
        <w:spacing w:after="0" w:line="253" w:lineRule="auto"/>
        <w:tabs>
          <w:tab w:leader="none" w:pos="3404"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Net Leverage Ratio for the applicable Test Period is equal to or less than (I) the Closing Date Secured Net Leverage Ratio or (II) the Secured Net Leverage Ratio immediately prior to such incurrence, or</w:t>
      </w:r>
    </w:p>
    <w:p>
      <w:pPr>
        <w:spacing w:after="0" w:line="176" w:lineRule="exact"/>
        <w:rPr>
          <w:rFonts w:ascii="Times New Roman" w:cs="Times New Roman" w:eastAsia="Times New Roman" w:hAnsi="Times New Roman"/>
          <w:sz w:val="20"/>
          <w:szCs w:val="20"/>
          <w:color w:val="auto"/>
        </w:rPr>
      </w:pPr>
    </w:p>
    <w:p>
      <w:pPr>
        <w:ind w:left="2260" w:right="20" w:firstLine="743"/>
        <w:spacing w:after="0" w:line="268" w:lineRule="auto"/>
        <w:tabs>
          <w:tab w:leader="none" w:pos="3404"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Coverage Ratio for the applicable Test Period is equal to or greater than (I) 2.00 to 1.00 or (II) the Interest Coverage Ratio immediately prior to such incurrence;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1" w:name="page142"/>
    <w:bookmarkEnd w:id="141"/>
    <w:p>
      <w:pPr>
        <w:ind w:left="1500" w:firstLine="754"/>
        <w:spacing w:after="0" w:line="268" w:lineRule="auto"/>
        <w:tabs>
          <w:tab w:leader="none" w:pos="26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unsecured Indebtedness, Indebtedness that is incurred or issued by any Non-Loan Party or secured Indebtedness junior to the Second Lien Facility, either:</w:t>
      </w:r>
    </w:p>
    <w:p>
      <w:pPr>
        <w:spacing w:after="0" w:line="160" w:lineRule="exact"/>
        <w:rPr>
          <w:rFonts w:ascii="Times New Roman" w:cs="Times New Roman" w:eastAsia="Times New Roman" w:hAnsi="Times New Roman"/>
          <w:sz w:val="20"/>
          <w:szCs w:val="20"/>
          <w:color w:val="auto"/>
        </w:rPr>
      </w:pPr>
    </w:p>
    <w:p>
      <w:pPr>
        <w:ind w:left="2260" w:right="20" w:firstLine="743"/>
        <w:spacing w:after="0" w:line="268" w:lineRule="auto"/>
        <w:tabs>
          <w:tab w:leader="none" w:pos="340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Net Leverage Ratio for the applicable Test Period is equal to or less than (I) the Closing Date Total Net Leverage Ratio or (II) the Total Net Leverage Ratio immediately prior to such incurrence, or</w:t>
      </w:r>
    </w:p>
    <w:p>
      <w:pPr>
        <w:spacing w:after="0" w:line="160" w:lineRule="exact"/>
        <w:rPr>
          <w:rFonts w:ascii="Times New Roman" w:cs="Times New Roman" w:eastAsia="Times New Roman" w:hAnsi="Times New Roman"/>
          <w:sz w:val="20"/>
          <w:szCs w:val="20"/>
          <w:color w:val="auto"/>
        </w:rPr>
      </w:pPr>
    </w:p>
    <w:p>
      <w:pPr>
        <w:ind w:left="2260" w:right="20" w:firstLine="743"/>
        <w:spacing w:after="0" w:line="268" w:lineRule="auto"/>
        <w:tabs>
          <w:tab w:leader="none" w:pos="340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Coverage Ratio for the applicable Test Period is equal to or greater than (I) 2.00 to 1.00 or (II) the Interest Coverage Ratio immediately prior to such incurrence;</w:t>
      </w:r>
    </w:p>
    <w:p>
      <w:pPr>
        <w:spacing w:after="0" w:line="161" w:lineRule="exact"/>
        <w:rPr>
          <w:sz w:val="20"/>
          <w:szCs w:val="20"/>
          <w:color w:val="auto"/>
        </w:rPr>
      </w:pPr>
    </w:p>
    <w:p>
      <w:pPr>
        <w:jc w:val="both"/>
        <w:ind w:left="1500" w:right="20"/>
        <w:spacing w:after="0" w:line="253" w:lineRule="auto"/>
        <w:rPr>
          <w:sz w:val="20"/>
          <w:szCs w:val="20"/>
          <w:color w:val="auto"/>
        </w:rPr>
      </w:pPr>
      <w:r>
        <w:rPr>
          <w:rFonts w:ascii="Times New Roman" w:cs="Times New Roman" w:eastAsia="Times New Roman" w:hAnsi="Times New Roman"/>
          <w:sz w:val="20"/>
          <w:szCs w:val="20"/>
          <w:color w:val="auto"/>
        </w:rPr>
        <w:t>in each case, after giving Pro Forma Effect to the incurrence of such Indebtedness and the use of proceeds thereof and measured as of and for the Test Period immediately preceding the issuance, incurrence or assumption of such Indebtedness for which internal financial statements are available; and</w:t>
      </w:r>
    </w:p>
    <w:p>
      <w:pPr>
        <w:spacing w:after="0" w:line="176" w:lineRule="exact"/>
        <w:rPr>
          <w:sz w:val="20"/>
          <w:szCs w:val="20"/>
          <w:color w:val="auto"/>
        </w:rPr>
      </w:pPr>
    </w:p>
    <w:p>
      <w:pPr>
        <w:jc w:val="both"/>
        <w:ind w:left="760" w:firstLine="745"/>
        <w:spacing w:after="0" w:line="249" w:lineRule="auto"/>
        <w:tabs>
          <w:tab w:leader="none" w:pos="19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intended to be Pari Passu Lien Debt or Junior Lien Debt, a Debt Representative acting on behalf of the holders of such Permitted Ratio Debt has become party to, or is otherwise subject to the provisions of, (i) if such Permitted Ratio Debt is Pari Passu Lien Debt, an Equal Priority Intercreditor Agreement or (ii) if such Permitted Ratio Debt is Junior Lien Debt, a Junior Lien Intercreditor Agreement;</w:t>
      </w:r>
    </w:p>
    <w:p>
      <w:pPr>
        <w:spacing w:after="0" w:line="178"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thereto and to the use of the proceeds thereof no Specified Event of Default shall have occurred or be continuing; and</w:t>
      </w:r>
    </w:p>
    <w:p>
      <w:pPr>
        <w:spacing w:after="0" w:line="160"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Permitted Ratio Debt is in the form of term loans in U.S. dollars and is Pari Passu Lien Debt, then the provisions of </w:t>
      </w:r>
      <w:r>
        <w:rPr>
          <w:rFonts w:ascii="Times New Roman" w:cs="Times New Roman" w:eastAsia="Times New Roman" w:hAnsi="Times New Roman"/>
          <w:sz w:val="20"/>
          <w:szCs w:val="20"/>
          <w:u w:val="single" w:color="auto"/>
          <w:color w:val="auto"/>
        </w:rPr>
        <w:t>Section 2.16(h)</w:t>
      </w:r>
      <w:r>
        <w:rPr>
          <w:rFonts w:ascii="Times New Roman" w:cs="Times New Roman" w:eastAsia="Times New Roman" w:hAnsi="Times New Roman"/>
          <w:sz w:val="20"/>
          <w:szCs w:val="20"/>
          <w:color w:val="auto"/>
        </w:rPr>
        <w:t xml:space="preserve"> shall apply as if such Permitted Ratio Debt was in the form of Incremental Term Loans.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Ratio Debt will be deemed to include any Registered Equivalent Notes issued in exchange therefor.</w:t>
      </w:r>
    </w:p>
    <w:p>
      <w:pPr>
        <w:spacing w:after="0" w:line="211"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Refinancing</w:t>
      </w:r>
      <w:r>
        <w:rPr>
          <w:rFonts w:ascii="Times New Roman" w:cs="Times New Roman" w:eastAsia="Times New Roman" w:hAnsi="Times New Roman"/>
          <w:sz w:val="20"/>
          <w:szCs w:val="20"/>
          <w:color w:val="auto"/>
        </w:rPr>
        <w:t xml:space="preserve">” means, with respect to any Person, any modification, refinancing, refunding, replacement, renewal or extension of any Indebtedness of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57" w:lineRule="exact"/>
        <w:rPr>
          <w:sz w:val="20"/>
          <w:szCs w:val="20"/>
          <w:color w:val="auto"/>
        </w:rPr>
      </w:pPr>
    </w:p>
    <w:p>
      <w:pPr>
        <w:jc w:val="both"/>
        <w:ind w:left="760" w:firstLine="745"/>
        <w:spacing w:after="0" w:line="246" w:lineRule="auto"/>
        <w:tabs>
          <w:tab w:leader="none" w:pos="190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OID and upfront fees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other fees and expenses reasonably incurred, in connection with such modification, refinancing, refunding, replacement, renewal or extension and by an amount equal to any existing commitments unutilized thereunder,</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with respect to a Permitted Refinancing in respect of Indebtedness permitted pursuant to </w:t>
      </w:r>
      <w:r>
        <w:rPr>
          <w:rFonts w:ascii="Times New Roman" w:cs="Times New Roman" w:eastAsia="Times New Roman" w:hAnsi="Times New Roman"/>
          <w:sz w:val="20"/>
          <w:szCs w:val="20"/>
          <w:u w:val="single" w:color="auto"/>
          <w:color w:val="auto"/>
        </w:rPr>
        <w:t>Section 7.03(c)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such modification, refinancing, refunding, replacement, renewal or extension has a final maturity date equal to or later than the final maturity date of, and has a Weighted Average Life to Maturity equal to or greater than the remaining Weighted Average Life to Maturity of, the Indebtedness being modified, refinanced, refunded, replaced, renewed or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2" w:name="page143"/>
    <w:bookmarkEnd w:id="142"/>
    <w:p>
      <w:pPr>
        <w:ind w:left="-360" w:firstLine="745"/>
        <w:spacing w:after="0" w:line="268" w:lineRule="auto"/>
        <w:tabs>
          <w:tab w:leader="none" w:pos="7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with respect to a Permitted Refinancing in respect of Indebtedness permitted pursuant to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at the time thereof, no Event of Default shall have occurred and be continuing,</w:t>
      </w:r>
    </w:p>
    <w:p>
      <w:pPr>
        <w:spacing w:after="0" w:line="160" w:lineRule="exact"/>
        <w:rPr>
          <w:rFonts w:ascii="Times New Roman" w:cs="Times New Roman" w:eastAsia="Times New Roman" w:hAnsi="Times New Roman"/>
          <w:sz w:val="20"/>
          <w:szCs w:val="20"/>
          <w:color w:val="auto"/>
        </w:rPr>
      </w:pPr>
    </w:p>
    <w:p>
      <w:pPr>
        <w:ind w:left="-360" w:right="40" w:firstLine="745"/>
        <w:spacing w:after="0" w:line="268" w:lineRule="auto"/>
        <w:tabs>
          <w:tab w:leader="none" w:pos="7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being modified, refinanced, refunded, replaced, renewed, or extended is Junior Financing or Junior Lien Debt,</w:t>
      </w:r>
    </w:p>
    <w:p>
      <w:pPr>
        <w:spacing w:after="0" w:line="160"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53" w:lineRule="auto"/>
        <w:tabs>
          <w:tab w:leader="none" w:pos="152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Indebtedness being modified, refinanced, refunded, replaced, renewed, or extended is unsecured, such modification, refinancing, refunding, replacement, renewal or extension is either (A) unsecured or (B) secured by Liens permitted to be incurred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at such time;</w:t>
      </w:r>
    </w:p>
    <w:p>
      <w:pPr>
        <w:spacing w:after="0" w:line="176"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Indebtedness being modified, refinanced, refunded, replaced, renewed, or extended is secured by Liens, (A) such modification, refinancing, refunding, replacement, renewal or extension is either unsecured or is not secured by any Liens that do not secure such Indebtedness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 the Indebtedness being modified, refinanced, replaced, refunded, replaced, renewed or extended;</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55" w:lineRule="auto"/>
        <w:tabs>
          <w:tab w:leader="none" w:pos="1524"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Indebtedness being modified, refinanced, refunded, replaced, renewed or extended shall be on terms and conditions that are, taken as a whole, not materially more favorable to the lenders or holders providing such Indebtedness than, those applicable to the Indebtedness being modified, refinanced, refunded, replaced, renewed or extended, as determined in good faith by a Responsible Officer of the Borrower in its reasonable judgment (except (1) for covenants applicable only to periods after the Latest Maturity Date of the Term Loans at the time of incurrence and (2) any term or condition to the extent such term or condition is also added for the benefit of the Lenders under the Term Loans) or</w:t>
      </w:r>
    </w:p>
    <w:p>
      <w:pPr>
        <w:spacing w:after="0" w:line="4" w:lineRule="exact"/>
        <w:rPr>
          <w:rFonts w:ascii="Times New Roman" w:cs="Times New Roman" w:eastAsia="Times New Roman" w:hAnsi="Times New Roman"/>
          <w:sz w:val="19"/>
          <w:szCs w:val="19"/>
          <w:color w:val="auto"/>
        </w:rPr>
      </w:pPr>
    </w:p>
    <w:p>
      <w:pPr>
        <w:jc w:val="both"/>
        <w:ind w:left="380"/>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solely to the extent that any terms and conditions applicable to any such Indebtedness being modified, refinanced, refunded, replaced, renewed or extended are not the same as, or substantially similar to, those then applicable to the Indebtedness being modified, refinanced, refunded, replaced, renewed or extended, shall otherwise reflect customary market terms and conditions at the time of such incurrence, including with respect to high yield debt securities to the extent applicable, as determined in good faith by a Responsible Officer of the Borrower in its reasonable judgment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certificate of a Responsible Officer delivered to the Administrative Agent at least four (4) Business Days (or such shorter period as may be agreed by the Administrative Agent) prior to the incurrence of such Indebtedness being modified, refinanced, refunded, replaced, renewed or extended, together with a reasonably detailed description of the material covenants and events of default of such Indebtedness or drafts of the documentation relating thereto, stating that the Borrower has determined in good faith that such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323215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43" w:name="page144"/>
    <w:bookmarkEnd w:id="143"/>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 xml:space="preserve">conditions satisfy the requirement of this clause (iv) shall be conclusive evidence that such material covenants and events of default satisfy such requirement unless the Administrative Agent notifies the Borrower within such four (4) Business Day (or shorter) period that it disagrees with such determination (including a description of the basis upon which it disagrees));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this clause (iv) will not apply to (w) terms addressed in the other clauses of this “Permitted Refinancing” definition, (x) interest rate, rate floors, fees, funding discounts and other pricing terms, (y) redemption, prepayment or other premiums, and (z) optional prepayment or redemption terms, and</w:t>
      </w:r>
    </w:p>
    <w:p>
      <w:pPr>
        <w:spacing w:after="0" w:line="183" w:lineRule="exact"/>
        <w:rPr>
          <w:sz w:val="20"/>
          <w:szCs w:val="20"/>
          <w:color w:val="auto"/>
        </w:rPr>
      </w:pPr>
    </w:p>
    <w:p>
      <w:pPr>
        <w:jc w:val="both"/>
        <w:ind w:left="1500" w:right="20" w:firstLine="754"/>
        <w:spacing w:after="0" w:line="253" w:lineRule="auto"/>
        <w:tabs>
          <w:tab w:leader="none" w:pos="264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modification, refinancing, refunding, replacement, renewal or extension is incurred by the Person who is the obligor of the Indebtedness being modified, refinanced, refunded, replaced, renewed or extended and no additional obligors become liable for such Indebtedness;</w:t>
      </w:r>
    </w:p>
    <w:p>
      <w:pPr>
        <w:spacing w:after="0" w:line="176"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Permitted Refinancing in respect of any Permitted Pari Passu Secured Refinancing Debt or any Permitted Junior Secured Refinancing Debt, in each case, such Permitted Refinancing is secured by Liens on assets of Loan Parties that are subject to an Equal Priority Intercreditor Agreement or Junior Lien Intercreditor Agreement, as applicable; and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Permitted Refinancing in respect of any Incremental Equivalent Debt, such Permitted Refinancing shall be subject to the terms of clause (c) of the definition of “Incremental Equivalent Debt” as if such Permitted Refinancing were also Incremental Equivalent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Refinancing will be deemed to include any Registered Equivalent Notes issued in exchange therefor.</w:t>
      </w:r>
    </w:p>
    <w:p>
      <w:pPr>
        <w:spacing w:after="0" w:line="211"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3"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material “employee benefit plan” (as such term is defined in Section 3(3) of ERISA), other than a Foreign Plan, established by any Loan Party or, with respect to any such plan that is subject to Section 412 of the Code or Title IV of ERISA, any of their respective ERISA Affiliates.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Debt</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Pounds 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 the lawful money of the United Kingdom of Great Britain and Northern Ireland.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2.07(b)(vii)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Prepayment Notice</w:t>
      </w:r>
      <w:r>
        <w:rPr>
          <w:rFonts w:ascii="Times New Roman" w:cs="Times New Roman" w:eastAsia="Times New Roman" w:hAnsi="Times New Roman"/>
          <w:sz w:val="20"/>
          <w:szCs w:val="20"/>
          <w:color w:val="auto"/>
        </w:rPr>
        <w:t xml:space="preserve">” means a written notice made pursuant to </w:t>
      </w:r>
      <w:r>
        <w:rPr>
          <w:rFonts w:ascii="Times New Roman" w:cs="Times New Roman" w:eastAsia="Times New Roman" w:hAnsi="Times New Roman"/>
          <w:sz w:val="20"/>
          <w:szCs w:val="20"/>
          <w:u w:val="single" w:color="auto"/>
          <w:color w:val="auto"/>
        </w:rPr>
        <w:t>Section 2.07(a)(i)</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Private-Side Information</w:t>
      </w:r>
      <w:r>
        <w:rPr>
          <w:rFonts w:ascii="Times New Roman" w:cs="Times New Roman" w:eastAsia="Times New Roman" w:hAnsi="Times New Roman"/>
          <w:sz w:val="20"/>
          <w:szCs w:val="20"/>
          <w:color w:val="auto"/>
        </w:rPr>
        <w:t>” means any information with respect to Holdings and its Subsidiaries that is not Public-Side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4" w:name="page145"/>
    <w:bookmarkEnd w:id="144"/>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Pro Forma Effect</w:t>
      </w:r>
      <w:r>
        <w:rPr>
          <w:rFonts w:ascii="Times New Roman" w:cs="Times New Roman" w:eastAsia="Times New Roman" w:hAnsi="Times New Roman"/>
          <w:sz w:val="20"/>
          <w:szCs w:val="20"/>
          <w:color w:val="auto"/>
        </w:rPr>
        <w:t xml:space="preserve">” mean, with respect to compliance with any test or covenant or calculation hereunder, the determination or calculation of such test, covenant or ratio (including in connection with Specified Transactions)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means (a) with respect to all payments, computations and other matters relating to the Term Loan of a given Class of any Lender at any time a fraction (expressed as a percentage, carried out to the ninth decimal place), the numerator of which is the amount of the Term Loan Exposure of such Class of such Lender at such time and the denominator of which is the aggregate Term Loan Exposure of such Class of all Lenders at such time; (b)(i) with respect to all payments, computations and other matters relating to the Revolving Commitment of any Lender at any time a fraction (expressed as a percentage, carried out to the ninth decimal place), the numerator of which is the unused Revolving Commitment of that Lender and the denominator of which is the aggregate unused Revolving Commitments of all Lenders at such time and (ii) with respect to all payments, computations and other matters relating to the Revolving Loans of any Lender and any Letters of Credit issued or participations purchased therein by any Lender or any participation in any Swing Line Loans purchased by any Lender at any time a fraction (expressed as a percentage, carried out to the ninth decimal place), the numerator of which is the amount of the Revolving Exposure of that Lender and the denominator of which is the aggregate Revolving Exposure of all Lenders at such time; (c)(i) with respect to all payments, computations and other matters relating to the Delayed Draw Term Loan Commitment of any Lender at any time a fraction (expressed as a percentage, carried out to the ninth decimal place), the numerator of which is the amount of the Delayed Draw Term Loan Commitment of that Lender and the denominator of which is the aggregate Delayed Draw Term Loan Exposure of all Lenders at such time and (ii); with respect to all payments, computations and other matters relating to the Delayed Draw Term Loans of any Lender at any time a fraction (expressed as a percentage, carried out to the ninth decimal place), the numerator of which is the amount of the Delayed Draw Term Loan Exposure of that Lender and the denominator of which is the aggregate Delayed Draw Term Loan Exposure of all Lenders at such time and (d) with respect to all payments, computations and other matters relating to the Incremental Term Loans of any Lender at any time a fraction (expressed as a percentage, carried out to the ninth decimal place), the numerator of which is the amount of the Incremental Term Loan Exposure of such Lender at such time and the denominator of which is the aggregate Incremental Term Loan Exposure of all Lenders at such time.</w:t>
      </w:r>
    </w:p>
    <w:p>
      <w:pPr>
        <w:spacing w:after="0" w:line="201"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Company Costs</w:t>
      </w:r>
      <w:r>
        <w:rPr>
          <w:rFonts w:ascii="Times New Roman" w:cs="Times New Roman" w:eastAsia="Times New Roman" w:hAnsi="Times New Roman"/>
          <w:sz w:val="20"/>
          <w:szCs w:val="20"/>
          <w:color w:val="auto"/>
        </w:rPr>
        <w:t>” means costs relating to compliance with the Sarbanes-Oxley Act of 2002, as amended, and other expenses arising out of or incidental to Holdings’ (or any direct or indirect parent thereof which do not own other Subsidiaries besides Holdings, its Subsidiaries and any other direct or indirect parents of Holdings)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Lenders</w:t>
      </w:r>
      <w:r>
        <w:rPr>
          <w:rFonts w:ascii="Times New Roman" w:cs="Times New Roman" w:eastAsia="Times New Roman" w:hAnsi="Times New Roman"/>
          <w:sz w:val="20"/>
          <w:szCs w:val="20"/>
          <w:color w:val="auto"/>
        </w:rPr>
        <w:t>” means Lenders that do not wish to receive Private-Side Information.</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Public-Side Information</w:t>
      </w:r>
      <w:r>
        <w:rPr>
          <w:rFonts w:ascii="Times New Roman" w:cs="Times New Roman" w:eastAsia="Times New Roman" w:hAnsi="Times New Roman"/>
          <w:sz w:val="20"/>
          <w:szCs w:val="20"/>
          <w:color w:val="auto"/>
        </w:rPr>
        <w:t>” means (a) at any time prior to Holdings or any of its Subsidiaries becoming the issuer of any Traded Securities, information that is (i) of a type that would be required by applicable Law to be publicly disclosed in connection with an issuance by Holdings or any of its Subsidiaries of its debt or equity securities pursuant to a registered public offering made at such time or (ii) not material to make an investment decision with respect to securities of Holdings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5" w:name="page146"/>
    <w:bookmarkEnd w:id="145"/>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United States federal, state or other applicable securities laws), and (b) at any time on or after Holdings or any of its Subsidiaries becoming the issuer of any Traded Securities, information that does not constitute material non-public information (within the meaning of United States federal, state or other applicable securities laws) with respect to Holdings or any of its Subsidiaries or any of their respective securities.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Equity Interests</w:t>
      </w:r>
      <w:r>
        <w:rPr>
          <w:rFonts w:ascii="Times New Roman" w:cs="Times New Roman" w:eastAsia="Times New Roman" w:hAnsi="Times New Roman"/>
          <w:sz w:val="20"/>
          <w:szCs w:val="20"/>
          <w:color w:val="auto"/>
        </w:rPr>
        <w:t>” means any Equity Interests that are not Disqualified Equity Interests.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Holding Company Debt</w:t>
      </w:r>
      <w:r>
        <w:rPr>
          <w:rFonts w:ascii="Times New Roman" w:cs="Times New Roman" w:eastAsia="Times New Roman" w:hAnsi="Times New Roman"/>
          <w:sz w:val="20"/>
          <w:szCs w:val="20"/>
          <w:color w:val="auto"/>
        </w:rPr>
        <w:t>” means unsecured Indebtedness of Holdings:</w:t>
      </w:r>
    </w:p>
    <w:p>
      <w:pPr>
        <w:spacing w:after="0" w:line="219" w:lineRule="exact"/>
        <w:rPr>
          <w:sz w:val="20"/>
          <w:szCs w:val="20"/>
          <w:color w:val="auto"/>
        </w:rPr>
      </w:pPr>
    </w:p>
    <w:p>
      <w:pPr>
        <w:ind w:left="1900" w:hanging="395"/>
        <w:spacing w:after="0"/>
        <w:tabs>
          <w:tab w:leader="none" w:pos="19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not subject to any Guarantee by any Subsidiary of Holdings (including the Borrower),</w:t>
      </w:r>
    </w:p>
    <w:p>
      <w:pPr>
        <w:spacing w:after="0" w:line="214" w:lineRule="exact"/>
        <w:rPr>
          <w:rFonts w:ascii="Times New Roman" w:cs="Times New Roman" w:eastAsia="Times New Roman" w:hAnsi="Times New Roman"/>
          <w:sz w:val="20"/>
          <w:szCs w:val="20"/>
          <w:color w:val="auto"/>
        </w:rPr>
      </w:pPr>
    </w:p>
    <w:p>
      <w:pPr>
        <w:ind w:left="760" w:firstLine="745"/>
        <w:spacing w:after="0" w:line="268" w:lineRule="auto"/>
        <w:tabs>
          <w:tab w:leader="none" w:pos="19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will not mature prior to the date that is six months after the Latest Maturity Date in effect on the date of issuance or incurrence thereof,</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has no scheduled amortization or scheduled payments of principal and is not subject to mandatory redemption, repurchase, prepayment or sinking fund obligation (it being understood that such Indebtedness may have mandatory prepayment, repurchase or redemption provisions satisfying the requirements of clause (e) below),</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does not require any payments in cash of interest or other amounts in respect of the principal thereof prior to the earlier to occur of (i) the date that is four years from the date of the issuance or incurrence thereof and (ii) the date that is 180 days after the Latest Maturity Date in effect on the date of such issuance or incurrence, and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has mandatory prepayment, repurchase or redemption, covenant, default and remedy provisions customary for senior discount notes of an issuer that is the parent of a borrower under senior secured credit facilities, and in any event, with respect to covenant, default and remedy provisions, no more restrictive (taken as a whole) than those set forth in this Agreement (other than provisions customary for senior discount notes of a holding company);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such Indebtedness shall constitute Qualified Holding Company Debt only if immediately after giving effect to the issuance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incurrence thereof and the use of proceeds thereof, no Event of Default shall have occurred and be continuing.</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Securitization Financing</w:t>
      </w:r>
      <w:r>
        <w:rPr>
          <w:rFonts w:ascii="Times New Roman" w:cs="Times New Roman" w:eastAsia="Times New Roman" w:hAnsi="Times New Roman"/>
          <w:sz w:val="20"/>
          <w:szCs w:val="20"/>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Borrower and the Securitization Subsidiary, (b) all sales, transfers and/or contributions of Securitization Assets and related assets to the Securitization Subsidiary are made at fair market value and (c) the financing terms, covenants, termination events and other provisions thereof, including any Standard Securitization Undertakings, shall be market terms. The grant of a security interest in any Securitization Assets of the Borrower or any of the Restricted Subsidiaries (other than a Securitization Subsidiary) to secure Indebtedness under this Agreement prior to engaging in any Securitization Financing shall not be deemed a Qualified Securitization Financing.</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IPO</w:t>
      </w:r>
      <w:r>
        <w:rPr>
          <w:rFonts w:ascii="Times New Roman" w:cs="Times New Roman" w:eastAsia="Times New Roman" w:hAnsi="Times New Roman"/>
          <w:sz w:val="20"/>
          <w:szCs w:val="20"/>
          <w:color w:val="auto"/>
        </w:rPr>
        <w:t>” means either (a) the issuance by Holdings or any direct or indirect parent of Holdings of its common Equity Interests in an underwritten primary public offering (other than a public offering pursuant to a registration statement on Form S-8 (or equivalent forms applicable for foreign public companies or foreign private issuers) or any successor form) pursuant to an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6" w:name="page147"/>
    <w:bookmarkEnd w:id="146"/>
    <w:p>
      <w:pPr>
        <w:jc w:val="both"/>
        <w:spacing w:after="0" w:line="245" w:lineRule="auto"/>
        <w:rPr>
          <w:sz w:val="20"/>
          <w:szCs w:val="20"/>
          <w:color w:val="auto"/>
        </w:rPr>
      </w:pPr>
      <w:r>
        <w:rPr>
          <w:rFonts w:ascii="Times New Roman" w:cs="Times New Roman" w:eastAsia="Times New Roman" w:hAnsi="Times New Roman"/>
          <w:sz w:val="20"/>
          <w:szCs w:val="20"/>
          <w:color w:val="auto"/>
        </w:rPr>
        <w:t>filed with the SEC in accordance with the Securities Act or pursuant to a prospectus or similar documents filed with securities regulatory authorities outside of the United States (whether alone or in connection with a secondary public offering) or (b) any transaction or series of related transactions following consummation of which Holdings or any direct or indirect parent of Holdings is either subject to the periodic reporting obligations of the Exchange Act or has a class or series of Equity Interests publicly traded on a recognized securities exchange, in each case, if following such transaction or series of transactions, any class or series of Equity Interests of such Person is listed on a national securities exchange.</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Ratio Amount</w:t>
      </w:r>
      <w:r>
        <w:rPr>
          <w:rFonts w:ascii="Times New Roman" w:cs="Times New Roman" w:eastAsia="Times New Roman" w:hAnsi="Times New Roman"/>
          <w:sz w:val="20"/>
          <w:szCs w:val="20"/>
          <w:color w:val="auto"/>
        </w:rPr>
        <w:t xml:space="preserve">” means an aggregate principal amount that, after giving Pro Forma Effect to the incurrence thereof,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(assuming, in the case of (x) any Incremental Revolving Commitments, a full drawing of such Revolving Commitments and (y) any Incremental Facilities with a delayed draw feature, either (as determined by the Borrower) (i) a full drawing thereof as of the date of receiving commitments in respect thereof or (ii) based on the date and actual amount of funding thereof), would not result in:</w:t>
      </w:r>
    </w:p>
    <w:p>
      <w:pPr>
        <w:spacing w:after="0" w:line="178" w:lineRule="exact"/>
        <w:rPr>
          <w:sz w:val="20"/>
          <w:szCs w:val="20"/>
          <w:color w:val="auto"/>
        </w:rPr>
      </w:pPr>
    </w:p>
    <w:p>
      <w:pPr>
        <w:jc w:val="both"/>
        <w:ind w:left="760" w:firstLine="745"/>
        <w:spacing w:after="0" w:line="253" w:lineRule="auto"/>
        <w:tabs>
          <w:tab w:leader="none" w:pos="190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 Incremental Facility or Incremental Equivalent Debt to be incurred as Pari Passu Lien Debt, the First Lien Net Leverage Ratio for the applicable Test Period being greater than (A) the Closing Date First Lien Net Leverage Ratio or (B) the First Lien Net Leverage Ratio immediately prior to such incurrence;</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Incremental Facility or Incremental Equivalent Debt to be incurred as Junior Lien Debt, either:</w:t>
      </w:r>
    </w:p>
    <w:p>
      <w:pPr>
        <w:spacing w:after="0" w:line="214" w:lineRule="exact"/>
        <w:rPr>
          <w:rFonts w:ascii="Times New Roman" w:cs="Times New Roman" w:eastAsia="Times New Roman" w:hAnsi="Times New Roman"/>
          <w:sz w:val="20"/>
          <w:szCs w:val="20"/>
          <w:color w:val="auto"/>
        </w:rPr>
      </w:pPr>
    </w:p>
    <w:p>
      <w:pPr>
        <w:ind w:left="1500" w:right="40" w:firstLine="754"/>
        <w:spacing w:after="0" w:line="268" w:lineRule="auto"/>
        <w:tabs>
          <w:tab w:leader="none" w:pos="26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Net Leverage Ratio for the applicable Test Period being greater than (A) the Closing Date Secured Net Leverage Ratio or (B) the Secured Net Leverage Ratio immediately prior to such incurrence; or</w:t>
      </w:r>
    </w:p>
    <w:p>
      <w:pPr>
        <w:spacing w:after="0" w:line="160" w:lineRule="exact"/>
        <w:rPr>
          <w:rFonts w:ascii="Times New Roman" w:cs="Times New Roman" w:eastAsia="Times New Roman" w:hAnsi="Times New Roman"/>
          <w:sz w:val="20"/>
          <w:szCs w:val="20"/>
          <w:color w:val="auto"/>
        </w:rPr>
      </w:pPr>
    </w:p>
    <w:p>
      <w:pPr>
        <w:ind w:left="1500" w:firstLine="754"/>
        <w:spacing w:after="0" w:line="268" w:lineRule="auto"/>
        <w:tabs>
          <w:tab w:leader="none" w:pos="26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Coverage Ratio for the applicable Test Period being less than (A) 2.00 to 1.00 or (B) the Interest Coverage Ratio immediately prior to such incurrence; and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Incremental Facility or Incremental Equivalent Debt that is unsecured, either:</w:t>
      </w:r>
    </w:p>
    <w:p>
      <w:pPr>
        <w:spacing w:after="0" w:line="214"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Net Leverage Ratio for the applicable Test Period being greater than (A) the Closing Date Total Net Leverage Ratio or (B) the Total Net Leverage Ratio immediately prior to such incurrence; or</w:t>
      </w:r>
    </w:p>
    <w:p>
      <w:pPr>
        <w:spacing w:after="0" w:line="160" w:lineRule="exact"/>
        <w:rPr>
          <w:rFonts w:ascii="Times New Roman" w:cs="Times New Roman" w:eastAsia="Times New Roman" w:hAnsi="Times New Roman"/>
          <w:sz w:val="20"/>
          <w:szCs w:val="20"/>
          <w:color w:val="auto"/>
        </w:rPr>
      </w:pPr>
    </w:p>
    <w:p>
      <w:pPr>
        <w:ind w:left="1500" w:firstLine="754"/>
        <w:spacing w:after="0" w:line="268" w:lineRule="auto"/>
        <w:tabs>
          <w:tab w:leader="none" w:pos="26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Coverage Ratio for the applicable Test Period being less than (A) 2.00 to 1.00 or (B) the Interest Coverage Ratio immediately prior to such incurrence.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(a) the Administrative Agent, (b) any Lender and (c) any Issuing Bank, as applicable.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Reference Date</w:t>
      </w:r>
      <w:r>
        <w:rPr>
          <w:rFonts w:ascii="Times New Roman" w:cs="Times New Roman" w:eastAsia="Times New Roman" w:hAnsi="Times New Roman"/>
          <w:sz w:val="20"/>
          <w:szCs w:val="20"/>
          <w:color w:val="auto"/>
        </w:rPr>
        <w:t>” has the meaning specified in the definition of “Available Amount.”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Debt</w:t>
      </w:r>
      <w:r>
        <w:rPr>
          <w:rFonts w:ascii="Times New Roman" w:cs="Times New Roman" w:eastAsia="Times New Roman" w:hAnsi="Times New Roman"/>
          <w:sz w:val="20"/>
          <w:szCs w:val="20"/>
          <w:color w:val="auto"/>
        </w:rPr>
        <w:t>” has the meaning assigned to such term in the definition of “Credit Agreement Refinancing Indebtedness.”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7" w:name="page148"/>
    <w:bookmarkEnd w:id="147"/>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Amendment</w:t>
      </w:r>
      <w:r>
        <w:rPr>
          <w:rFonts w:ascii="Times New Roman" w:cs="Times New Roman" w:eastAsia="Times New Roman" w:hAnsi="Times New Roman"/>
          <w:sz w:val="20"/>
          <w:szCs w:val="20"/>
          <w:color w:val="auto"/>
        </w:rPr>
        <w:t xml:space="preserve">” means an amendment to this Agreement executed by each of (a) the Borrower and Holdings, (b) the Administrative Agent and (c) each Additional Lender and Lender that agrees to provide any portion of the Credit Agreement Refinancing Indebtedness being incurred pursuant thereto,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Commitments</w:t>
      </w:r>
      <w:r>
        <w:rPr>
          <w:rFonts w:ascii="Times New Roman" w:cs="Times New Roman" w:eastAsia="Times New Roman" w:hAnsi="Times New Roman"/>
          <w:sz w:val="20"/>
          <w:szCs w:val="20"/>
          <w:color w:val="auto"/>
        </w:rPr>
        <w:t>” means any Refinancing Term Commitments or Refinancing Revolving Commitments.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Loans</w:t>
      </w:r>
      <w:r>
        <w:rPr>
          <w:rFonts w:ascii="Times New Roman" w:cs="Times New Roman" w:eastAsia="Times New Roman" w:hAnsi="Times New Roman"/>
          <w:sz w:val="20"/>
          <w:szCs w:val="20"/>
          <w:color w:val="auto"/>
        </w:rPr>
        <w:t>” means any Refinancing Term Loans or Refinancing Revolving Loans.</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Revolving Commitments</w:t>
      </w:r>
      <w:r>
        <w:rPr>
          <w:rFonts w:ascii="Times New Roman" w:cs="Times New Roman" w:eastAsia="Times New Roman" w:hAnsi="Times New Roman"/>
          <w:sz w:val="20"/>
          <w:szCs w:val="20"/>
          <w:color w:val="auto"/>
        </w:rPr>
        <w:t>” means one or more Classes of Revolving Loan commitments hereunder that result from a Refinancing Amendment.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Revolving Loans</w:t>
      </w:r>
      <w:r>
        <w:rPr>
          <w:rFonts w:ascii="Times New Roman" w:cs="Times New Roman" w:eastAsia="Times New Roman" w:hAnsi="Times New Roman"/>
          <w:sz w:val="20"/>
          <w:szCs w:val="20"/>
          <w:color w:val="auto"/>
        </w:rPr>
        <w:t>” means one or more Classes of Revolving Loans that result from a Refinancing Amendment.</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Term Commitments</w:t>
      </w:r>
      <w:r>
        <w:rPr>
          <w:rFonts w:ascii="Times New Roman" w:cs="Times New Roman" w:eastAsia="Times New Roman" w:hAnsi="Times New Roman"/>
          <w:sz w:val="20"/>
          <w:szCs w:val="20"/>
          <w:color w:val="auto"/>
        </w:rPr>
        <w:t>” means one or more Classes of Term Loan commitments hereunder that result from a Refinancing Amendment.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Term Loans</w:t>
      </w:r>
      <w:r>
        <w:rPr>
          <w:rFonts w:ascii="Times New Roman" w:cs="Times New Roman" w:eastAsia="Times New Roman" w:hAnsi="Times New Roman"/>
          <w:sz w:val="20"/>
          <w:szCs w:val="20"/>
          <w:color w:val="auto"/>
        </w:rPr>
        <w:t>” means one or more Classes of Term Loans that result from a Refinancing Amendment.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Refunded Swing Line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Equivalent Notes</w:t>
      </w:r>
      <w:r>
        <w:rPr>
          <w:rFonts w:ascii="Times New Roman" w:cs="Times New Roman" w:eastAsia="Times New Roman" w:hAnsi="Times New Roman"/>
          <w:sz w:val="20"/>
          <w:szCs w:val="20"/>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Obligations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Indemnified Person</w:t>
      </w:r>
      <w:r>
        <w:rPr>
          <w:rFonts w:ascii="Times New Roman" w:cs="Times New Roman" w:eastAsia="Times New Roman" w:hAnsi="Times New Roman"/>
          <w:sz w:val="20"/>
          <w:szCs w:val="20"/>
          <w:color w:val="auto"/>
        </w:rPr>
        <w:t xml:space="preserve">” 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clause (c), acting at the instructions of such Indemnitee, controlling person or such controlled affiliate;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Four Fiscal Quarter Period</w:t>
      </w:r>
      <w:r>
        <w:rPr>
          <w:rFonts w:ascii="Times New Roman" w:cs="Times New Roman" w:eastAsia="Times New Roman" w:hAnsi="Times New Roman"/>
          <w:sz w:val="20"/>
          <w:szCs w:val="20"/>
          <w:color w:val="auto"/>
        </w:rPr>
        <w:t>” means, with respect to any requested Specified Equity Contribution, the four-fiscal quarter period ending on (and including) the fiscal quarter in which Consolidated Adjusted EBITDA will be increased as a result of such Specified Equity Contribution.</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(i) in respect of any Loans denominated in Dollars, the Board of Governors of the Federal Reserve System or the Federal Reserve Bank of New York, or a committee officially endorsed or convened by the Board of Governors of the Federal Reserve System or the Federal Reserve Bank of New York, or any successor thereto and (ii) in respect of Loans denominated in any Alternative Currency, the central bank or other Governmental Authority for such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Currency, or a committee officially endorsed or convened by such central bank or other Governmental Authority, or any successor thereto.</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Replacement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Event</w:t>
      </w:r>
      <w:r>
        <w:rPr>
          <w:rFonts w:ascii="Times New Roman" w:cs="Times New Roman" w:eastAsia="Times New Roman" w:hAnsi="Times New Roman"/>
          <w:sz w:val="20"/>
          <w:szCs w:val="20"/>
          <w:color w:val="auto"/>
        </w:rPr>
        <w:t>” means, with respect to any Pension Plan, any of the events set forth in Section 4043(c) of ERISA or the regulations issued thereunder, other than events for which the thirty day notice period has been waived by regulation as in effect on the date hereof.</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Repricing Event</w:t>
      </w:r>
      <w:r>
        <w:rPr>
          <w:rFonts w:ascii="Times New Roman" w:cs="Times New Roman" w:eastAsia="Times New Roman" w:hAnsi="Times New Roman"/>
          <w:sz w:val="20"/>
          <w:szCs w:val="20"/>
          <w:color w:val="auto"/>
        </w:rPr>
        <w:t>” means:</w:t>
      </w:r>
    </w:p>
    <w:p>
      <w:pPr>
        <w:spacing w:after="0" w:line="219" w:lineRule="exact"/>
        <w:rPr>
          <w:sz w:val="20"/>
          <w:szCs w:val="20"/>
          <w:color w:val="auto"/>
        </w:rPr>
      </w:pPr>
    </w:p>
    <w:p>
      <w:pPr>
        <w:jc w:val="both"/>
        <w:ind w:left="760" w:firstLine="745"/>
        <w:spacing w:after="0" w:line="245" w:lineRule="auto"/>
        <w:tabs>
          <w:tab w:leader="none" w:pos="190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Borrower or any other Loan Party of any Indebtedness (including any new or additional Term Loans (other than Delayed Draw Term Loans) under this Agreement, whether incurred directly or by way of the conversion of the Initial Term Loans and/or Delayed Draw Term Loans into a new tranche of replacement Term Loans under this Agreement) (i) having an All-In Yield that is less than the All-In Yield for the Initial Term Loans, and (ii) the proceeds of which are used to prepay (or, in the case of a conversion, deemed to prepay or replace), in whole or in part, the outstanding principal of the Initial Term Loans and/or the Delayed Draw Term Loans, or</w:t>
      </w:r>
    </w:p>
    <w:p>
      <w:pPr>
        <w:spacing w:after="0" w:line="182"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effective reduction in the All-In Yield applicable to the Initial Term Loans and/or the Delayed Draw Term Loans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by way of amendment, waiver or otherwise);</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Repricing Event shall not include any event described in clause (a) or (b) above that (x) is not consummated for the primary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purpose of lowering the All-In Yield applicable to the Initial Term Loans and/or the Delayed Draw Term Loans (as determined in good faith by the Borrower), or (y) that is consummated in connection with a Change of Control, Qualifying IPO, Transformative Acquisition dividend or other distribution or other debt repayment.</w:t>
      </w:r>
    </w:p>
    <w:p>
      <w:pPr>
        <w:spacing w:after="0" w:line="174" w:lineRule="exact"/>
        <w:rPr>
          <w:sz w:val="20"/>
          <w:szCs w:val="20"/>
          <w:color w:val="auto"/>
        </w:rPr>
      </w:pPr>
    </w:p>
    <w:p>
      <w:pPr>
        <w:ind w:right="10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Delayed Draw Lenders</w:t>
      </w:r>
      <w:r>
        <w:rPr>
          <w:rFonts w:ascii="Times New Roman" w:cs="Times New Roman" w:eastAsia="Times New Roman" w:hAnsi="Times New Roman"/>
          <w:sz w:val="20"/>
          <w:szCs w:val="20"/>
          <w:color w:val="auto"/>
        </w:rPr>
        <w:t>” means, as of any date of determination, Lenders having or holding more than 50% of the sum of the aggregate Delayed Draw Commitments then outstanding.</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Facility Lenders</w:t>
      </w:r>
      <w:r>
        <w:rPr>
          <w:rFonts w:ascii="Times New Roman" w:cs="Times New Roman" w:eastAsia="Times New Roman" w:hAnsi="Times New Roman"/>
          <w:sz w:val="20"/>
          <w:szCs w:val="20"/>
          <w:color w:val="auto"/>
        </w:rPr>
        <w:t xml:space="preserve">” means, with respect to any Facility (other than the Revolving Loans) on any date of determination, Lenders having or holding more than 50% of the sum of (a) the aggregate principal amount of outstanding Loans under such Facility and (b) the aggregate unused Commitments under such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determination of Required Facility Lenders shall be subject to the limitations set forth in </w:t>
      </w:r>
      <w:r>
        <w:rPr>
          <w:rFonts w:ascii="Times New Roman" w:cs="Times New Roman" w:eastAsia="Times New Roman" w:hAnsi="Times New Roman"/>
          <w:sz w:val="20"/>
          <w:szCs w:val="20"/>
          <w:u w:val="single" w:color="auto"/>
          <w:color w:val="auto"/>
        </w:rPr>
        <w:t>Section 11.07(h)</w:t>
      </w:r>
      <w:r>
        <w:rPr>
          <w:rFonts w:ascii="Times New Roman" w:cs="Times New Roman" w:eastAsia="Times New Roman" w:hAnsi="Times New Roman"/>
          <w:sz w:val="20"/>
          <w:szCs w:val="20"/>
          <w:color w:val="auto"/>
        </w:rPr>
        <w:t xml:space="preserve"> with respect to Affiliated Lenders and (ii) the portion of outstanding Loans and the unused Commitments of such Facility, as applicable, held or deemed held by a Defaulting Lender shall be excluded for purposes of making a determination of Required Facility Lenders.</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xml:space="preserve">” means, as of any date of determination, Lenders having or holding more than 50% of the sum of the (a) the aggregate Term Loan Exposure of all Lenders and (b) the aggregate Revolving Exposure of all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aggregate Term Loan Exposure and Revolving Exposure of or held by any Defaulting Lender shall be excluded for purposes of making a determination of Required Lenders and (b) any determination of Required Lenders shall be subject to the limitations set forth in </w:t>
      </w:r>
      <w:r>
        <w:rPr>
          <w:rFonts w:ascii="Times New Roman" w:cs="Times New Roman" w:eastAsia="Times New Roman" w:hAnsi="Times New Roman"/>
          <w:sz w:val="20"/>
          <w:szCs w:val="20"/>
          <w:u w:val="single" w:color="auto"/>
          <w:color w:val="auto"/>
        </w:rPr>
        <w:t>Section 11.07(h)</w:t>
      </w:r>
      <w:r>
        <w:rPr>
          <w:rFonts w:ascii="Times New Roman" w:cs="Times New Roman" w:eastAsia="Times New Roman" w:hAnsi="Times New Roman"/>
          <w:sz w:val="20"/>
          <w:szCs w:val="20"/>
          <w:color w:val="auto"/>
        </w:rPr>
        <w:t xml:space="preserve"> with respect to Affiliated Lenders.</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Revolving Lenders</w:t>
      </w:r>
      <w:r>
        <w:rPr>
          <w:rFonts w:ascii="Times New Roman" w:cs="Times New Roman" w:eastAsia="Times New Roman" w:hAnsi="Times New Roman"/>
          <w:sz w:val="20"/>
          <w:szCs w:val="20"/>
          <w:color w:val="auto"/>
        </w:rPr>
        <w:t xml:space="preserve">” means, as of any date of determination, Lenders having or holding more than 50% of the aggregate Revolving Exposure of all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Revolving Exposure of or held by any Defaulting Lender shall be excluded for purposes of making a determination of Required Revolving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9" w:name="page150"/>
    <w:bookmarkEnd w:id="149"/>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the chief executive officer, president, senior vice president, senior vice president (finance), vice president, chief financial officer, treasurer, manager of treasury activities or assistant treasurer or other similar officer or Person performing similar functions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means, when referring to cash or Cash Equivalents of the Borrower or any of the Restricted Subsidiaries, that such cash or Cash Equivalents appear (or would be required to appear) as “restricted” on a consolidated balance sheet of the Borrower or such Restricted Subsidiary (unless such appearance is related to a restriction in favor of, among others, the Administrative Agent).</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 of Holdings, the Borrower or any of the Restricted Subsidiaries,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or Holdings’ stockholders, partners or members (or the equivalent Persons thereof).</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Subsidiary</w:t>
      </w:r>
      <w:r>
        <w:rPr>
          <w:rFonts w:ascii="Times New Roman" w:cs="Times New Roman" w:eastAsia="Times New Roman" w:hAnsi="Times New Roman"/>
          <w:sz w:val="20"/>
          <w:szCs w:val="20"/>
          <w:color w:val="auto"/>
        </w:rPr>
        <w:t>” means any Subsidiary of the Borrower other than an Unrestricted Subsidiary.</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xml:space="preserve">” means the commitment of a Lender to make or otherwise fund any Revolving Loan and to acquire participations in Letters of Credit and Swing Line Loans hereunder and “Revolving Commitments” means such commitments of all Lenders in the aggregate. The amount of each Lender’s Revolving Commitment, if any, is set forth on </w:t>
      </w:r>
      <w:r>
        <w:rPr>
          <w:rFonts w:ascii="Times New Roman" w:cs="Times New Roman" w:eastAsia="Times New Roman" w:hAnsi="Times New Roman"/>
          <w:sz w:val="20"/>
          <w:szCs w:val="20"/>
          <w:u w:val="single" w:color="auto"/>
          <w:color w:val="auto"/>
        </w:rPr>
        <w:t>Schedule 1-B of the Second Amendment</w:t>
      </w:r>
      <w:r>
        <w:rPr>
          <w:rFonts w:ascii="Times New Roman" w:cs="Times New Roman" w:eastAsia="Times New Roman" w:hAnsi="Times New Roman"/>
          <w:sz w:val="20"/>
          <w:szCs w:val="20"/>
          <w:color w:val="auto"/>
        </w:rPr>
        <w:t xml:space="preserve"> under the caption “Revolving Commitments” or in the applicable Assignment and Assumption, subject to any increase, adjustment or reduction pursuant to the terms and conditions hereof including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aggregate amount of the Revolving Commitments as of the Second Amendment Operative Date is $150,000,000.</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 Period</w:t>
      </w:r>
      <w:r>
        <w:rPr>
          <w:rFonts w:ascii="Times New Roman" w:cs="Times New Roman" w:eastAsia="Times New Roman" w:hAnsi="Times New Roman"/>
          <w:sz w:val="20"/>
          <w:szCs w:val="20"/>
          <w:color w:val="auto"/>
        </w:rPr>
        <w:t>” means the period from the Closing Date to but excluding the Revolving Commitment Termination Date.</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 Termination Date</w:t>
      </w:r>
      <w:r>
        <w:rPr>
          <w:rFonts w:ascii="Times New Roman" w:cs="Times New Roman" w:eastAsia="Times New Roman" w:hAnsi="Times New Roman"/>
          <w:sz w:val="20"/>
          <w:szCs w:val="20"/>
          <w:color w:val="auto"/>
        </w:rPr>
        <w:t xml:space="preserve">” means the earliest to occur of (a) the fifth anniversary of the Second Amendment Effective Date, (b) the date that is 6 months prior to the Maturity Date for the Initial Term Loans; provided, this clause (b) shall not apply if prior to such date (i) the Maturity Date for the Initial Term Loans is extended to a date that is at least 6 months after the date set forth in clause (a) above in accordance with Section 2.18, (ii) the Initial Term Loans are refinanced, exchanged or replaced in full with Indebtedness having a maturity date that is at least 6 months after the date set forth in clause (a) above or (iii) the aggregate principal amount of the Initial Term Loans, together with all accrued and unpaid interest thereon is paid in full, (c) the date that the Revolving Commitments, including Revolving Commitments in respect of Letters of Credit and Swing Line Loans, are permanently reduced to zero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and (d) the date of the termination of the Revolving Commitments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Exposure</w:t>
      </w:r>
      <w:r>
        <w:rPr>
          <w:rFonts w:ascii="Times New Roman" w:cs="Times New Roman" w:eastAsia="Times New Roman" w:hAnsi="Times New Roman"/>
          <w:sz w:val="20"/>
          <w:szCs w:val="20"/>
          <w:color w:val="auto"/>
        </w:rPr>
        <w:t>” means, with respect to any Lender as of any date of determination, (a) prior to the termination of the Revolving Commitments, that Lender’s Revolving Commitment; and (b)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9"/>
          <w:szCs w:val="19"/>
          <w:color w:val="auto"/>
        </w:rPr>
        <w:t>termination of the Revolving Commitments, the sum of (i) the aggregate outstanding principal amount of the Revolving Loans of that Lender,</w:t>
      </w:r>
    </w:p>
    <w:p>
      <w:pPr>
        <w:spacing w:after="0" w:line="33" w:lineRule="exact"/>
        <w:rPr>
          <w:sz w:val="20"/>
          <w:szCs w:val="20"/>
          <w:color w:val="auto"/>
        </w:rPr>
      </w:pPr>
    </w:p>
    <w:p>
      <w:pPr>
        <w:jc w:val="both"/>
        <w:ind w:firstLine="8"/>
        <w:spacing w:after="0"/>
        <w:tabs>
          <w:tab w:leader="none" w:pos="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Issuing Bank, the aggregate Letter of Credit Usage in respect of all Letters of Credit issued by that Lender (net of any participations by Lenders in such Letters of Credit), (iii) the aggregate amount of all participations by that Lender in any outstanding Letters of Credit or any unreimbursed drawing under any Letter of Credit, (iv) in the case of the Swing Line Lender, the aggregate outstanding principal amount of all Swing Line Loans (net of any participations therein by other Lenders) and (v) the aggregate amount of all participations therein by that Lender in any outstanding Swing Line Loans.</w:t>
      </w:r>
    </w:p>
    <w:p>
      <w:pPr>
        <w:spacing w:after="0" w:line="186"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Facility</w:t>
      </w:r>
      <w:r>
        <w:rPr>
          <w:rFonts w:ascii="Times New Roman" w:cs="Times New Roman" w:eastAsia="Times New Roman" w:hAnsi="Times New Roman"/>
          <w:sz w:val="20"/>
          <w:szCs w:val="20"/>
          <w:color w:val="auto"/>
        </w:rPr>
        <w:t>” means the Facility comprised of the Revolving Commitments, Revolving Loans, Swing Line Loans and Letters of Credit hereunder.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a Lender having a Revolving Commitment or other Revolving Exposure.</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Note</w:t>
      </w:r>
      <w:r>
        <w:rPr>
          <w:rFonts w:ascii="Times New Roman" w:cs="Times New Roman" w:eastAsia="Times New Roman" w:hAnsi="Times New Roman"/>
          <w:sz w:val="20"/>
          <w:szCs w:val="20"/>
          <w:color w:val="auto"/>
        </w:rPr>
        <w:t xml:space="preserve">” means a promissory note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as it may be amended, restated, amended and restated, supplemented or otherwise modified from time to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means Standard &amp; Poor’s, a division of S&amp;P Global Inc., and any successor thereto.</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 Leaseback Transaction</w:t>
      </w:r>
      <w:r>
        <w:rPr>
          <w:rFonts w:ascii="Times New Roman" w:cs="Times New Roman" w:eastAsia="Times New Roman" w:hAnsi="Times New Roman"/>
          <w:sz w:val="20"/>
          <w:szCs w:val="20"/>
          <w:color w:val="auto"/>
        </w:rPr>
        <w:t>” means a sale leaseback transaction with respect to all or any portion of any real property owned by a Loan Party.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Same Day Funds</w:t>
      </w:r>
      <w:r>
        <w:rPr>
          <w:rFonts w:ascii="Times New Roman" w:cs="Times New Roman" w:eastAsia="Times New Roman" w:hAnsi="Times New Roman"/>
          <w:sz w:val="20"/>
          <w:szCs w:val="20"/>
          <w:color w:val="auto"/>
        </w:rPr>
        <w:t>” means disbursements and payments in immediately available funds.</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sanction administered or enforced by the United States government (including OFAC), the United Nations Security Council, the European Union or HMT.</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means that certain Amendment No. 2 to this Agreement, dated as of June 4, 2021, among Holdings, the Borrower, the Administrative Agent, the Collateral Agent, the 2021 Incremental Revolving Lenders and the 2021 Refinancing Revolving Lenders and the other parties party thereto.</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 Effective Date</w:t>
      </w:r>
      <w:r>
        <w:rPr>
          <w:rFonts w:ascii="Times New Roman" w:cs="Times New Roman" w:eastAsia="Times New Roman" w:hAnsi="Times New Roman"/>
          <w:sz w:val="20"/>
          <w:szCs w:val="20"/>
          <w:color w:val="auto"/>
        </w:rPr>
        <w:t>” means June 4, 2021.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 Operative Date</w:t>
      </w:r>
      <w:r>
        <w:rPr>
          <w:rFonts w:ascii="Times New Roman" w:cs="Times New Roman" w:eastAsia="Times New Roman" w:hAnsi="Times New Roman"/>
          <w:sz w:val="20"/>
          <w:szCs w:val="20"/>
          <w:color w:val="auto"/>
        </w:rPr>
        <w:t>” has the meaning provided in the Second Amendment.</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Lien Administrative Agent</w:t>
      </w:r>
      <w:r>
        <w:rPr>
          <w:rFonts w:ascii="Times New Roman" w:cs="Times New Roman" w:eastAsia="Times New Roman" w:hAnsi="Times New Roman"/>
          <w:sz w:val="20"/>
          <w:szCs w:val="20"/>
          <w:color w:val="auto"/>
        </w:rPr>
        <w:t>” means the Administrative Agent under, and as defined in the Second Lien Credit Agreement, or any successor administrative agent under the Second Lien Credit Documents.</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Lien Collateral Agent</w:t>
      </w:r>
      <w:r>
        <w:rPr>
          <w:rFonts w:ascii="Times New Roman" w:cs="Times New Roman" w:eastAsia="Times New Roman" w:hAnsi="Times New Roman"/>
          <w:sz w:val="20"/>
          <w:szCs w:val="20"/>
          <w:color w:val="auto"/>
        </w:rPr>
        <w:t>” means the Collateral Agent under, and as defined in the Second Lien Credit Agreement, or any successor collateral agent under the Second Lien Credit Documents.</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Lien Credit Agreement</w:t>
      </w:r>
      <w:r>
        <w:rPr>
          <w:rFonts w:ascii="Times New Roman" w:cs="Times New Roman" w:eastAsia="Times New Roman" w:hAnsi="Times New Roman"/>
          <w:sz w:val="20"/>
          <w:szCs w:val="20"/>
          <w:color w:val="auto"/>
        </w:rPr>
        <w:t>” means the Second Lien Credit Agreement, dated as of the Closing Date, by and among the Borrower, Holdings, the Second Lien Administrative Agent,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1" w:name="page152"/>
    <w:bookmarkEnd w:id="151"/>
    <w:p>
      <w:pPr>
        <w:jc w:val="both"/>
        <w:spacing w:after="0" w:line="246" w:lineRule="auto"/>
        <w:rPr>
          <w:sz w:val="20"/>
          <w:szCs w:val="20"/>
          <w:color w:val="auto"/>
        </w:rPr>
      </w:pPr>
      <w:r>
        <w:rPr>
          <w:rFonts w:ascii="Times New Roman" w:cs="Times New Roman" w:eastAsia="Times New Roman" w:hAnsi="Times New Roman"/>
          <w:sz w:val="20"/>
          <w:szCs w:val="20"/>
          <w:color w:val="auto"/>
        </w:rPr>
        <w:t>administrative agent thereunder, and the other agents and lenders party thereto as the same may be amended, restated, amended and restated, modified, supplemented, extended, renewed, refunded, replaced or refinanced from time to time in one or more agreements (in each case with the same or new lenders, institutional investors or agents), including any agreement extending the maturity thereof or otherwise restructuring all or any portion of the Indebtedness thereunder, in each case as and to the extent permitted by this Agreement and the Junior Lien Intercreditor Agreement.</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Lien Credit Agreement Refinancing Indebtedness</w:t>
      </w:r>
      <w:r>
        <w:rPr>
          <w:rFonts w:ascii="Times New Roman" w:cs="Times New Roman" w:eastAsia="Times New Roman" w:hAnsi="Times New Roman"/>
          <w:sz w:val="20"/>
          <w:szCs w:val="20"/>
          <w:color w:val="auto"/>
        </w:rPr>
        <w:t>” means “Credit Agreement Refinancing Indebtedness” as defined in the Second Lien Credit Agreement (as in effect on the Closing Date, as the same may be subsequently amended or restated, renewed, refunded, replaced or refinanced in accordance with the provisions hereof and the terms of the Closing Date Intercreditor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Lien Credit Documents</w:t>
      </w:r>
      <w:r>
        <w:rPr>
          <w:rFonts w:ascii="Times New Roman" w:cs="Times New Roman" w:eastAsia="Times New Roman" w:hAnsi="Times New Roman"/>
          <w:sz w:val="20"/>
          <w:szCs w:val="20"/>
          <w:color w:val="auto"/>
        </w:rPr>
        <w:t>” means the “Loan Documents” as defined in the Second Lien Credit Agreement.</w:t>
      </w:r>
    </w:p>
    <w:p>
      <w:pPr>
        <w:spacing w:after="0" w:line="215"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Second Lien Initial Term Loans</w:t>
      </w:r>
      <w:r>
        <w:rPr>
          <w:rFonts w:ascii="Times New Roman" w:cs="Times New Roman" w:eastAsia="Times New Roman" w:hAnsi="Times New Roman"/>
          <w:sz w:val="19"/>
          <w:szCs w:val="19"/>
          <w:color w:val="auto"/>
        </w:rPr>
        <w:t>” means the “Initial Term Loans” (as defined in the Second Lien Credit Agreement) borrowed by the Borrower on the Closing Date. The aggregate principal amount of Second Lien Initial Term Loans on the Closing Date is $225,000,000.</w:t>
      </w:r>
    </w:p>
    <w:p>
      <w:pPr>
        <w:spacing w:after="0" w:line="13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Lien Term Loans</w:t>
      </w:r>
      <w:r>
        <w:rPr>
          <w:rFonts w:ascii="Times New Roman" w:cs="Times New Roman" w:eastAsia="Times New Roman" w:hAnsi="Times New Roman"/>
          <w:sz w:val="20"/>
          <w:szCs w:val="20"/>
          <w:color w:val="auto"/>
        </w:rPr>
        <w:t>” means the loans borrowed pursuant to the Second Lien Credit Documents, including the Second Lien Initial Term Loans.</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Hedge Agreement</w:t>
      </w:r>
      <w:r>
        <w:rPr>
          <w:rFonts w:ascii="Times New Roman" w:cs="Times New Roman" w:eastAsia="Times New Roman" w:hAnsi="Times New Roman"/>
          <w:sz w:val="20"/>
          <w:szCs w:val="20"/>
          <w:color w:val="auto"/>
        </w:rPr>
        <w:t>” means any Hedge Agreement that is entered into by and between any Loan Party and any Hedge Bank and designated in writing by the Hedge Bank and the Borrower to the Administrative Agent as a “Secured Hedge Agreement.”</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Net Leverage Ratio</w:t>
      </w:r>
      <w:r>
        <w:rPr>
          <w:rFonts w:ascii="Times New Roman" w:cs="Times New Roman" w:eastAsia="Times New Roman" w:hAnsi="Times New Roman"/>
          <w:sz w:val="20"/>
          <w:szCs w:val="20"/>
          <w:color w:val="auto"/>
        </w:rPr>
        <w:t>” means, with respect to any Test Period, the ratio of (a) Consolidated Secured Net Debt outstanding as of the last day of such Test Period to (b) Consolidated Adjusted EBITDA of the Borrower for such Test Period.</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Parties</w:t>
      </w:r>
      <w:r>
        <w:rPr>
          <w:rFonts w:ascii="Times New Roman" w:cs="Times New Roman" w:eastAsia="Times New Roman" w:hAnsi="Times New Roman"/>
          <w:sz w:val="20"/>
          <w:szCs w:val="20"/>
          <w:color w:val="auto"/>
        </w:rPr>
        <w:t xml:space="preserve">” means, collectively, the Administrative Agent, the Collateral Agent, the Lenders, each Swingline Lender, each Issuing Bank, each Hedge Bank, each Cash Management Bank, the Supplemental Administrative Agent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5" w:lineRule="exact"/>
        <w:rPr>
          <w:sz w:val="20"/>
          <w:szCs w:val="20"/>
          <w:color w:val="auto"/>
        </w:rPr>
      </w:pPr>
    </w:p>
    <w:p>
      <w:pPr>
        <w:jc w:val="both"/>
        <w:ind w:right="20" w:firstLine="749"/>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Securitization Assets</w:t>
      </w:r>
      <w:r>
        <w:rPr>
          <w:rFonts w:ascii="Times New Roman" w:cs="Times New Roman" w:eastAsia="Times New Roman" w:hAnsi="Times New Roman"/>
          <w:sz w:val="19"/>
          <w:szCs w:val="19"/>
          <w:color w:val="auto"/>
        </w:rPr>
        <w:t>” means the accounts receivable, royalty or other revenue streams, other rights to payment (including with respect to rights of payment pursuant to the terms of Joint Ventures) subject to a Qualified Securitization Financing and the proceeds thereof.</w:t>
      </w:r>
    </w:p>
    <w:p>
      <w:pPr>
        <w:spacing w:after="0" w:line="13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Fees</w:t>
      </w:r>
      <w:r>
        <w:rPr>
          <w:rFonts w:ascii="Times New Roman" w:cs="Times New Roman" w:eastAsia="Times New Roman" w:hAnsi="Times New Roman"/>
          <w:sz w:val="20"/>
          <w:szCs w:val="20"/>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Financing</w:t>
      </w:r>
      <w:r>
        <w:rPr>
          <w:rFonts w:ascii="Times New Roman" w:cs="Times New Roman" w:eastAsia="Times New Roman" w:hAnsi="Times New Roman"/>
          <w:sz w:val="20"/>
          <w:szCs w:val="20"/>
          <w:color w:val="auto"/>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2" w:name="page153"/>
    <w:bookmarkEnd w:id="152"/>
    <w:p>
      <w:pPr>
        <w:jc w:val="both"/>
        <w:spacing w:after="0" w:line="253" w:lineRule="auto"/>
        <w:rPr>
          <w:sz w:val="20"/>
          <w:szCs w:val="20"/>
          <w:color w:val="auto"/>
        </w:rPr>
      </w:pPr>
      <w:r>
        <w:rPr>
          <w:rFonts w:ascii="Times New Roman" w:cs="Times New Roman" w:eastAsia="Times New Roman" w:hAnsi="Times New Roman"/>
          <w:sz w:val="20"/>
          <w:szCs w:val="20"/>
          <w:color w:val="auto"/>
        </w:rPr>
        <w:t>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Repurchase Obligation</w:t>
      </w:r>
      <w:r>
        <w:rPr>
          <w:rFonts w:ascii="Times New Roman" w:cs="Times New Roman" w:eastAsia="Times New Roman" w:hAnsi="Times New Roman"/>
          <w:sz w:val="20"/>
          <w:szCs w:val="20"/>
          <w:color w:val="auto"/>
        </w:rPr>
        <w:t>” means any obligation of a seller or transferor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Subsidiary</w:t>
      </w:r>
      <w:r>
        <w:rPr>
          <w:rFonts w:ascii="Times New Roman" w:cs="Times New Roman" w:eastAsia="Times New Roman" w:hAnsi="Times New Roman"/>
          <w:sz w:val="20"/>
          <w:szCs w:val="20"/>
          <w:color w:val="auto"/>
        </w:rPr>
        <w:t>”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spacing w:after="0" w:line="187" w:lineRule="exact"/>
        <w:rPr>
          <w:sz w:val="20"/>
          <w:szCs w:val="20"/>
          <w:color w:val="auto"/>
        </w:rPr>
      </w:pPr>
    </w:p>
    <w:p>
      <w:pPr>
        <w:jc w:val="both"/>
        <w:ind w:left="760" w:firstLine="745"/>
        <w:spacing w:after="0" w:line="244"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Indebtedness or any other obligation (contingent or otherwise) of which (i) is guaranteed by Holdings, the Borrower or any other Subsidiary of the Borrower, other than another Securitization Subsidiary (excluding guarantees of obligations (other than the principal of, and interest on, Indebtedness) pursuant to Standard Securitization Undertakings), (ii) is recourse to or obligates Holdings, the Borrower or any other Subsidiary of the Borrower, other than another Securitization Subsidiary, in any way other than pursuant to Standard Securitization Undertakings or (iii) subjects any property or asset of Holdings, the Borrower or any other Subsidiary of the Borrower, other than another Securitization Subsidiary, directly or indirectly, contingently or otherwise, to the satisfaction thereof, other than pursuant to Standard Securitization Undertakings,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which none of Holdings, the Borrower or any other Subsidiary of the Borrower, other than another Securitization Subsidiary, has any material contract, agreement, arrangement or understanding other than on terms which the Borrower reasonably believes to be no less favorable to Holdings, the Borrower or such Subsidiary than those that might be obtained at the time from Persons that are not Affiliates of the Borrower, and</w:t>
      </w:r>
    </w:p>
    <w:p>
      <w:pPr>
        <w:spacing w:after="0" w:line="178"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which none of Holdings, the Borrower or any other Subsidiary of the Borrower, other than another Securitization Subsidiary, has any obligation to maintain or preserve such entity’s financial condition or cause such entity to achieve certain levels of operating results.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designation by the Board of Directors of the Borrower or such other Person shall be evidenced to the Administrative Agent by delivery to the Administrative Agent of a certified copy of the resolution of the Board of Directors of the Borrower or such other Person giving effect to such designation and a certificate executed by a Responsible Officer certifying that such designation complied with the foregoing conditions.</w:t>
      </w:r>
    </w:p>
    <w:p>
      <w:pPr>
        <w:spacing w:after="0" w:line="174"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xml:space="preserve">” means, collectively, the Security Agreement executed by the Loan Parties,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together with each Security Agreement Supplement executed and delivered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3" w:name="page154"/>
    <w:bookmarkEnd w:id="15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 Supplement</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Short Term Advances</w:t>
      </w:r>
      <w:r>
        <w:rPr>
          <w:rFonts w:ascii="Times New Roman" w:cs="Times New Roman" w:eastAsia="Times New Roman" w:hAnsi="Times New Roman"/>
          <w:sz w:val="20"/>
          <w:szCs w:val="20"/>
          <w:color w:val="auto"/>
        </w:rPr>
        <w:t>” has the meaning specified in the definition of “Indebtedness.”</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Similar Business</w:t>
      </w:r>
      <w:r>
        <w:rPr>
          <w:rFonts w:ascii="Times New Roman" w:cs="Times New Roman" w:eastAsia="Times New Roman" w:hAnsi="Times New Roman"/>
          <w:sz w:val="20"/>
          <w:szCs w:val="20"/>
          <w:color w:val="auto"/>
        </w:rPr>
        <w:t>” means any business, the majority of whose revenues are derived from (i) business or activities conducted by the Borrower and its Restricted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Restricted Subsidiaries.</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 Loan that bears interest based on Adjusted Term SOFR other than pursuant to clause (c)(ii) of the definition of “Base Rate”.</w:t>
      </w:r>
    </w:p>
    <w:p>
      <w:pPr>
        <w:spacing w:after="0" w:line="15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Dividend</w:t>
      </w:r>
      <w:r>
        <w:rPr>
          <w:rFonts w:ascii="Times New Roman" w:cs="Times New Roman" w:eastAsia="Times New Roman" w:hAnsi="Times New Roman"/>
          <w:sz w:val="20"/>
          <w:szCs w:val="20"/>
          <w:color w:val="auto"/>
        </w:rPr>
        <w:t>” means the dividend to be made by the Borrower to Holdings and by Holdings to its shareholder within ten Business Days after the Closing Date in an aggregate principal amount of $218,000,000.</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Equity Contribution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xml:space="preserve"> means an Event of Default pursuant to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or an Event of Default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9.01(f)</w:t>
      </w:r>
      <w:r>
        <w:rPr>
          <w:rFonts w:ascii="Times New Roman" w:cs="Times New Roman" w:eastAsia="Times New Roman" w:hAnsi="Times New Roman"/>
          <w:sz w:val="20"/>
          <w:szCs w:val="20"/>
          <w:color w:val="auto"/>
        </w:rPr>
        <w:t xml:space="preserve"> with respect to the Borrower.</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Representations</w:t>
      </w:r>
      <w:r>
        <w:rPr>
          <w:rFonts w:ascii="Times New Roman" w:cs="Times New Roman" w:eastAsia="Times New Roman" w:hAnsi="Times New Roman"/>
          <w:sz w:val="20"/>
          <w:szCs w:val="20"/>
          <w:color w:val="auto"/>
        </w:rPr>
        <w:t xml:space="preserve">” means those representations and warranties made by Holding and the Borrower in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(with respect to organizational existence only), </w:t>
      </w:r>
      <w:r>
        <w:rPr>
          <w:rFonts w:ascii="Times New Roman" w:cs="Times New Roman" w:eastAsia="Times New Roman" w:hAnsi="Times New Roman"/>
          <w:sz w:val="20"/>
          <w:szCs w:val="20"/>
          <w:u w:val="single" w:color="auto"/>
          <w:color w:val="auto"/>
        </w:rPr>
        <w:t>5.01(b)(ii)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means any Investment that results in a Person becoming a Restricted Subsidiary, any designation of a Subsidiary as a Restricted Subsidiary or an Unrestricted Subsidiary, any Permitted Acquisition, any Disposition that results in a Restricted Subsidiary ceasing to be a Subsidiary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4" w:name="page155"/>
    <w:bookmarkEnd w:id="154"/>
    <w:p>
      <w:pPr>
        <w:jc w:val="both"/>
        <w:spacing w:after="0" w:line="245" w:lineRule="auto"/>
        <w:rPr>
          <w:sz w:val="20"/>
          <w:szCs w:val="20"/>
          <w:color w:val="auto"/>
        </w:rPr>
      </w:pPr>
      <w:r>
        <w:rPr>
          <w:rFonts w:ascii="Times New Roman" w:cs="Times New Roman" w:eastAsia="Times New Roman" w:hAnsi="Times New Roman"/>
          <w:sz w:val="20"/>
          <w:szCs w:val="20"/>
          <w:color w:val="auto"/>
        </w:rPr>
        <w:t>the Borrower, any Investment constituting an acquisition of assets constituting a business unit, line of business or division of another Person or a facility or any Disposition of a business unit, line of business or division or a facility of the Borrower or a Restricted Subsidiary, in each case whether by merger, consolidation, amalgamation or otherwise, or any incurrence or repayment of Indebtedness (other than Indebtedness incurred or repaid under any revolving credit facility in the ordinary course of business for working capital purposes), Restricted Payment or Incremental Loan that by the terms of this Agreement requires such test to be calculated on a “Pro Forma Basis” or after giving “Pro Forma Effect.”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Transaction Adjustments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1.08(c)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Sponsor</w:t>
      </w:r>
      <w:r>
        <w:rPr>
          <w:rFonts w:ascii="Times New Roman" w:cs="Times New Roman" w:eastAsia="Times New Roman" w:hAnsi="Times New Roman"/>
          <w:sz w:val="20"/>
          <w:szCs w:val="20"/>
          <w:color w:val="auto"/>
        </w:rPr>
        <w:t>” means (a) any funds, limited partnerships or co-investment vehicles managed or advised by Leonard Green &amp; Partners, L.P. or any of its Affiliates or direct or indirect Subsidiaries (or jointly managed by any such Person or over which any such Person exercises governance rights) or (b) any investors in the Persons identified in clause (a) who are investors in such Persons as of the Closing Date, and from time to time, invest directly or indirectly in Holdings or any direct or indirect parent of Holdings (but excluding any portfolio companies of any of the foregoing).</w:t>
      </w:r>
    </w:p>
    <w:p>
      <w:pPr>
        <w:spacing w:after="0" w:line="17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Sponsor Management Agreement</w:t>
      </w:r>
      <w:r>
        <w:rPr>
          <w:rFonts w:ascii="Times New Roman" w:cs="Times New Roman" w:eastAsia="Times New Roman" w:hAnsi="Times New Roman"/>
          <w:sz w:val="20"/>
          <w:szCs w:val="20"/>
          <w:color w:val="auto"/>
        </w:rPr>
        <w:t>” means the Management Services Agreement, dated as of August 21, 2014, by and among the Sponsor (or certain of the management companies associated with it or its advisors), and the Borrower, as the same may be amended, modified, replaced, supplemented or otherwise modified from time to time in accordance with its terms, but only to the extent that any such amendment, modification, replacement, supplement or other modification does not, directly or indirectly, increase the obligation of Holdings, the Borrower or any of its Restricted Subsidiaries to make any payments thereunder.</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Sponsor Termination Fees</w:t>
      </w:r>
      <w:r>
        <w:rPr>
          <w:rFonts w:ascii="Times New Roman" w:cs="Times New Roman" w:eastAsia="Times New Roman" w:hAnsi="Times New Roman"/>
          <w:sz w:val="20"/>
          <w:szCs w:val="20"/>
          <w:color w:val="auto"/>
        </w:rPr>
        <w:t>” means the one-time payment under the Sponsor Management Agreement of a termination fee to one or more of the Sponsors in the event of either a Change of Control or the completion of a Qualifying IPO.</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Borrower or any Subsidiary of the Borrower that are customary in a Securitization Financing.</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Stated Amount</w:t>
      </w:r>
      <w:r>
        <w:rPr>
          <w:rFonts w:ascii="Times New Roman" w:cs="Times New Roman" w:eastAsia="Times New Roman" w:hAnsi="Times New Roman"/>
          <w:sz w:val="20"/>
          <w:szCs w:val="20"/>
          <w:color w:val="auto"/>
        </w:rPr>
        <w:t>” means, with respect to any Letter of Credit at any time, the aggregate amount available to be drawn thereunder at such time (regardless of whether any conditions for drawing could then be met).</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Statutory Reserve Rate</w:t>
      </w:r>
      <w:r>
        <w:rPr>
          <w:rFonts w:ascii="Times New Roman" w:cs="Times New Roman" w:eastAsia="Times New Roman" w:hAnsi="Times New Roman"/>
          <w:sz w:val="20"/>
          <w:szCs w:val="20"/>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the aggregate of the maximum reserve percentages (including any marginal, special, emergency or supplemental reserves) expressed as a decimal established by the FRB to which the Administrative Agent is subject with respect to the Adjusted Eurocurrency Rate, for Eurocurrency funding (currently referred to as “Eurocurrency Liabilities” in Regulation D of the FRB). Such reserve percentages shall include those imposed pursuant to such Regulation D. Eurocurrency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corporation, partnership, limited liability company or other entity of which (a) the Equity Interests having ordinary voting power (other than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5" w:name="page156"/>
    <w:bookmarkEnd w:id="155"/>
    <w:p>
      <w:pPr>
        <w:jc w:val="both"/>
        <w:spacing w:after="0" w:line="249" w:lineRule="auto"/>
        <w:rPr>
          <w:sz w:val="20"/>
          <w:szCs w:val="20"/>
          <w:color w:val="auto"/>
        </w:rPr>
      </w:pPr>
      <w:r>
        <w:rPr>
          <w:rFonts w:ascii="Times New Roman" w:cs="Times New Roman" w:eastAsia="Times New Roman" w:hAnsi="Times New Roman"/>
          <w:sz w:val="20"/>
          <w:szCs w:val="20"/>
          <w:color w:val="auto"/>
        </w:rPr>
        <w:t>Interests having such power only by reason of the happening of a contingency) to elect a majority of the Board of Directors of such corporation, partnership, limited liability company or other entity are at the time owned by such Person or (b) more than 50.0% of the Equity Interests are at the time owned by such Person. Unless otherwise indicated in this Agreement, all references to Subsidiaries will mean Subsidiaries of the Borrower.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Guarantor</w:t>
      </w:r>
      <w:r>
        <w:rPr>
          <w:rFonts w:ascii="Times New Roman" w:cs="Times New Roman" w:eastAsia="Times New Roman" w:hAnsi="Times New Roman"/>
          <w:sz w:val="20"/>
          <w:szCs w:val="20"/>
          <w:color w:val="auto"/>
        </w:rPr>
        <w:t>” means any Guarantor other than Holdings.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7.04(e)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Holdings</w:t>
      </w:r>
      <w:r>
        <w:rPr>
          <w:rFonts w:ascii="Times New Roman" w:cs="Times New Roman" w:eastAsia="Times New Roman" w:hAnsi="Times New Roman"/>
          <w:sz w:val="20"/>
          <w:szCs w:val="20"/>
          <w:color w:val="auto"/>
        </w:rPr>
        <w:t xml:space="preserve">” means any successor to Holdings pursuant to </w:t>
      </w:r>
      <w:r>
        <w:rPr>
          <w:rFonts w:ascii="Times New Roman" w:cs="Times New Roman" w:eastAsia="Times New Roman" w:hAnsi="Times New Roman"/>
          <w:sz w:val="20"/>
          <w:szCs w:val="20"/>
          <w:u w:val="single" w:color="auto"/>
          <w:color w:val="auto"/>
        </w:rPr>
        <w:t>Section 7.04(a)(iii)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7.04(h)(ii)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7.13(b)(ii)</w:t>
      </w:r>
      <w:r>
        <w:rPr>
          <w:rFonts w:ascii="Times New Roman" w:cs="Times New Roman" w:eastAsia="Times New Roman" w:hAnsi="Times New Roman"/>
          <w:sz w:val="20"/>
          <w:szCs w:val="20"/>
          <w:color w:val="auto"/>
        </w:rPr>
        <w:t>, as applicable, together with such Person’ subsequent successors and assigns permitted hereunder.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Administrative Agent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Supplemental Administrative Agents</w:t>
      </w:r>
      <w:r>
        <w:rPr>
          <w:rFonts w:ascii="Times New Roman" w:cs="Times New Roman" w:eastAsia="Times New Roman" w:hAnsi="Times New Roman"/>
          <w:sz w:val="20"/>
          <w:szCs w:val="20"/>
          <w:color w:val="auto"/>
        </w:rPr>
        <w:t xml:space="preserve">” have the meanings specified in </w:t>
      </w:r>
      <w:r>
        <w:rPr>
          <w:rFonts w:ascii="Times New Roman" w:cs="Times New Roman" w:eastAsia="Times New Roman" w:hAnsi="Times New Roman"/>
          <w:sz w:val="20"/>
          <w:szCs w:val="20"/>
          <w:u w:val="single" w:color="auto"/>
          <w:color w:val="auto"/>
        </w:rPr>
        <w:t>Section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10.12(a)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Termination Value</w:t>
      </w:r>
      <w:r>
        <w:rPr>
          <w:rFonts w:ascii="Times New Roman" w:cs="Times New Roman" w:eastAsia="Times New Roman" w:hAnsi="Times New Roman"/>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Lender</w:t>
      </w:r>
      <w:r>
        <w:rPr>
          <w:rFonts w:ascii="Times New Roman" w:cs="Times New Roman" w:eastAsia="Times New Roman" w:hAnsi="Times New Roman"/>
          <w:sz w:val="20"/>
          <w:szCs w:val="20"/>
          <w:color w:val="auto"/>
        </w:rPr>
        <w:t>” means Jefferies Finance, in its capacity as the Swing Line Lender hereunder, together with its permitted successors and assigns in such capacity.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Loan</w:t>
      </w:r>
      <w:r>
        <w:rPr>
          <w:rFonts w:ascii="Times New Roman" w:cs="Times New Roman" w:eastAsia="Times New Roman" w:hAnsi="Times New Roman"/>
          <w:sz w:val="20"/>
          <w:szCs w:val="20"/>
          <w:color w:val="auto"/>
        </w:rPr>
        <w:t xml:space="preserve">” means the swing line loan made by the Swing Line Lender to the Borrower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Loan Request</w:t>
      </w:r>
      <w:r>
        <w:rPr>
          <w:rFonts w:ascii="Times New Roman" w:cs="Times New Roman" w:eastAsia="Times New Roman" w:hAnsi="Times New Roman"/>
          <w:sz w:val="20"/>
          <w:szCs w:val="20"/>
          <w:color w:val="auto"/>
        </w:rPr>
        <w:t xml:space="preserve">” means a Swing Line Loan Request substantially in the form of </w:t>
      </w:r>
      <w:r>
        <w:rPr>
          <w:rFonts w:ascii="Times New Roman" w:cs="Times New Roman" w:eastAsia="Times New Roman" w:hAnsi="Times New Roman"/>
          <w:sz w:val="20"/>
          <w:szCs w:val="20"/>
          <w:u w:val="single" w:color="auto"/>
          <w:color w:val="auto"/>
        </w:rPr>
        <w:t>Exhibit A-4</w:t>
      </w:r>
      <w:r>
        <w:rPr>
          <w:rFonts w:ascii="Times New Roman" w:cs="Times New Roman" w:eastAsia="Times New Roman" w:hAnsi="Times New Roman"/>
          <w:sz w:val="20"/>
          <w:szCs w:val="20"/>
          <w:color w:val="auto"/>
        </w:rPr>
        <w:t>,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Note</w:t>
      </w:r>
      <w:r>
        <w:rPr>
          <w:rFonts w:ascii="Times New Roman" w:cs="Times New Roman" w:eastAsia="Times New Roman" w:hAnsi="Times New Roman"/>
          <w:sz w:val="20"/>
          <w:szCs w:val="20"/>
          <w:color w:val="auto"/>
        </w:rPr>
        <w:t xml:space="preserve">” means a promissory note in the form of </w:t>
      </w:r>
      <w:r>
        <w:rPr>
          <w:rFonts w:ascii="Times New Roman" w:cs="Times New Roman" w:eastAsia="Times New Roman" w:hAnsi="Times New Roman"/>
          <w:sz w:val="20"/>
          <w:szCs w:val="20"/>
          <w:u w:val="single" w:color="auto"/>
          <w:color w:val="auto"/>
        </w:rPr>
        <w:t>Exhibit B-3</w:t>
      </w:r>
      <w:r>
        <w:rPr>
          <w:rFonts w:ascii="Times New Roman" w:cs="Times New Roman" w:eastAsia="Times New Roman" w:hAnsi="Times New Roman"/>
          <w:sz w:val="20"/>
          <w:szCs w:val="20"/>
          <w:color w:val="auto"/>
        </w:rPr>
        <w:t>, as it may be amended, restated, amended and restated, supplemented or otherwise modified from time to time.</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Sublimit</w:t>
      </w:r>
      <w:r>
        <w:rPr>
          <w:rFonts w:ascii="Times New Roman" w:cs="Times New Roman" w:eastAsia="Times New Roman" w:hAnsi="Times New Roman"/>
          <w:sz w:val="20"/>
          <w:szCs w:val="20"/>
          <w:color w:val="auto"/>
        </w:rPr>
        <w:t>” means the greater of (a) $10,000,000 and (b) such higher amount as the Borrower and the Administrative Agent may from time to time agree.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xml:space="preserve">” means the term loans made by the Lenders on the Closing Date to the Borrower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and any Delayed Draw Term Loans, Incremental Term Loans, Extended Term Loans and Refinancing Term Loans, to the extent not otherwise indicated and as the context may require.</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Commitment</w:t>
      </w:r>
      <w:r>
        <w:rPr>
          <w:rFonts w:ascii="Times New Roman" w:cs="Times New Roman" w:eastAsia="Times New Roman" w:hAnsi="Times New Roman"/>
          <w:sz w:val="20"/>
          <w:szCs w:val="20"/>
          <w:color w:val="auto"/>
        </w:rPr>
        <w:t>” means, as to each Lender, its obligation to make a Term Loan to the Borrower hereunder (including any Initial Term Loan Commitment or Delayed Draw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6" w:name="page157"/>
    <w:bookmarkEnd w:id="15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expressed as an amount representing the maximum principal amount of the Term Loans to be made by such Lender under this Agreement, as such commitment may be (a) reduced from time to time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(b) reduced or increased from time to time pursuant to (i) assignments by or to such Lender pursuant to an Assignment and Assumption, (ii) a Refinancing Amendment or (iii) an Extension and (c) increased from time to time pursuant to an Incremental Amendment.</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Exposure</w:t>
      </w:r>
      <w:r>
        <w:rPr>
          <w:rFonts w:ascii="Times New Roman" w:cs="Times New Roman" w:eastAsia="Times New Roman" w:hAnsi="Times New Roman"/>
          <w:sz w:val="20"/>
          <w:szCs w:val="20"/>
          <w:color w:val="auto"/>
        </w:rPr>
        <w:t xml:space="preserve">” means, with respect to any Lender, as of any date of determination, the outstanding principal amount of the Term Loans of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at any time prior to the making of the Term Loans, the Term Loan Exposure of any Lender shall be equal to such Lender’s Term Loan Commitment, or, with regard to any Incremental Amendment at any time prior to the making of the applicable Incremental Term Loans thereunder, the Term Loan Exposure of any Lender with respect to such Incremental Term Facility shall be equal to such Lender’s Incremental Term Loan Commitment thereunder.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Lender</w:t>
      </w:r>
      <w:r>
        <w:rPr>
          <w:rFonts w:ascii="Times New Roman" w:cs="Times New Roman" w:eastAsia="Times New Roman" w:hAnsi="Times New Roman"/>
          <w:sz w:val="20"/>
          <w:szCs w:val="20"/>
          <w:color w:val="auto"/>
        </w:rPr>
        <w:t>” means a Lender having a Term Loan Commitment or other Term Loan Exposure.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Note</w:t>
      </w:r>
      <w:r>
        <w:rPr>
          <w:rFonts w:ascii="Times New Roman" w:cs="Times New Roman" w:eastAsia="Times New Roman" w:hAnsi="Times New Roman"/>
          <w:sz w:val="20"/>
          <w:szCs w:val="20"/>
          <w:color w:val="auto"/>
        </w:rPr>
        <w:t xml:space="preserve">” means a promissory note of the Borrower payable to any Lender or its registered assigns, in substantially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hereto, evidencing the aggregate Indebtedness of the Borrower to such Lender resulting from the Term Loans made by such Lender.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w:t>
      </w:r>
    </w:p>
    <w:p>
      <w:pPr>
        <w:spacing w:after="0" w:line="219" w:lineRule="exact"/>
        <w:rPr>
          <w:sz w:val="20"/>
          <w:szCs w:val="20"/>
          <w:color w:val="auto"/>
        </w:rPr>
      </w:pPr>
    </w:p>
    <w:p>
      <w:pPr>
        <w:jc w:val="both"/>
        <w:ind w:firstLine="757"/>
        <w:spacing w:after="0" w:line="242" w:lineRule="auto"/>
        <w:tabs>
          <w:tab w:leader="none" w:pos="1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5:00 p.m. (New York City time) on any Periodic Term SOFR Determination Day the Term SOFR Reference Rate for the applicable tenor has not been published by the Term SOFR Administrator and, if applicable,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b w:val="1"/>
          <w:bCs w:val="1"/>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5:00 p.m. (New York City time) on any Base Rate Term SOFR Determination Day the Term SOFR Reference Rate for the applicable tenor has not been published by the Term SOFR Administrator and, if applicable,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7" w:name="page158"/>
    <w:bookmarkEnd w:id="157"/>
    <w:p>
      <w:pPr>
        <w:jc w:val="both"/>
        <w:ind w:right="20" w:firstLine="749"/>
        <w:spacing w:after="0" w:line="272"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if Term SOFR determined as provided above (including pursuant to the proviso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 shall ever be less than the Floor, then Term SOFR shall be deemed to be the Floor.</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Adjustment</w:t>
      </w:r>
      <w:r>
        <w:rPr>
          <w:rFonts w:ascii="Times New Roman" w:cs="Times New Roman" w:eastAsia="Times New Roman" w:hAnsi="Times New Roman"/>
          <w:sz w:val="20"/>
          <w:szCs w:val="20"/>
          <w:color w:val="auto"/>
        </w:rPr>
        <w:t>” means a percentage equal to 0.10% per annum.</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Conditions</w:t>
      </w:r>
      <w:r>
        <w:rPr>
          <w:rFonts w:ascii="Times New Roman" w:cs="Times New Roman" w:eastAsia="Times New Roman" w:hAnsi="Times New Roman"/>
          <w:sz w:val="20"/>
          <w:szCs w:val="20"/>
          <w:color w:val="auto"/>
        </w:rPr>
        <w:t>”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103% of the maximum drawable amount of any such Letter of Credit or otherwise in an amount and/or in a manner reasonably acceptable to the Issuing Banks).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xml:space="preserve">” in effect at any time means the most recent period of four consecutive fiscal quarters of the Borrower ended on or prior to such time (taken as one accounting period) in respect of which financial statements for each quarter or fiscal year in such period are available (which may be internal financial statements except to the extent this Agreement otherwise expressly states that the Test Period is specified in a Compliance Certificate, in which case such financial statements shall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for the Test Period set forth in such Compliance Certificate). A Test Period may be designated by reference to the last day thereof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“March 31, 2019 Test Period” refers to the period of four consecutive fiscal quarters of the Borrower ended on March 31, 2019), and a Test Period shall be deemed to end on the last day thereof.</w:t>
      </w:r>
    </w:p>
    <w:p>
      <w:pPr>
        <w:spacing w:after="0" w:line="18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w:t>
      </w:r>
      <w:r>
        <w:rPr>
          <w:rFonts w:ascii="Times New Roman" w:cs="Times New Roman" w:eastAsia="Times New Roman" w:hAnsi="Times New Roman"/>
          <w:sz w:val="20"/>
          <w:szCs w:val="20"/>
          <w:color w:val="auto"/>
        </w:rPr>
        <w:t>” means that certain Amendment No. 3 to this Agreement, dated as of the Third Amendment Effective Date, among Holdings, the Borrower, the Administrative Agent, the Collateral Agent and the 2021 Incremental Term Lenders.</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“Third Amendment Acquisition Agreement Representations</w:t>
      </w:r>
      <w:r>
        <w:rPr>
          <w:rFonts w:ascii="Times New Roman" w:cs="Times New Roman" w:eastAsia="Times New Roman" w:hAnsi="Times New Roman"/>
          <w:sz w:val="20"/>
          <w:szCs w:val="20"/>
          <w:color w:val="auto"/>
        </w:rPr>
        <w:t>” means such of the representations and warranties made by or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Acquired Target in the Acquisition Agreement to the extent the breach of such representations and warranties is material to the interests of the Lenders (in their capacities as such), and that the Borrower or the Borrower’s Affiliates have the right to terminate its or their obligations under the Acquisition Agreement or otherwise decline to close the Acquisition as a result of such breach or any such representations not being accurate.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means December 8, 2021.</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 Funding Date”</w:t>
      </w:r>
      <w:r>
        <w:rPr>
          <w:rFonts w:ascii="Times New Roman" w:cs="Times New Roman" w:eastAsia="Times New Roman" w:hAnsi="Times New Roman"/>
          <w:sz w:val="20"/>
          <w:szCs w:val="20"/>
          <w:color w:val="auto"/>
        </w:rPr>
        <w:t xml:space="preserve"> has the meaning provided in the Third Amendment.</w:t>
      </w:r>
    </w:p>
    <w:p>
      <w:pPr>
        <w:spacing w:after="0" w:line="215"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Threshold Amount</w:t>
      </w:r>
      <w:r>
        <w:rPr>
          <w:rFonts w:ascii="Times New Roman" w:cs="Times New Roman" w:eastAsia="Times New Roman" w:hAnsi="Times New Roman"/>
          <w:sz w:val="20"/>
          <w:szCs w:val="20"/>
          <w:color w:val="auto"/>
        </w:rPr>
        <w:t>” means the greater of (a) 20% of Closing Date EBITDA and (b) 20% of TTM 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8" w:name="page159"/>
    <w:bookmarkEnd w:id="158"/>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w:t>
      </w:r>
      <w:r>
        <w:rPr>
          <w:rFonts w:ascii="Times New Roman" w:cs="Times New Roman" w:eastAsia="Times New Roman" w:hAnsi="Times New Roman"/>
          <w:sz w:val="20"/>
          <w:szCs w:val="20"/>
          <w:color w:val="auto"/>
        </w:rPr>
        <w:t>” means, with respect to any Test Period, the ratio of (a) Consolidated Net Debt as of the last day of such Test Period to (b) Consolidated Adjusted EBITDA of the Borrower for such Test Period.</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Utilization of Revolving Commitments</w:t>
      </w:r>
      <w:r>
        <w:rPr>
          <w:rFonts w:ascii="Times New Roman" w:cs="Times New Roman" w:eastAsia="Times New Roman" w:hAnsi="Times New Roman"/>
          <w:sz w:val="20"/>
          <w:szCs w:val="20"/>
          <w:color w:val="auto"/>
        </w:rPr>
        <w:t>” means, as of any date of determination, the sum of (i) the aggregate principal amount of all outstanding Revolving Loans other than Revolving Loans made for the purpose of repaying any Refunded Swing Line Loans or reimbursing the Issuing Banks for any amount drawn under any Letter of Credit, but not yet so applied, (ii) the aggregate principal amount of all outstanding Swing Line Loans and (iii) the Letter of Credit Usage.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Traded Securities</w:t>
      </w:r>
      <w:r>
        <w:rPr>
          <w:rFonts w:ascii="Times New Roman" w:cs="Times New Roman" w:eastAsia="Times New Roman" w:hAnsi="Times New Roman"/>
          <w:sz w:val="20"/>
          <w:szCs w:val="20"/>
          <w:color w:val="auto"/>
        </w:rPr>
        <w:t>” means any debt or equity securities issued pursuant to a public offering or Rule 144A offering.</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Expenses</w:t>
      </w:r>
      <w:r>
        <w:rPr>
          <w:rFonts w:ascii="Times New Roman" w:cs="Times New Roman" w:eastAsia="Times New Roman" w:hAnsi="Times New Roman"/>
          <w:sz w:val="20"/>
          <w:szCs w:val="20"/>
          <w:color w:val="auto"/>
        </w:rPr>
        <w:t>” means any fees or expenses incurred or paid by Holdings or any of its Subsidiaries in connection with the Transactions, this Agreement and the other Loan Documents and the transactions contemplated hereby and thereby, including any amortization thereof in any period, including any amortization thereof in any period.</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means, collectively, (a) the funding of the Initial Term Loans on the Closing Date, (b) the funding of the Second Lien Term Loans on the Closing Date, (c) the repayment of the Existing Debt, (d) the making of the Specified Dividend and (e) the payment of the Transaction Expenses.</w:t>
      </w:r>
    </w:p>
    <w:p>
      <w:pPr>
        <w:spacing w:after="0" w:line="170" w:lineRule="exact"/>
        <w:rPr>
          <w:sz w:val="20"/>
          <w:szCs w:val="20"/>
          <w:color w:val="auto"/>
        </w:rPr>
      </w:pPr>
    </w:p>
    <w:p>
      <w:pPr>
        <w:jc w:val="both"/>
        <w:ind w:firstLine="7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Transformative Acquisition</w:t>
      </w:r>
      <w:r>
        <w:rPr>
          <w:rFonts w:ascii="Times New Roman" w:cs="Times New Roman" w:eastAsia="Times New Roman" w:hAnsi="Times New Roman"/>
          <w:sz w:val="20"/>
          <w:szCs w:val="20"/>
          <w:color w:val="auto"/>
        </w:rPr>
        <w:t>” means any acquisition by the Borrower or any Restricted Subsidiary that is either (a) not permitted by the terms of any Loan Document immediately prior to the consummation of such acquisition or (b) if permitted by the terms of the Loan Documents immediately prior to the consummation of such acquisition, would not provide the Borrower and its Restricted Subsidiaries with adequate flexibility under the Loan Documents for the continuation and/or expansion of their combined operations following such consummation, as reasonably determined by the Borrower acting in good faith.</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TTM Consolidated Adjusted EBITDA</w:t>
      </w:r>
      <w:r>
        <w:rPr>
          <w:rFonts w:ascii="Times New Roman" w:cs="Times New Roman" w:eastAsia="Times New Roman" w:hAnsi="Times New Roman"/>
          <w:sz w:val="20"/>
          <w:szCs w:val="20"/>
          <w:color w:val="auto"/>
        </w:rPr>
        <w:t>” means, as of any date of determination, the Consolidated Adjusted EBITDA of the Borrower, determined on a Pro Forma Basis, for the four consecutive fiscal quarters most recently ended prior to such date for which financial statements are internally available.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means, with respect to a Loan, its character as a Base Rate Loan, a Eurocurrency Rate Loan, or a SOFR Loan.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UBS</w:t>
      </w:r>
      <w:r>
        <w:rPr>
          <w:rFonts w:ascii="Times New Roman" w:cs="Times New Roman" w:eastAsia="Times New Roman" w:hAnsi="Times New Roman"/>
          <w:sz w:val="20"/>
          <w:szCs w:val="20"/>
          <w:color w:val="auto"/>
        </w:rPr>
        <w:t>” has the meaning specified in the introductory paragraph to this Agreement.</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Undisclosed Administration</w:t>
      </w:r>
      <w:r>
        <w:rPr>
          <w:rFonts w:ascii="Times New Roman" w:cs="Times New Roman" w:eastAsia="Times New Roman" w:hAnsi="Times New Roman"/>
          <w:sz w:val="20"/>
          <w:szCs w:val="20"/>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not be disclosed.</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Unfunded Advances/Participations</w:t>
      </w:r>
      <w:r>
        <w:rPr>
          <w:rFonts w:ascii="Times New Roman" w:cs="Times New Roman" w:eastAsia="Times New Roman" w:hAnsi="Times New Roman"/>
          <w:sz w:val="20"/>
          <w:szCs w:val="20"/>
          <w:color w:val="auto"/>
        </w:rPr>
        <w:t xml:space="preserve">” 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20"/>
          <w:szCs w:val="20"/>
          <w:u w:val="single" w:color="auto"/>
          <w:color w:val="auto"/>
        </w:rPr>
        <w:t>Sections 2.01(b)(ii)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2.02(b)(ii)</w:t>
      </w:r>
      <w:r>
        <w:rPr>
          <w:rFonts w:ascii="Times New Roman" w:cs="Times New Roman" w:eastAsia="Times New Roman" w:hAnsi="Times New Roman"/>
          <w:sz w:val="20"/>
          <w:szCs w:val="20"/>
          <w:color w:val="auto"/>
        </w:rPr>
        <w:t xml:space="preserve"> and (ii) with respect to which a corresponding amount shall not in fact have been returned to the Administrative Agent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9" w:name="page160"/>
    <w:bookmarkEnd w:id="15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or made available to the Administrative Agent by any such Lender, (b) with respect to the Swing Line Lender, the aggregate amount, if any, of outstanding Swing Line Loans in respect of which any Revolving Lender fails to make available to the Administrative Agent for the account of the Swing Line Lender any amount required to be paid by such Lender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and (c) with respect to the Issuing Banks, the aggregate amount, if any, of amounts drawn under Letters of Credit in respect of which a Revolving Lender shall have failed to make amounts available to the applicable Issuing Banks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Unfunded DDTL Commitment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Uniform Commercial Code</w:t>
      </w:r>
      <w:r>
        <w:rPr>
          <w:rFonts w:ascii="Times New Roman" w:cs="Times New Roman" w:eastAsia="Times New Roman" w:hAnsi="Times New Roman"/>
          <w:sz w:val="20"/>
          <w:szCs w:val="20"/>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 the United States of America.</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xml:space="preserve">” means (a) each Securitization Subsidiary and (b) any Subsidiary of the Borrower designated by the Board of Directors of the Borrower as an Unrestricted Subsidiary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subsequent to the date hereof, in each case, until such Person ceases to be an Unrestricted Subsidiary of the Borrower in accordance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or ceases to be a Subsidiary of the Borrower.</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dividing:</w:t>
      </w:r>
    </w:p>
    <w:p>
      <w:pPr>
        <w:spacing w:after="0" w:line="193" w:lineRule="exact"/>
        <w:rPr>
          <w:sz w:val="20"/>
          <w:szCs w:val="20"/>
          <w:color w:val="auto"/>
        </w:rPr>
      </w:pPr>
    </w:p>
    <w:p>
      <w:pPr>
        <w:jc w:val="both"/>
        <w:ind w:left="760" w:firstLine="745"/>
        <w:spacing w:after="0" w:line="253"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w:t>
      </w:r>
    </w:p>
    <w:p>
      <w:pPr>
        <w:spacing w:after="0" w:line="2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for purposes of determining the Weighted Average Life to Maturity of (i) any Refinanced Debt, (ii) any Indebtedness that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being modified, refinanced, refunded, renewed, replaced or extended, or (iii) any Term Loans for purposes of incurring any other Indebtedness (in any such case, the “</w:t>
      </w:r>
      <w:r>
        <w:rPr>
          <w:rFonts w:ascii="Times New Roman" w:cs="Times New Roman" w:eastAsia="Times New Roman" w:hAnsi="Times New Roman"/>
          <w:sz w:val="20"/>
          <w:szCs w:val="20"/>
          <w:b w:val="1"/>
          <w:bCs w:val="1"/>
          <w:color w:val="auto"/>
        </w:rPr>
        <w:t>Applicable Indebtedness</w:t>
      </w:r>
      <w:r>
        <w:rPr>
          <w:rFonts w:ascii="Times New Roman" w:cs="Times New Roman" w:eastAsia="Times New Roman" w:hAnsi="Times New Roman"/>
          <w:sz w:val="20"/>
          <w:szCs w:val="20"/>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0" w:name="page161"/>
    <w:bookmarkEnd w:id="160"/>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 owned</w:t>
      </w:r>
      <w:r>
        <w:rPr>
          <w:rFonts w:ascii="Times New Roman" w:cs="Times New Roman" w:eastAsia="Times New Roman" w:hAnsi="Times New Roman"/>
          <w:sz w:val="20"/>
          <w:szCs w:val="20"/>
          <w:color w:val="auto"/>
        </w:rPr>
        <w:t>”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 owned Subsidiaries of such Person.</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the liability to a Multiemployer Plan as a result of a complete or partial withdrawal from such Multiemployer Plan, as such term is defined in Part I of Subtitle E of Title IV of ERISA.</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the Borrower, any Guarantor or the Administrative Agent.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4"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w:t>
      </w:r>
    </w:p>
    <w:p>
      <w:pPr>
        <w:spacing w:after="0" w:line="161" w:lineRule="exact"/>
        <w:rPr>
          <w:sz w:val="20"/>
          <w:szCs w:val="20"/>
          <w:color w:val="auto"/>
        </w:rPr>
      </w:pPr>
    </w:p>
    <w:p>
      <w:pPr>
        <w:ind w:left="1160" w:hanging="403"/>
        <w:spacing w:after="0"/>
        <w:tabs>
          <w:tab w:leader="none" w:pos="11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14"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words “herein,” “hereto,” “hereof” and “hereunder” and words of similar import when used in any Loan Document shall refer to such Loan Document as a whole and not to any particular provision thereof.</w:t>
      </w:r>
    </w:p>
    <w:p>
      <w:pPr>
        <w:spacing w:after="0" w:line="160" w:lineRule="exact"/>
        <w:rPr>
          <w:rFonts w:ascii="Times New Roman" w:cs="Times New Roman" w:eastAsia="Times New Roman" w:hAnsi="Times New Roman"/>
          <w:sz w:val="20"/>
          <w:szCs w:val="20"/>
          <w:color w:val="auto"/>
        </w:rPr>
      </w:pPr>
    </w:p>
    <w:p>
      <w:pPr>
        <w:jc w:val="both"/>
        <w:ind w:left="760" w:right="20" w:firstLine="1045"/>
        <w:spacing w:after="0" w:line="253" w:lineRule="auto"/>
        <w:tabs>
          <w:tab w:leader="none" w:pos="220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spacing w:after="0" w:line="176"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“including” is by way of example and not limitation.</w:t>
      </w:r>
    </w:p>
    <w:p>
      <w:pPr>
        <w:spacing w:after="0" w:line="214"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60"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20"/>
          <w:szCs w:val="20"/>
          <w:b w:val="1"/>
          <w:bCs w:val="1"/>
          <w:color w:val="auto"/>
        </w:rPr>
        <w:t>Division</w:t>
      </w:r>
      <w:r>
        <w:rPr>
          <w:rFonts w:ascii="Times New Roman" w:cs="Times New Roman" w:eastAsia="Times New Roman" w:hAnsi="Times New Roman"/>
          <w:sz w:val="20"/>
          <w:szCs w:val="20"/>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1" w:name="page162"/>
    <w:bookmarkEnd w:id="161"/>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Accounting Terms; Accounting Periods; Unrestricted Subsidiaries; Determination of Fair Market Value</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December 31, and any reference to a “fiscal quarter” shall refer to a fiscal quarter of the Borrower ending March 31, June 30, September 30 or December 31. All determinations of fair market value under a Loan Document shall be made by the Borrower in good faith and, if such determination is consistent with a valuation or opinion of an Independent Financial Advisor, such determination shall be conclusive for all purposes under the Loan Documents or related to the Obligations.</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satisfied in order for a specific action to be permitted under this Agreement shall be calculated by dividing the appropriate component by the other component, carrying the result to one decimal place more than the number of decimal places by which such ratio is expressed herein (the “applicable decimal place”) and rounding the result up or down to the applicable decimal place.</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References to Agreements, Laws, Etc.</w:t>
      </w:r>
      <w:r>
        <w:rPr>
          <w:rFonts w:ascii="Times New Roman" w:cs="Times New Roman" w:eastAsia="Times New Roman" w:hAnsi="Times New Roman"/>
          <w:sz w:val="20"/>
          <w:szCs w:val="20"/>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New York City time (daylight or standard, as applicable).</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Available Amount Transactions</w:t>
      </w:r>
      <w:r>
        <w:rPr>
          <w:rFonts w:ascii="Times New Roman" w:cs="Times New Roman" w:eastAsia="Times New Roman" w:hAnsi="Times New Roman"/>
          <w:sz w:val="20"/>
          <w:szCs w:val="20"/>
          <w:color w:val="auto"/>
        </w:rPr>
        <w:t>.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but in no event may any two or more such actions be treated as occurring simultaneously, i.e., each transaction must be permitted under the Available Amount as so calculated.</w:t>
      </w:r>
    </w:p>
    <w:p>
      <w:pPr>
        <w:spacing w:after="0" w:line="17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1.08</w:t>
      </w:r>
      <w:r>
        <w:rPr>
          <w:sz w:val="20"/>
          <w:szCs w:val="20"/>
          <w:color w:val="auto"/>
        </w:rPr>
        <w:tab/>
      </w:r>
      <w:r>
        <w:rPr>
          <w:rFonts w:ascii="Times New Roman" w:cs="Times New Roman" w:eastAsia="Times New Roman" w:hAnsi="Times New Roman"/>
          <w:sz w:val="19"/>
          <w:szCs w:val="19"/>
          <w:u w:val="single" w:color="auto"/>
          <w:color w:val="auto"/>
        </w:rPr>
        <w:t>Pro Forma Calculations; Limited Condition Acquisitions; Basket and Ratio Compliance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6" w:lineRule="auto"/>
        <w:tabs>
          <w:tab w:leader="none" w:pos="1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the First Lien Net Leverage Ratio, the Secured Net Leverage Ratio, the Total Net Leverage Ratio and the Interest Coverage Ratio shall be calculated in the manner prescribed by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to the contrary in clauses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when calculating the First Lien Net Leverage Ratio for purposes of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 xml:space="preserve"> and the Asset Sale Prepayment Percentage, the events described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that occurred subsequent to the end of the applicable Test Period shall not be given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calculating the First Lien Net Leverage Ratio, the Secured Net Leverage Ratio, the Total Net Leverage Ratio and the Interest Coverage Ratio, Specified Transactions (and the incurrence or repayment of any Indebtedness in connection therewith) that have been made (i) during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2" w:name="page163"/>
    <w:bookmarkEnd w:id="16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Test Period or (ii) subsequent to such Test Period and prior to or simultaneously with the event for which the calculation of any such ratio is made shall be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assuming that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then the First Lien Net Leverage Ratio, the Secured Net Leverage Ratio, the Total Net Leverage Ratio and the Interest Coverage Ratio shall be calculated to give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in accordance with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57"/>
        <w:spacing w:after="0" w:line="242"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is to be given to a Specified Transaction,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calculations shall be made in good faith by a Responsible Officer and may include, for the avoidance of doubt, the amount of cost savings, operating expense reductions and, synergies projected by the Borrower in good faith to be realized as a result of specified actions taken, committed to be taken or expected to be taken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though such cost savings, operating expense reductions and synergies had been realized on the first day of such Test Period and as if such cost savings, operating expense reductions and synergies were realized during the entirety of such period) relating to such Specified Transaction, net of the amount of actual benefits realized during such period from such actions (such cost savings and synergies, “</w:t>
      </w:r>
      <w:r>
        <w:rPr>
          <w:rFonts w:ascii="Times New Roman" w:cs="Times New Roman" w:eastAsia="Times New Roman" w:hAnsi="Times New Roman"/>
          <w:sz w:val="20"/>
          <w:szCs w:val="20"/>
          <w:b w:val="1"/>
          <w:bCs w:val="1"/>
          <w:color w:val="auto"/>
        </w:rPr>
        <w:t>Specified Transaction Adjustments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Specified Transaction Adjustments are reasonably identifiable, quantifiable and factually supportable in the good faith judgment of the Borrower, (ii) such actions are taken, committed to be taken or expected to be taken no later than twenty-four months after the date of such Specified Transaction, and (iii) no amounts shall be added pursuant to this clause (c) to the extent duplicative of any amounts that are otherwise added back in calculating Consolidated Adjusted EBITDA, whether through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adjustment or otherwise, with respect to any Test Period.</w:t>
      </w:r>
    </w:p>
    <w:p>
      <w:pPr>
        <w:spacing w:after="0" w:line="190"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Borrower or any Restricted Subsidiary incurs (including by assumption or guarantees) or repays (including by redemption, repayment, retirement or extinguishment) any Indebtedness included in the calculations of the First Lien Net Leverage Ratio, the Secured Net Leverage Ratio, the Total Net Leverage Ratio and the Interest Coverage Ratio, as the case may be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First Lien Net Leverage Ratio, the Secured Net Leverage Ratio, the Total Net Leverage Ratio and the Interest Coverage Ratio shall be calculated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incurrence or repayment of Indebtedness, to the extent required, as if the same had occurred on the last day of the applicable Test Period with respect to leverage ratios or the first day of such Test Period with respect to the Interest Coverage Ratio.</w:t>
      </w:r>
    </w:p>
    <w:p>
      <w:pPr>
        <w:spacing w:after="0" w:line="191"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Loan Document to the contrary (i)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hereunder at such later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reclassification of Indebtedness and Liens, any such reclassification shall be subject to the parameters of </w:t>
      </w:r>
      <w:r>
        <w:rPr>
          <w:rFonts w:ascii="Times New Roman" w:cs="Times New Roman" w:eastAsia="Times New Roman" w:hAnsi="Times New Roman"/>
          <w:sz w:val="20"/>
          <w:szCs w:val="20"/>
          <w:u w:val="single" w:color="auto"/>
          <w:color w:val="auto"/>
        </w:rPr>
        <w:t>Sections 7.01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as applicable), (ii) unless the Borrower elects otherwise, if the Borrower or its Restricted Subsidiaries in connection with any transaction or series of such related transaction (A) incurs Indebtedness, creates Liens, makes Dispositions, makes Investments, designates any Subsidiary as restricted or unrestricted or repays any Indebtedness or takes any other action under or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3" w:name="page164"/>
    <w:bookmarkEnd w:id="163"/>
    <w:p>
      <w:pPr>
        <w:jc w:val="both"/>
        <w:spacing w:after="0" w:line="254" w:lineRule="auto"/>
        <w:rPr>
          <w:sz w:val="20"/>
          <w:szCs w:val="20"/>
          <w:color w:val="auto"/>
        </w:rPr>
      </w:pPr>
      <w:r>
        <w:rPr>
          <w:rFonts w:ascii="Times New Roman" w:cs="Times New Roman" w:eastAsia="Times New Roman" w:hAnsi="Times New Roman"/>
          <w:sz w:val="19"/>
          <w:szCs w:val="19"/>
          <w:color w:val="auto"/>
        </w:rPr>
        <w:t>permitted by a ratio-based basket and (B) incurs Indebtedness, creates Liens, makes Dispositions, makes Investments, designates any Subsidiary as restricted or unrestricted or repays any Indebtedness or takes any other action under a non-ratio-based basket (which shall occur within five Business Days of the events in clause (A) above), then the applicable ratio will be calculated with respect to any such action under the applicable ratio-based basket without regard to any such action under such non-ratio-based basket made in connection with such transaction or series of related transactions, (iii) if the Borrower or its Restricted Subsidiaries enters into any revolving, delayed draw or other committed debt facility, the Borrower may elect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lieu of determining such compliance on any subsequent date (including any date on which Indebtedness is incurred pursuant to such facility), and</w:t>
      </w:r>
    </w:p>
    <w:p>
      <w:pPr>
        <w:spacing w:after="0" w:line="4" w:lineRule="exact"/>
        <w:rPr>
          <w:sz w:val="20"/>
          <w:szCs w:val="20"/>
          <w:color w:val="auto"/>
        </w:rPr>
      </w:pPr>
    </w:p>
    <w:p>
      <w:pPr>
        <w:jc w:val="both"/>
        <w:ind w:firstLine="8"/>
        <w:spacing w:after="0" w:line="239" w:lineRule="auto"/>
        <w:tabs>
          <w:tab w:leader="none" w:pos="3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or any Restricted Subsidiary incurs Indebtedness under a ratio-based basket, such ratio-based basket (together with any other ratio-based basket utilized in connection therewith, including in respect of other Indebtedness, Liens, Dispositions, Investments, restricted Payments or payments in respect of Junior Financing) will be calculated excluding the cash proceeds of such Indebtedness for netting purposes (i.e., such cash proceeds shall not reduce the Borrower’s Consolidated Net Debt or Consolidated Secured Net Debt pursuant to clause (b) of the definition of such terms),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actual application of such proceeds may reduce Indebtedness for purposes of determining compliance with any applicable ratio. For example, if the Borrower incurs Indebtedness under the Fixed Incremental Amount on the same date that it incurs Indebtedness under the Ratio Amount, then the First Lien Net Leverage Ratio and any other applicable ratio will be calculated with respect to such incurrence under the Ratio Amount without regard to any incurrence of Indebtedness under the Fixed Incremental Amount. Unless the Borrower elects otherwise, each Incremental Facility (or Incremental Equivalent Debt) shall be deemed incurred first under the Ratio Amount to the extent permitted (and calculated prior to giving effect to any substantially simultaneous incurrence of any Indebtedness based on a basket or exception that is not based on a financial ratio, including under the Revolving Facility and/or the Fixed Incremental Amount), with any balance incurred under the Fixed Incremental Amount. For purposes of determining compliance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in the event that any Incremental Facility or Incremental Equivalent Debt (or any portion thereof) meets the criteria of Ratio Amount or Fixed Incremental Amount, the Borrower may, in its sole discretion, at the time of incurrence, divide, classify or reclassify, or at any later time divide, classify or reclassify, such Indebtedness (or any portion thereof) in any manner that complies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on the date of such classification or any such reclassification, as applicable.</w:t>
      </w:r>
    </w:p>
    <w:p>
      <w:pPr>
        <w:spacing w:after="0" w:line="197"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Loan Document to the contrary, when (i) calculating any applicable ratio in connection with the incurrence of Indebtedness, the creation of Liens, the making of any Disposition, the making of an Investment, the making of a Restricted Payment, the designation of a Subsidiary as restricted or unrestricted, the repayment of Indebtedness or for any other purpose, (ii) determining the accuracy of any representation or warranty, (iii) determining whether any Default or Event of Default has occurred, is continuing or would result from any action, or (iv) determining compliance with any other condition precedent to any action or transaction, in each case of clauses (i) through (iv) in connection with a Limited Condition Acquisition, the date of determination of such ratio, the accuracy of such representation or warranty (but taking into account any earlier date specified therein), whether any Default or Event of Default has occurred, is continuing or would result therefrom, or the satisfaction of any other condition precedent shall, at the option of the Borrower (the Borrower’s election to exercise such option in connection with any Limited Condition Acquisition, an “</w:t>
      </w:r>
      <w:r>
        <w:rPr>
          <w:rFonts w:ascii="Times New Roman" w:cs="Times New Roman" w:eastAsia="Times New Roman" w:hAnsi="Times New Roman"/>
          <w:sz w:val="20"/>
          <w:szCs w:val="20"/>
          <w:b w:val="1"/>
          <w:bCs w:val="1"/>
          <w:color w:val="auto"/>
        </w:rPr>
        <w:t>LCA Election</w:t>
      </w:r>
      <w:r>
        <w:rPr>
          <w:rFonts w:ascii="Times New Roman" w:cs="Times New Roman" w:eastAsia="Times New Roman" w:hAnsi="Times New Roman"/>
          <w:sz w:val="20"/>
          <w:szCs w:val="20"/>
          <w:color w:val="auto"/>
        </w:rPr>
        <w:t>”), be deemed to be the date the definitive agreements for such Limited Condition Acquisition are entered into (the “</w:t>
      </w:r>
      <w:r>
        <w:rPr>
          <w:rFonts w:ascii="Times New Roman" w:cs="Times New Roman" w:eastAsia="Times New Roman" w:hAnsi="Times New Roman"/>
          <w:sz w:val="20"/>
          <w:szCs w:val="20"/>
          <w:b w:val="1"/>
          <w:bCs w:val="1"/>
          <w:color w:val="auto"/>
        </w:rPr>
        <w:t>LCA Test Date</w:t>
      </w:r>
      <w:r>
        <w:rPr>
          <w:rFonts w:ascii="Times New Roman" w:cs="Times New Roman" w:eastAsia="Times New Roman" w:hAnsi="Times New Roman"/>
          <w:sz w:val="20"/>
          <w:szCs w:val="20"/>
          <w:color w:val="auto"/>
        </w:rPr>
        <w:t>”). If on a Pro Forma Basis after giving effect to such Limited Condition Acquisition and the other transactions to be entered into in connection therewith (including any incurrence of Indebtedness and the use of proceeds thereof) such ratios, representations and warranties, absence of defaults, satisfaction of conditions precedent and other provisions are calculated as if such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4" w:name="page165"/>
    <w:bookmarkEnd w:id="164"/>
    <w:p>
      <w:pPr>
        <w:jc w:val="both"/>
        <w:spacing w:after="0"/>
        <w:rPr>
          <w:sz w:val="20"/>
          <w:szCs w:val="20"/>
          <w:color w:val="auto"/>
        </w:rPr>
      </w:pPr>
      <w:r>
        <w:rPr>
          <w:rFonts w:ascii="Times New Roman" w:cs="Times New Roman" w:eastAsia="Times New Roman" w:hAnsi="Times New Roman"/>
          <w:sz w:val="20"/>
          <w:szCs w:val="20"/>
          <w:color w:val="auto"/>
        </w:rPr>
        <w:t>Condition Acquisition or other transactions had occurred at the beginning of the most recent Test Period ending prior to the LCA Test Date for which financial statements are available, the Borrower could have taken such action on the relevant LCA Test Date in compliance with the applicable ratios or other provisions, such provisions shall be deemed to have been complied with, unless a Specified Event of Default shall be continuing on the date such Limited Condition Acquisition is consummated. For the avoidance of doubt, (i) if any of such ratios, representations and warranties, absence of defaults, satisfaction of conditions precedent or other provisions are exceeded or breached as a result of fluctuations in such ratio (including due to fluctuations in Consolidated Adjusted EBITDA), a change in facts and circumstances or other provisions at or prior to the consummation of the relevant Limited Condition Acquisition, such ratios, representations and warranties, absence of defaults, satisfaction of conditions precedent and other provisions will not be deemed to have been exceeded, breached, or otherwise failed as a result of such fluctuations or changed circumstances solely for purposes of determining whether the Limited Condition Acquisition and any related transactions is permitted hereunder and (ii) such ratios and compliance with such conditions shall not be tested at the time of consummation of such Limited Condition Acquisition or related Specified Transactions. If the Borrower has made an LCA Election for any Limited Condition Acquisition, then in connection with any subsequent calculation of any ratio or basket availability with respect to any other Specified Transaction or otherwise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For purposes of any calculation pursuant to this clause (f) of the Interest Coverage Ratio, Consolidated Interest Expense may be calculated using an assumed interest rate for the Indebtedness to be incurred in connection with such Limited Condition Acquisition based on the indicative interest margin contained in any financing commitment documentation with respect to such Indebtedness or, if no such indicative interest margin exists, as reasonably determined by the Borrower in good faith.</w:t>
      </w:r>
    </w:p>
    <w:p>
      <w:pPr>
        <w:spacing w:after="0" w:line="200" w:lineRule="exact"/>
        <w:rPr>
          <w:sz w:val="20"/>
          <w:szCs w:val="20"/>
          <w:color w:val="auto"/>
        </w:rPr>
      </w:pPr>
    </w:p>
    <w:p>
      <w:pPr>
        <w:jc w:val="both"/>
        <w:ind w:firstLine="757"/>
        <w:spacing w:after="0" w:line="245" w:lineRule="auto"/>
        <w:tabs>
          <w:tab w:leader="none" w:pos="11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calculating the Ratio Amount, Permitted Ratio Debt and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(including for purposes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7.03(l)(ii))</w:t>
      </w:r>
      <w:r>
        <w:rPr>
          <w:rFonts w:ascii="Times New Roman" w:cs="Times New Roman" w:eastAsia="Times New Roman" w:hAnsi="Times New Roman"/>
          <w:sz w:val="20"/>
          <w:szCs w:val="20"/>
          <w:color w:val="auto"/>
        </w:rPr>
        <w:t>, the phrase “immediately prior to such incurrence” shall be construed to apply only if, at the time of such determination, on a Pro Forma Basis for such incurrence of Indebtedness and/or Liens (and for any related Permitted Investment, if applicable), (w) the First Lien Net Leverage Ratio would be greater than the Closing Date First Lien Net Leverage Ratio, (x) the Secured Net Leverage Ratio would be greater than the Closing Date Secured Net Leverage Ratio, (y) the Total Net Leverage Ratio would be greater than the Closing Date Total Net Leverage Ratio or (z) the Interest Coverage Ratio would be less than 2.00 to 1.00, as applicable.</w:t>
      </w:r>
    </w:p>
    <w:p>
      <w:pPr>
        <w:spacing w:after="0" w:line="182"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maturity date of any Indebtedness, customary bridge loans that are subject to customary conditions (including no payment or bankruptcy event of default) that would either automatically be extended as, converted into or required to be exchanged for permanent refinancing shall be deemed to have the maturity date as so extended, converted or exchanged.</w:t>
      </w:r>
    </w:p>
    <w:p>
      <w:pPr>
        <w:spacing w:after="0" w:line="176"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1.09</w:t>
      </w:r>
      <w:r>
        <w:rPr>
          <w:sz w:val="20"/>
          <w:szCs w:val="20"/>
          <w:color w:val="auto"/>
        </w:rPr>
        <w:tab/>
      </w:r>
      <w:r>
        <w:rPr>
          <w:rFonts w:ascii="Times New Roman" w:cs="Times New Roman" w:eastAsia="Times New Roman" w:hAnsi="Times New Roman"/>
          <w:sz w:val="19"/>
          <w:szCs w:val="19"/>
          <w:u w:val="single" w:color="auto"/>
          <w:color w:val="auto"/>
        </w:rPr>
        <w:t>Currency Equivalents Generally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w:t>
      </w:r>
      <w:r>
        <w:rPr>
          <w:rFonts w:ascii="Times New Roman" w:cs="Times New Roman" w:eastAsia="Times New Roman" w:hAnsi="Times New Roman"/>
          <w:sz w:val="20"/>
          <w:szCs w:val="20"/>
          <w:u w:val="single" w:color="auto"/>
          <w:color w:val="auto"/>
        </w:rPr>
        <w:t>Sections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with respect to any amount of Lien, Indebtedness or Investment in a currency other than Dollars, no Default or Event of Default shall be deemed to have occurred solely as a result of changes in rates of currency exchange occurring after the time such Lien, Indebtedness or Investment is incurred (so long as such Indebtedness or Investment, at the time incurred, made or acquired, was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5" w:name="page166"/>
    <w:bookmarkEnd w:id="165"/>
    <w:p>
      <w:pPr>
        <w:jc w:val="both"/>
        <w:ind w:left="-757" w:firstLine="757"/>
        <w:spacing w:after="0" w:line="245" w:lineRule="auto"/>
        <w:tabs>
          <w:tab w:leader="none" w:pos="38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(i) with respect to Loans or Commitments, shall be based on the Exchange Rate and (ii) with respect to any other amounts,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below) and shall not be affected by subsequent fluctuations in exchange rates.</w:t>
      </w:r>
    </w:p>
    <w:p>
      <w:pPr>
        <w:spacing w:after="0" w:line="182" w:lineRule="exact"/>
        <w:rPr>
          <w:rFonts w:ascii="Times New Roman" w:cs="Times New Roman" w:eastAsia="Times New Roman" w:hAnsi="Times New Roman"/>
          <w:sz w:val="20"/>
          <w:szCs w:val="20"/>
          <w:color w:val="auto"/>
        </w:rPr>
      </w:pPr>
    </w:p>
    <w:p>
      <w:pPr>
        <w:jc w:val="both"/>
        <w:ind w:left="-757" w:firstLine="757"/>
        <w:spacing w:after="0" w:line="242" w:lineRule="auto"/>
        <w:tabs>
          <w:tab w:leader="none" w:pos="38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LCA Election, on the date of the applicable LCA Test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spacing w:after="0" w:line="189" w:lineRule="exact"/>
        <w:rPr>
          <w:rFonts w:ascii="Times New Roman" w:cs="Times New Roman" w:eastAsia="Times New Roman" w:hAnsi="Times New Roman"/>
          <w:sz w:val="20"/>
          <w:szCs w:val="20"/>
          <w:color w:val="auto"/>
        </w:rPr>
      </w:pPr>
    </w:p>
    <w:p>
      <w:pPr>
        <w:jc w:val="both"/>
        <w:ind w:left="-757" w:firstLine="757"/>
        <w:spacing w:after="0" w:line="244" w:lineRule="auto"/>
        <w:tabs>
          <w:tab w:leader="none" w:pos="38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First Lien Net Leverage Ratio, the Secured Net Leverage Ratio, the Total Net Leverage Ratio and the Interest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spacing w:after="0" w:line="184"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1.10</w:t>
      </w:r>
      <w:r>
        <w:rPr>
          <w:sz w:val="20"/>
          <w:szCs w:val="20"/>
          <w:color w:val="auto"/>
        </w:rPr>
        <w:tab/>
      </w: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Each of the parties hereto agrees as follows</w:t>
      </w:r>
    </w:p>
    <w:p>
      <w:pPr>
        <w:spacing w:after="0" w:line="215" w:lineRule="exact"/>
        <w:rPr>
          <w:sz w:val="20"/>
          <w:szCs w:val="20"/>
          <w:color w:val="auto"/>
        </w:rPr>
      </w:pPr>
    </w:p>
    <w:p>
      <w:pPr>
        <w:ind w:left="-757" w:right="100" w:firstLine="981"/>
        <w:spacing w:after="0" w:line="253" w:lineRule="auto"/>
        <w:tabs>
          <w:tab w:leader="none" w:pos="61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constitute a novation of (x) the obligations and liabilities of the parties under the Existing Credit Agreement or the other Loan Documents as in effect prior to the Closing Date and that remain outstanding as of the Closing Date and (y) the Existing Credit Agreement or the other Loan Documents as in effect prior to the Closing Date;</w:t>
      </w:r>
    </w:p>
    <w:p>
      <w:pPr>
        <w:spacing w:after="0" w:line="176" w:lineRule="exact"/>
        <w:rPr>
          <w:rFonts w:ascii="Times New Roman" w:cs="Times New Roman" w:eastAsia="Times New Roman" w:hAnsi="Times New Roman"/>
          <w:sz w:val="20"/>
          <w:szCs w:val="20"/>
          <w:color w:val="auto"/>
        </w:rPr>
      </w:pPr>
    </w:p>
    <w:p>
      <w:pPr>
        <w:ind w:left="-757" w:right="60" w:firstLine="981"/>
        <w:spacing w:after="0" w:line="245" w:lineRule="auto"/>
        <w:tabs>
          <w:tab w:leader="none" w:pos="61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(including all Exhibits and Schedules) shall amend, restate and replace in its entirety the Existing Credit Agreement (including all exhibits and schedules attached thereto) on the Closing Date and the Existing Credit Agreement (including all exhibits and schedules attached thereto) shall thereafter be of no further force and effect, except to evidence (i) the incurrence by the Borrower of the “Obligations” (under and as defined in the Existing Credit Agreement), whether or not such “Obligations” are contingent as of the Closing Date and (ii) the representations and warranties made by the Loan Parties prior to the Closing Date (which representations and warranties shall not be superseded or rendered ineffective by this Agreement as they pertain to the period prior to the Closing Date);</w:t>
      </w:r>
    </w:p>
    <w:p>
      <w:pPr>
        <w:spacing w:after="0" w:line="182" w:lineRule="exact"/>
        <w:rPr>
          <w:rFonts w:ascii="Times New Roman" w:cs="Times New Roman" w:eastAsia="Times New Roman" w:hAnsi="Times New Roman"/>
          <w:sz w:val="20"/>
          <w:szCs w:val="20"/>
          <w:color w:val="auto"/>
        </w:rPr>
      </w:pPr>
    </w:p>
    <w:p>
      <w:pPr>
        <w:ind w:left="-757" w:right="20" w:firstLine="981"/>
        <w:spacing w:after="0" w:line="268" w:lineRule="auto"/>
        <w:tabs>
          <w:tab w:leader="none" w:pos="61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all references to the “Credit Agreement” contained in the Loan Documents shall be deemed to refer to this Agreement and all references to any Article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66" w:name="page167"/>
    <w:bookmarkEnd w:id="166"/>
    <w:p>
      <w:pPr>
        <w:ind w:right="780"/>
        <w:spacing w:after="0" w:line="268" w:lineRule="auto"/>
        <w:rPr>
          <w:sz w:val="20"/>
          <w:szCs w:val="20"/>
          <w:color w:val="auto"/>
        </w:rPr>
      </w:pPr>
      <w:r>
        <w:rPr>
          <w:rFonts w:ascii="Times New Roman" w:cs="Times New Roman" w:eastAsia="Times New Roman" w:hAnsi="Times New Roman"/>
          <w:sz w:val="20"/>
          <w:szCs w:val="20"/>
          <w:color w:val="auto"/>
        </w:rPr>
        <w:t>Section (or subsection) of this Agreement in any other Loan Document shall be amended to become references to the corresponding provisions of this Agreement;</w:t>
      </w:r>
    </w:p>
    <w:p>
      <w:pPr>
        <w:spacing w:after="0" w:line="161" w:lineRule="exact"/>
        <w:rPr>
          <w:sz w:val="20"/>
          <w:szCs w:val="20"/>
          <w:color w:val="auto"/>
        </w:rPr>
      </w:pPr>
    </w:p>
    <w:p>
      <w:pPr>
        <w:ind w:right="180" w:firstLine="981"/>
        <w:spacing w:after="0" w:line="253" w:lineRule="auto"/>
        <w:tabs>
          <w:tab w:leader="none" w:pos="136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(as such Obligations may be amended, restated, supplemented or otherwise modified by this Agreement on the Closing Date) and the Guarantee of the Obligations shall continue to be valid, enforceable and in full force and effect and not be impaired, in any respect, by the effectiveness of this Agreement;</w:t>
      </w:r>
    </w:p>
    <w:p>
      <w:pPr>
        <w:spacing w:after="0" w:line="176" w:lineRule="exact"/>
        <w:rPr>
          <w:rFonts w:ascii="Times New Roman" w:cs="Times New Roman" w:eastAsia="Times New Roman" w:hAnsi="Times New Roman"/>
          <w:sz w:val="20"/>
          <w:szCs w:val="20"/>
          <w:color w:val="auto"/>
        </w:rPr>
      </w:pPr>
    </w:p>
    <w:p>
      <w:pPr>
        <w:ind w:right="80" w:firstLine="981"/>
        <w:spacing w:after="0" w:line="253" w:lineRule="auto"/>
        <w:tabs>
          <w:tab w:leader="none" w:pos="136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and security interests as granted under the applicable Loan Documents securing payment of the Obligations are in all respects continuing, unaltered and in full force, and effect and with the same priority to secure such Obligations, whether heretofore or hereafter incurred, and are reaffirmed hereby;</w:t>
      </w:r>
    </w:p>
    <w:p>
      <w:pPr>
        <w:spacing w:after="0" w:line="176" w:lineRule="exact"/>
        <w:rPr>
          <w:rFonts w:ascii="Times New Roman" w:cs="Times New Roman" w:eastAsia="Times New Roman" w:hAnsi="Times New Roman"/>
          <w:sz w:val="20"/>
          <w:szCs w:val="20"/>
          <w:color w:val="auto"/>
        </w:rPr>
      </w:pPr>
    </w:p>
    <w:p>
      <w:pPr>
        <w:ind w:right="20" w:firstLine="981"/>
        <w:spacing w:after="0" w:line="253" w:lineRule="auto"/>
        <w:tabs>
          <w:tab w:leader="none" w:pos="136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restatement shall be limited as written and not be a consent to any other amendment, restatement, supplement, waiver or other modification, whether or not similar and, except as expressly provided herein or in any other Loan Document, all terms and conditions of the Loan Documents remain in full force and effect unless otherwise specifically amended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Commitments and Borrowings</w:t>
      </w:r>
    </w:p>
    <w:p>
      <w:pPr>
        <w:spacing w:after="0" w:line="19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1" w:lineRule="auto"/>
        <w:tabs>
          <w:tab w:leader="none" w:pos="115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 Commitments</w:t>
      </w:r>
      <w:r>
        <w:rPr>
          <w:rFonts w:ascii="Times New Roman" w:cs="Times New Roman" w:eastAsia="Times New Roman" w:hAnsi="Times New Roman"/>
          <w:sz w:val="20"/>
          <w:szCs w:val="20"/>
          <w:color w:val="auto"/>
        </w:rPr>
        <w:t xml:space="preserve">. Subject only to the conditions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with an Initial Term Loan Commitment severally agrees to make to the Borrower on the Closing Date a term loan denominated in Dollars equal to such Lender’s Initial Term Loan Commitment (the “</w:t>
      </w:r>
      <w:r>
        <w:rPr>
          <w:rFonts w:ascii="Times New Roman" w:cs="Times New Roman" w:eastAsia="Times New Roman" w:hAnsi="Times New Roman"/>
          <w:sz w:val="20"/>
          <w:szCs w:val="20"/>
          <w:b w:val="1"/>
          <w:bCs w:val="1"/>
          <w:color w:val="auto"/>
        </w:rPr>
        <w:t>Initial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Delayed Draw Term Loans that are funded hereunder shall also be deemed to constitute Initial Term Loans following such funding). Initial Term Loans may be Base Rate Loans or Eurocurrency Rate Loans, as further provided herein. At any time and from time to time during the Delayed Draw Commitment Period, subject to the terms and conditions set forth in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hereof, each Lender with a Delayed Draw Commitment severally agrees to make to the Borrower on the applicable Delayed Draw Closing Date a Term Loan denominated in Dollars in an aggregate amount requested by the Borrower but not exceeding such Lender’s unfunded Delayed Draw Commitment as of such date immediately prior to giving effect to such Borrowing (the “</w:t>
      </w:r>
      <w:r>
        <w:rPr>
          <w:rFonts w:ascii="Times New Roman" w:cs="Times New Roman" w:eastAsia="Times New Roman" w:hAnsi="Times New Roman"/>
          <w:sz w:val="20"/>
          <w:szCs w:val="20"/>
          <w:b w:val="1"/>
          <w:bCs w:val="1"/>
          <w:color w:val="auto"/>
        </w:rPr>
        <w:t>Delayed Draw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 Loans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aggregate principal amount of all such Borrowings of Delayed Draw Term Loans shall not exceed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aggregate amount of the Delayed Draw Commitments as of the Closing Date. Amounts borrowed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and repaid or prepaid may not be reborrowed. Initial Term Loans and Delayed Draw Term Loans may be Base Rate Loans (in the case of Term Loans denominated in Dollars) or Eurocurrency Rate Loans, as further provided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Delayed Draw Term Loans will initially be of the same Type and will have the same Interest Period as the Term Loans outstanding immediately prior to the Borrowing of such Delayed Draw Term Loans. To the extent practicable, the Initial Term Loans and Delayed Draw Term Loans will be treated as the same Class (i.e., “fungible”) and will have the same CUSIP.</w:t>
      </w:r>
    </w:p>
    <w:p>
      <w:pPr>
        <w:spacing w:after="0" w:line="19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Mechanics for Term Loans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4.01(a)(i)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2.16(a)</w:t>
      </w:r>
      <w:r>
        <w:rPr>
          <w:rFonts w:ascii="Times New Roman" w:cs="Times New Roman" w:eastAsia="Times New Roman" w:hAnsi="Times New Roman"/>
          <w:sz w:val="20"/>
          <w:szCs w:val="20"/>
          <w:color w:val="auto"/>
        </w:rPr>
        <w:t>, each Borrowing of Term Loans shall be made upon the Borrower’s irrevocable notice to the Administrative Agent, which may only be given in writing. Each such notice must be received by the Administrative Agent not later than, (x) in respect of Delayed Draw Term Loans, 1:00 p.m. (New York City time) three Business Days prior to the requested date of such Borrowing and (y) in respect of all other Term Loans, (A) 1:00 p.m. (New York City time) three Business Days prior to the requested date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7" w:name="page168"/>
    <w:bookmarkEnd w:id="167"/>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 xml:space="preserve">Borrowing of Eurocurrency Rate Loans and (B) 12:00 noon (New York City time) one Business Day prior to the requested date of any Borrowing of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notices may be conditioned on the occurrence of the Closing Date or, with respect to Delayed Draw Term Loans or Incremental Term Loans, may be conditioned on the occurrence of any transaction anticipated to occur in connection with such Delayed Draw Term Loans or Incremental Term Loans.</w:t>
      </w:r>
    </w:p>
    <w:p>
      <w:pPr>
        <w:spacing w:after="0" w:line="178" w:lineRule="exact"/>
        <w:rPr>
          <w:sz w:val="20"/>
          <w:szCs w:val="20"/>
          <w:color w:val="auto"/>
        </w:rPr>
      </w:pPr>
    </w:p>
    <w:p>
      <w:pPr>
        <w:jc w:val="both"/>
        <w:ind w:left="3" w:firstLine="1045"/>
        <w:spacing w:after="0" w:line="243" w:lineRule="auto"/>
        <w:tabs>
          <w:tab w:leader="none" w:pos="1447"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notice by the Borrower pursuant to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must be delivered to the Administrative Agent in the form of a Committed Loan Notice, appropriately completed and signed by a Responsible Officer of the Borrower. The Delayed Draw Term Loans shall be available in Borrowings of not less than $5,000,000 or, if less, the unfunded Delayed Draw Commitments then outstanding. Each Committed Loan Notice shall specify (A) that the Borrower is requesting a Term Loan Borrowing, (B) the requested date of the Borrowing (which shall be a Business Day), (C) the Type of Term Loans to be borrowed,</w:t>
      </w:r>
    </w:p>
    <w:p>
      <w:pPr>
        <w:spacing w:after="0" w:line="3" w:lineRule="exact"/>
        <w:rPr>
          <w:rFonts w:ascii="Times New Roman" w:cs="Times New Roman" w:eastAsia="Times New Roman" w:hAnsi="Times New Roman"/>
          <w:sz w:val="20"/>
          <w:szCs w:val="20"/>
          <w:color w:val="auto"/>
        </w:rPr>
      </w:pPr>
    </w:p>
    <w:p>
      <w:pPr>
        <w:jc w:val="both"/>
        <w:ind w:left="3" w:hanging="3"/>
        <w:spacing w:after="0"/>
        <w:tabs>
          <w:tab w:leader="none" w:pos="35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Term Loans to be borrowed and (E) if applicable, the duration of the Interest Period with respect thereto. If the Borrower fails to specify a Type of Term Loan in a Committed Loan Notice, then (1) in the case of Term Loans denominated in Dollars, the applicable Term Loans shall be made as Base Rate Loans and (2) in the case of Term Loans denominated in an Alternative Currency, the applicable Term Loans shall be made as Eurocurrency Rate Loans with an Interest Period of one month;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Delayed Draw Term Loans will initially be of the same Type and will have the same Interest Period as the Term Loans outstanding immediately prior to the Borrowing of such Delayed Draw Term Loans. If the Borrower requests a Borrowing of Eurocurrency Rate Loans in any such Committed Loan Notice, but fails to specify an Interest Period, for such Eurocurrency Rate Loans, the Borrower will be deemed to have specified an Interest Period of one month (other than with respect to a Delayed Draw Term Loan).</w:t>
      </w:r>
    </w:p>
    <w:p>
      <w:pPr>
        <w:spacing w:after="0" w:line="183" w:lineRule="exact"/>
        <w:rPr>
          <w:rFonts w:ascii="Times New Roman" w:cs="Times New Roman" w:eastAsia="Times New Roman" w:hAnsi="Times New Roman"/>
          <w:sz w:val="20"/>
          <w:szCs w:val="20"/>
          <w:color w:val="auto"/>
        </w:rPr>
      </w:pPr>
    </w:p>
    <w:p>
      <w:pPr>
        <w:ind w:left="3" w:right="20" w:firstLine="1045"/>
        <w:spacing w:after="0" w:line="272" w:lineRule="auto"/>
        <w:tabs>
          <w:tab w:leader="none" w:pos="1447"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Borrowings of more than one Type may be outstanding at the same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total number of Interest Periods for Eurocurrency Rate Loans outstanding under this Agreement at any time shall comply with </w:t>
      </w:r>
      <w:r>
        <w:rPr>
          <w:rFonts w:ascii="Times New Roman" w:cs="Times New Roman" w:eastAsia="Times New Roman" w:hAnsi="Times New Roman"/>
          <w:sz w:val="20"/>
          <w:szCs w:val="20"/>
          <w:u w:val="single" w:color="auto"/>
          <w:color w:val="auto"/>
        </w:rPr>
        <w:t>Section 2.10(g)</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jc w:val="both"/>
        <w:ind w:left="3" w:firstLine="1045"/>
        <w:spacing w:after="0" w:line="243" w:lineRule="auto"/>
        <w:tabs>
          <w:tab w:leader="none" w:pos="1447"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receipt of a Committed Loan Notice, the Administrative Agent shall promptly notify each Lender of the amount of its Pro Rata Share of the applicable tranche of Term Loans. In the case of each Borrowing, each Appropriate Lender shall make the amount of its Term Loan available to the Administrative Agent in Same Day Funds at the Administrative Agent’s Office not later than 1:00 p.m. (New York City time), on the Business Day specified in the applicable Committed Loan Notice. Upon satisfaction of the applicable conditions to such Borrowing,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w:t>
      </w:r>
    </w:p>
    <w:p>
      <w:pPr>
        <w:spacing w:after="0" w:line="186" w:lineRule="exact"/>
        <w:rPr>
          <w:rFonts w:ascii="Times New Roman" w:cs="Times New Roman" w:eastAsia="Times New Roman" w:hAnsi="Times New Roman"/>
          <w:sz w:val="20"/>
          <w:szCs w:val="20"/>
          <w:color w:val="auto"/>
        </w:rPr>
      </w:pPr>
    </w:p>
    <w:p>
      <w:pPr>
        <w:jc w:val="both"/>
        <w:ind w:left="3" w:firstLine="1045"/>
        <w:spacing w:after="0" w:line="249" w:lineRule="auto"/>
        <w:tabs>
          <w:tab w:leader="none" w:pos="1447"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Lender to make the Term Loan to be made by it as part of any Borrowing shall not relieve any other Lender of its obligation, if any, hereunder to make its Term Loan on the date of such Borrowing, but no Lender shall be responsible for the failure of any other Lender to make the Term Loan to be made by such other Lender on the date of any Borrowing.</w:t>
      </w:r>
    </w:p>
    <w:p>
      <w:pPr>
        <w:spacing w:after="0" w:line="178"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757" w:firstLine="757"/>
        <w:spacing w:after="0" w:line="268" w:lineRule="auto"/>
        <w:tabs>
          <w:tab w:leader="none" w:pos="40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 Commitment</w:t>
      </w:r>
      <w:r>
        <w:rPr>
          <w:rFonts w:ascii="Times New Roman" w:cs="Times New Roman" w:eastAsia="Times New Roman" w:hAnsi="Times New Roman"/>
          <w:sz w:val="20"/>
          <w:szCs w:val="20"/>
          <w:color w:val="auto"/>
        </w:rPr>
        <w:t>. During the Revolving Commitment Period, subject to the terms and conditions hereof, each Lender severally agrees to make revolving loans to the Borrower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68" w:name="page169"/>
    <w:bookmarkEnd w:id="168"/>
    <w:p>
      <w:pPr>
        <w:jc w:val="both"/>
        <w:spacing w:after="0" w:line="244" w:lineRule="auto"/>
        <w:rPr>
          <w:sz w:val="20"/>
          <w:szCs w:val="20"/>
          <w:color w:val="auto"/>
        </w:rPr>
      </w:pPr>
      <w:r>
        <w:rPr>
          <w:rFonts w:ascii="Times New Roman" w:cs="Times New Roman" w:eastAsia="Times New Roman" w:hAnsi="Times New Roman"/>
          <w:sz w:val="20"/>
          <w:szCs w:val="20"/>
          <w:color w:val="auto"/>
        </w:rPr>
        <w:t>time on any Business Day in Dollars and/or any Alternative Currency (“</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xml:space="preserve">”) in an aggregate amount (expressed in the Dollar Amount thereof in the case of an Alternative Currency) up to but not exceeding such Lender’s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giving effect to the making of any Revolving Loans in no event shall the Total Utilization of Revolving Commitments exceed the Revolving Commitments then in effect. Amounts borrowed pursuant to this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may be repaid and reborrowed during the Revolving Commitment Period. Each Lender’s Revolving Commitment shall expire on the Revolving Commitment Termination Date, and all Revolving Loans and all other amounts owed hereunder with respect to the Revolving Loans and the Revolving Commitments shall be paid in full no later than such date.</w:t>
      </w:r>
    </w:p>
    <w:p>
      <w:pPr>
        <w:spacing w:after="0" w:line="188" w:lineRule="exact"/>
        <w:rPr>
          <w:sz w:val="20"/>
          <w:szCs w:val="20"/>
          <w:color w:val="auto"/>
        </w:rPr>
      </w:pPr>
    </w:p>
    <w:p>
      <w:pPr>
        <w:ind w:left="1160" w:hanging="403"/>
        <w:spacing w:after="0"/>
        <w:tabs>
          <w:tab w:leader="none" w:pos="11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Mechanics for Revolving Loans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4.01(a)(i)</w:t>
      </w:r>
      <w:r>
        <w:rPr>
          <w:rFonts w:ascii="Times New Roman" w:cs="Times New Roman" w:eastAsia="Times New Roman" w:hAnsi="Times New Roman"/>
          <w:sz w:val="19"/>
          <w:szCs w:val="19"/>
          <w:color w:val="auto"/>
        </w:rPr>
        <w:t xml:space="preserve"> in the case of Borrowings of Revolving Loans on the Closing Date only and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4.02(c)</w:t>
      </w:r>
      <w:r>
        <w:rPr>
          <w:rFonts w:ascii="Times New Roman" w:cs="Times New Roman" w:eastAsia="Times New Roman" w:hAnsi="Times New Roman"/>
          <w:sz w:val="19"/>
          <w:szCs w:val="19"/>
          <w:color w:val="auto"/>
        </w:rPr>
        <w:t xml:space="preserve"> in the case of each other Borrowing of Revolving Loans, each Borrowing of Revolving Loans shall be made upon the Borrower’s irrevocable notice to the Administrative Agent, which may only be given in writing (each request for a Swing Line Loan Borrowing shall be made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Each such notice must be received by the Administrative Agent not later than (A) 1:00 p.m. (New York City time) three Business Days prior to the requested date of any Borrowing of Eurocurrency Rate Loans or SOFR Loans, and (B) 12:00 noon (New York City time) on the requested date of any Borrowing of Base Rate Loans (in the case of Revolving Loans denominated in Dollars only). Each notice by the Borrower pursuant to this </w:t>
      </w:r>
      <w:r>
        <w:rPr>
          <w:rFonts w:ascii="Times New Roman" w:cs="Times New Roman" w:eastAsia="Times New Roman" w:hAnsi="Times New Roman"/>
          <w:sz w:val="19"/>
          <w:szCs w:val="19"/>
          <w:u w:val="single" w:color="auto"/>
          <w:color w:val="auto"/>
        </w:rPr>
        <w:t>Section 2.02(b)</w:t>
      </w:r>
      <w:r>
        <w:rPr>
          <w:rFonts w:ascii="Times New Roman" w:cs="Times New Roman" w:eastAsia="Times New Roman" w:hAnsi="Times New Roman"/>
          <w:sz w:val="19"/>
          <w:szCs w:val="19"/>
          <w:color w:val="auto"/>
        </w:rPr>
        <w:t xml:space="preserve"> must be delivered to the Administrative Agent in the form of a Committed Loan Notice, appropriately completed and signed by a Responsible Officer of the Borrower. Each Borrowing of Eurocurrency Rate Loans or SOFR Loans shall be in a principal amount of (A) $500,000 or a whole multiple of $100,000 in excess thereof in the case of Eurocurrency Rate Loans denominated in Dollars, and (B) a Dollar Amount of $500,000 or a whole multiple of $100,000 in excess thereof in the case of Eurocurrency Rate Loans denominated in any Alternative Currency. Each Borrowing of Base Rate Loans shall be in a principal amount of $500,000 or a whole multiple of $100,000 in excess thereof. Each Committed Loan Notice shall specify (1) the requested date of the Borrowing (which shall be a Business Day), (2) the principal amount of Revolving Loans to be borrowed, (3) the Type of Revolving Loans to be borrowed and (4) if applicable, the duration of the Interest Period with respect thereto. Each Swing Line Loan shall be denominated in Dollars and constitute a Base Rate Loan. If the Borrower fails to specify a Type of Revolving Loan in a Committed Loan Notice, then (x) in the case of Revolving Loans denominated in Dollars, the applicable Revolving Loans shall be made as Base Rate Loans and (y) in the case of Revolving Loans denominated in an Alternative Currency, the applicable Revolving Loans shall be made as Eurocurrency Rate Loans with an Interest Period of one month. If the Borrower requests a Borrowing of Eurocurrency Rate Loans or SOFR Loans in any such Committed Loan Notice, but fails to specify an Interest Period for such Eurocurrency Rate Loans or SOFR Loans, the Borrower will be deemed to have specified an Interest Period of one month.</w:t>
      </w:r>
    </w:p>
    <w:p>
      <w:pPr>
        <w:spacing w:after="0" w:line="193" w:lineRule="exact"/>
        <w:rPr>
          <w:rFonts w:ascii="Times New Roman" w:cs="Times New Roman" w:eastAsia="Times New Roman" w:hAnsi="Times New Roman"/>
          <w:sz w:val="19"/>
          <w:szCs w:val="19"/>
          <w:color w:val="auto"/>
        </w:rPr>
      </w:pPr>
    </w:p>
    <w:p>
      <w:pPr>
        <w:jc w:val="both"/>
        <w:ind w:left="760" w:firstLine="1045"/>
        <w:spacing w:after="0" w:line="243" w:lineRule="auto"/>
        <w:tabs>
          <w:tab w:leader="none" w:pos="2203"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1:00 p.m. (New York City time), on the Business Day specified in the applicable Committed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if such Borrowing is on the Closing Date,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if such Borrowing is of Delayed Draw Term Loans on a Delayed Draw Closing Date,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the Administrative Agent shall make all funds so received available to the Borrower in like funds as received by the Administrative Agent either by (A) crediting the account of the Borrower on the books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9" w:name="page170"/>
    <w:bookmarkEnd w:id="169"/>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 xml:space="preserve">Administrative Agent with the amount of such funds or (B)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on the date the Committed Loan Notice with respect to such Borrowing is given by the Borrower, there are Swing Line Loans outstanding or Reimbursement Obligations outstanding, then the proceeds of such Borrowing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in full of any such Reimbursement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in full of any such Swing Line Loans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Borrower as provided above.</w:t>
      </w:r>
    </w:p>
    <w:p>
      <w:pPr>
        <w:spacing w:after="0" w:line="183" w:lineRule="exact"/>
        <w:rPr>
          <w:sz w:val="20"/>
          <w:szCs w:val="20"/>
          <w:color w:val="auto"/>
        </w:rPr>
      </w:pPr>
    </w:p>
    <w:p>
      <w:pPr>
        <w:jc w:val="both"/>
        <w:ind w:left="3" w:firstLine="1045"/>
        <w:spacing w:after="0" w:line="249" w:lineRule="auto"/>
        <w:tabs>
          <w:tab w:leader="none" w:pos="144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78"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57" w:firstLine="757"/>
        <w:spacing w:after="0" w:line="256" w:lineRule="auto"/>
        <w:tabs>
          <w:tab w:leader="none" w:pos="388"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Subject to the terms and conditions set forth herein, the Swing Line Lender, in reliance on the agreements of the Revolving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agrees to make Swing Line Loans in Dollars to the Borrower from time to time on any Business Day during the Revolving Commitment Period, in an aggregate principal amount not to exceed at any time outstanding the amount of the Swing Line Sublimit;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any Swing Line Loan, (i) the Total Utilization of Revolving Commitments shall not exceed the Revolving Commitments, (ii) the Total Utilization of Revolving Commitments of any Revolving Lender, shall not exceed such Lender’s Revolving Commitment and (iii) the aggregate principal amount outstanding of all Swing Line Loans shall not exceed the Swing Line Sublimit;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the Swing Line Lender shall not be required to make a Swing Line Loan to refinance an outstanding Swing Line Loan. Within the foregoing limits and subject to the terms and conditions set forth herein, the Borrower may borrow, prepay and reborrow Swing Line Loans. Immediately upon the making of a Swing Line Loan by the Swing Line Lender, each Revolving Lender shall be deemed to, and hereby irrevocably and unconditionally agrees to, purchase from the Swing Line Lender a participation in such Swing Line Loan in an amount equal to such Revolving Lender’s Pro Rata Share of the amount of such Swing Line Loan.</w:t>
      </w:r>
    </w:p>
    <w:p>
      <w:pPr>
        <w:spacing w:after="0" w:line="173" w:lineRule="exact"/>
        <w:rPr>
          <w:rFonts w:ascii="Times New Roman" w:cs="Times New Roman" w:eastAsia="Times New Roman" w:hAnsi="Times New Roman"/>
          <w:sz w:val="19"/>
          <w:szCs w:val="19"/>
          <w:color w:val="auto"/>
        </w:rPr>
      </w:pPr>
    </w:p>
    <w:p>
      <w:pPr>
        <w:jc w:val="both"/>
        <w:ind w:left="-757" w:firstLine="757"/>
        <w:spacing w:after="0" w:line="241" w:lineRule="auto"/>
        <w:tabs>
          <w:tab w:leader="none" w:pos="42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Mechanics for Swing Line Loans</w:t>
      </w:r>
      <w:r>
        <w:rPr>
          <w:rFonts w:ascii="Times New Roman" w:cs="Times New Roman" w:eastAsia="Times New Roman" w:hAnsi="Times New Roman"/>
          <w:sz w:val="20"/>
          <w:szCs w:val="20"/>
          <w:color w:val="auto"/>
        </w:rPr>
        <w:t xml:space="preserve">. Each Swing Line Loan Borrowing shall be made upon the Borrower’s irrevocable notice to the Swing Line Lender and the Administrative Agent. Each such notice may be given by: (A) telephone, or (B) a Swing Line Loan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telephonic notice by the Borrower must be confirmed immediately by delivery to the Swing Line Lender and the Administrative Agent of a Swing Line Loan Request. Each such Swing Line Loan Request must be received by the Swing Line Lender and the Administrative Agent not later than 12:00 noon (New York City time) on the date of the requested Swing Line Loan Borrowing, and such notice shall specify (i) the Borrower to be credited (or, if none is specified, the notice shall be deemed to be made on behalf of the Borrower), (ii) the amount to be borrowed, which shall be in a minimum of $100,000 or a whole multiple of $25,000 in excess thereof, and (iii) the date of such Swing Line Loan Borrowing (which shall be a Business Day). Promptly after receipt by the Swing Line Lender of such notice, the Swing Line Lender will confirm with the Administrative Agent that the Administrative Agent has also received such notice and, if not, the Swing Line Lender will notify the Administrative Agent of the contents thereof. Unless the Swing Line Lender has received notice from the Administrative Agent (including at the request of the Required Revolving Lenders) prior to 2:00 p.m. (New York City time) on such requested borrowing date (A) directing the Swing Line Lender not to make such Swing Line Loan as a result of the limitations set forth in the first sentence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(B) that one or more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then, subject to the terms and conditions set forth herein, the Swing Line Lender shall make each Swing Line Loan available to the Borrower, by wire transfer thereof in accordance with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319405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0" w:name="page171"/>
    <w:bookmarkEnd w:id="170"/>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provided to (and reasonably acceptable to) the Swing Line Lender, not later than 3:00 p.m. (New York City time) on the requested date of such Swing Line Loan (which instructions may include standing payment instructions, which may be updated from time to time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the Swing Line Lender shall otherwise agree, any such update shall not take effect until the Business Day immediately following the date on which such update is provided to the Swing Line Lender).</w:t>
      </w:r>
    </w:p>
    <w:p>
      <w:pPr>
        <w:spacing w:after="0" w:line="178" w:lineRule="exact"/>
        <w:rPr>
          <w:sz w:val="20"/>
          <w:szCs w:val="20"/>
          <w:color w:val="auto"/>
        </w:rPr>
      </w:pPr>
    </w:p>
    <w:p>
      <w:pPr>
        <w:ind w:left="1160" w:hanging="403"/>
        <w:spacing w:after="0"/>
        <w:tabs>
          <w:tab w:leader="none" w:pos="11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1" w:lineRule="auto"/>
        <w:tabs>
          <w:tab w:leader="none" w:pos="2203"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 Line Lender at any time in its sole and absolute discretion may request, on behalf of the Borrower (which hereby irrevocably authorizes the Swing Line Lender to so request on its behalf), that each Revolving Lender make a Revolving Loan that is a Base Rate Loan in an amount equal to such Lender’s Pro Rata Share of the amount of Swing Line Loans made by then Swing Line Lender then outstanding (the “</w:t>
      </w:r>
      <w:r>
        <w:rPr>
          <w:rFonts w:ascii="Times New Roman" w:cs="Times New Roman" w:eastAsia="Times New Roman" w:hAnsi="Times New Roman"/>
          <w:sz w:val="20"/>
          <w:szCs w:val="20"/>
          <w:b w:val="1"/>
          <w:bCs w:val="1"/>
          <w:color w:val="auto"/>
        </w:rPr>
        <w:t>Refunded Swing Line Loans</w:t>
      </w:r>
      <w:r>
        <w:rPr>
          <w:rFonts w:ascii="Times New Roman" w:cs="Times New Roman" w:eastAsia="Times New Roman" w:hAnsi="Times New Roman"/>
          <w:sz w:val="20"/>
          <w:szCs w:val="20"/>
          <w:color w:val="auto"/>
        </w:rPr>
        <w:t xml:space="preserve">”). Such request shall be made in writing (which written request shall be deemed to be a Committed Loan Notice for purposes hereof) and in accordance (including with respect to prior notice requirements) with the requirements of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xml:space="preserve">, without regard to the minimum and multiples specified therein, but subject to the aggregate unused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Borrower with a copy of such Committed Loan Notice promptly after delivering such notice to the Administrative Agent. Each Revolving Lender shall make an amount equal to its Pro Rata Share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(New York City time) on the day specified in such Committed Loan Notice, whereupon, subject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each Revolving Lender that so makes funds available shall be deemed to have made a Revolving Loan that is a Base Rate Loan to the Borrower in such amount.</w:t>
      </w:r>
    </w:p>
    <w:p>
      <w:pPr>
        <w:spacing w:after="0" w:line="191" w:lineRule="exact"/>
        <w:rPr>
          <w:rFonts w:ascii="Times New Roman" w:cs="Times New Roman" w:eastAsia="Times New Roman" w:hAnsi="Times New Roman"/>
          <w:sz w:val="20"/>
          <w:szCs w:val="20"/>
          <w:color w:val="auto"/>
        </w:rPr>
      </w:pPr>
    </w:p>
    <w:p>
      <w:pPr>
        <w:jc w:val="both"/>
        <w:ind w:left="760" w:firstLine="1045"/>
        <w:spacing w:after="0" w:line="243" w:lineRule="auto"/>
        <w:tabs>
          <w:tab w:leader="none" w:pos="2203"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Loan Borrowing in accordance with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the request for Revolving Loans that are Base Rate Loans submitted by the Swing Line Lender as set forth herein shall be deemed to be a request by the Swing Line Lender that each of the Revolving Lenders fund its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shall be deemed payment in respect of such participation. The Administrative Agent shall notify the Borrower of any participations in any Swing Line Loan funded pursuant to this clause (ii), and thereafter payments in respect of such Swing Line Loan (to the extent of such funded participations) shall be made to the Administrative Agent for the benefit of the Lenders and not to the Swing Line Lender.</w:t>
      </w:r>
    </w:p>
    <w:p>
      <w:pPr>
        <w:spacing w:after="0" w:line="186" w:lineRule="exact"/>
        <w:rPr>
          <w:rFonts w:ascii="Times New Roman" w:cs="Times New Roman" w:eastAsia="Times New Roman" w:hAnsi="Times New Roman"/>
          <w:sz w:val="20"/>
          <w:szCs w:val="20"/>
          <w:color w:val="auto"/>
        </w:rPr>
      </w:pPr>
    </w:p>
    <w:p>
      <w:pPr>
        <w:jc w:val="both"/>
        <w:ind w:left="760" w:firstLine="1045"/>
        <w:spacing w:after="0" w:line="257" w:lineRule="auto"/>
        <w:tabs>
          <w:tab w:leader="none" w:pos="2203"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 2.03(c)(i),</w:t>
      </w:r>
      <w:r>
        <w:rPr>
          <w:rFonts w:ascii="Times New Roman" w:cs="Times New Roman" w:eastAsia="Times New Roman" w:hAnsi="Times New Roman"/>
          <w:sz w:val="19"/>
          <w:szCs w:val="19"/>
          <w:color w:val="auto"/>
        </w:rPr>
        <w:t xml:space="preserve"> the Swing Line Lender (acting through the Administrative Agent) shall be entitled to recover from such Revolving Lender, on demand, such amount with interest thereon for the period from the date such payment is required to the date on which such payment is immediately available to such Swing Line Lender at a rate per annum equal to the greater of the Federal Funds Rate from time to time in effect and a rate determined by the Swing Line Lender in accordance with banking industry rules on interbank compensation, </w:t>
      </w:r>
      <w:r>
        <w:rPr>
          <w:rFonts w:ascii="Times New Roman" w:cs="Times New Roman" w:eastAsia="Times New Roman" w:hAnsi="Times New Roman"/>
          <w:sz w:val="19"/>
          <w:szCs w:val="19"/>
          <w:i w:val="1"/>
          <w:iCs w:val="1"/>
          <w:u w:val="single" w:color="auto"/>
          <w:color w:val="auto"/>
        </w:rPr>
        <w:t>plus</w:t>
      </w:r>
      <w:r>
        <w:rPr>
          <w:rFonts w:ascii="Times New Roman" w:cs="Times New Roman" w:eastAsia="Times New Roman" w:hAnsi="Times New Roman"/>
          <w:sz w:val="19"/>
          <w:szCs w:val="19"/>
          <w:color w:val="auto"/>
        </w:rPr>
        <w:t xml:space="preserve"> any reasonable administrative, processing or similar fees customarily charged by the Swing Line Lender in connection with the foregoing. If such Revolving Lender pays such amount (with interest and fees as aforesaid), the amount so paid shall constitute such Lender’s Revolving Loan included in the relevant Revolving Loan Borrowing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1" w:name="page172"/>
    <w:bookmarkEnd w:id="171"/>
    <w:p>
      <w:pPr>
        <w:jc w:val="both"/>
        <w:ind w:left="3"/>
        <w:spacing w:after="0" w:line="253" w:lineRule="auto"/>
        <w:rPr>
          <w:sz w:val="20"/>
          <w:szCs w:val="20"/>
          <w:color w:val="auto"/>
        </w:rPr>
      </w:pPr>
      <w:r>
        <w:rPr>
          <w:rFonts w:ascii="Times New Roman" w:cs="Times New Roman" w:eastAsia="Times New Roman" w:hAnsi="Times New Roman"/>
          <w:sz w:val="20"/>
          <w:szCs w:val="20"/>
          <w:color w:val="auto"/>
        </w:rPr>
        <w:t>funded participation in the relevant Swing Line Loan, as the case may be. A certificate of the Swing Line Lender submitted (through the Administrative Agent) to any Revolving Lender with respect to any amounts owing under this clause (iii) shall be conclusive absent manifest error.</w:t>
      </w:r>
    </w:p>
    <w:p>
      <w:pPr>
        <w:spacing w:after="0" w:line="176" w:lineRule="exact"/>
        <w:rPr>
          <w:sz w:val="20"/>
          <w:szCs w:val="20"/>
          <w:color w:val="auto"/>
        </w:rPr>
      </w:pPr>
    </w:p>
    <w:p>
      <w:pPr>
        <w:jc w:val="both"/>
        <w:ind w:left="3" w:firstLine="1045"/>
        <w:spacing w:after="0" w:line="242" w:lineRule="auto"/>
        <w:tabs>
          <w:tab w:leader="none" w:pos="1447"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participations in Swing Line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Revolving Lender’s obligation to make Revolving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further, </w:t>
      </w:r>
      <w:r>
        <w:rPr>
          <w:rFonts w:ascii="Times New Roman" w:cs="Times New Roman" w:eastAsia="Times New Roman" w:hAnsi="Times New Roman"/>
          <w:sz w:val="20"/>
          <w:szCs w:val="20"/>
          <w:color w:val="auto"/>
        </w:rPr>
        <w:t>that for the avoidance of doubt, the conditions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apply to the purchase or funding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participations pursuant to this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No such funding of participations shall relieve or otherwise impair the obligation of the Borrower to repay Swing Line Loans, together with interest as provided herein.</w:t>
      </w:r>
    </w:p>
    <w:p>
      <w:pPr>
        <w:spacing w:after="0" w:line="191"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 w:firstLine="1045"/>
        <w:spacing w:after="0" w:line="244" w:lineRule="auto"/>
        <w:tabs>
          <w:tab w:leader="none" w:pos="144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any Revolving Lender has purchased and funded a participation in a Swing Line Loan, if the Swing Line Lender receives any payment on account of such Swing Line Loan, the Swing Line Lender will promptly remit such Revolving Lender’s Pro Rata Share of such payment to the Administrative Agent (appropriately adjusted, in the case of interest payments, to reflect the period of time during which such Revolving Lender’s participation was funded) in like funds as received by the Swing Line Lender, and any such amounts received by the Administrative Agent will be remitted by the Administrative Agent to the Revolving Lenders that shall have funded their participations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to the extent of their interests therein.</w:t>
      </w:r>
    </w:p>
    <w:p>
      <w:pPr>
        <w:spacing w:after="0" w:line="183" w:lineRule="exact"/>
        <w:rPr>
          <w:rFonts w:ascii="Times New Roman" w:cs="Times New Roman" w:eastAsia="Times New Roman" w:hAnsi="Times New Roman"/>
          <w:sz w:val="20"/>
          <w:szCs w:val="20"/>
          <w:color w:val="auto"/>
        </w:rPr>
      </w:pPr>
    </w:p>
    <w:p>
      <w:pPr>
        <w:jc w:val="both"/>
        <w:ind w:left="3" w:firstLine="1045"/>
        <w:spacing w:after="0" w:line="244" w:lineRule="auto"/>
        <w:tabs>
          <w:tab w:leader="none" w:pos="144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(including pursuant to any settlement entered into by the Swing Line Lender in its reasonable discretion), each Revolving Lender shall pay to such Swing Line Lender its Pro Rata Share thereof on demand of the Administrative Agent,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at a rate per annum equal to the Federal Funds Rate from time to time in effect. The Administrative Agent will make such demand upon the request of the Swing Line Lender. The obligations of the Revolving Lenders under this clause (ii) shall survive the payment in full of the Obligations and the termination of this Agreement.</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38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 for interest on the Swing Line Loans made by the Swing Line Lender. Until each Revolving Lender funds its Revolving Loan that is a Base Rate Loan or participation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to refinance such Lender’s Pro Rata Share of any Swing Line Loan made by the Swing Line Lender, interest in respect of such Lender’s share thereof shall be solely for the account of the Swing Line Lender.</w:t>
      </w:r>
    </w:p>
    <w:p>
      <w:pPr>
        <w:spacing w:after="0" w:line="178" w:lineRule="exact"/>
        <w:rPr>
          <w:rFonts w:ascii="Times New Roman" w:cs="Times New Roman" w:eastAsia="Times New Roman" w:hAnsi="Times New Roman"/>
          <w:sz w:val="20"/>
          <w:szCs w:val="20"/>
          <w:color w:val="auto"/>
        </w:rPr>
      </w:pPr>
    </w:p>
    <w:p>
      <w:pPr>
        <w:ind w:left="-757" w:right="780" w:firstLine="757"/>
        <w:spacing w:after="0" w:line="268" w:lineRule="auto"/>
        <w:tabs>
          <w:tab w:leader="none" w:pos="38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Except as otherwise expressly provided herein, the Borrower shall make all payments of principal and interest in respect of the Swing Line Loans directly to the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2" w:name="page173"/>
    <w:bookmarkEnd w:id="172"/>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Issuance of Letters of Credit and Purchase of Participations Therein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403" w:hanging="403"/>
        <w:spacing w:after="0"/>
        <w:tabs>
          <w:tab w:leader="none" w:pos="40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 w:firstLine="1045"/>
        <w:spacing w:after="0"/>
        <w:tabs>
          <w:tab w:leader="none" w:pos="144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each Issuing Bank agrees, in reliance upon the agreements of the Revolving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(1) from time to time on any Business Day during the Revolving Commitment Period on or prior to the fifth Business Day prior to the Revolving Commitment Termination Date, to issue Letters of Credit for the account of the Borrower, subject to satisfactory receipt of such information and documentation reasonably requested by the Administrative Agent or any Lender in order to comply with applicable “know your customer” and anti-money laundering rules and regulations, including the USA PATRIOT Act, or a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Letter of Credit issued for the benefit of any Restricted Subsidiary shall be issued for the account of the Borrower but such Letter of Credit shall indicate that it is being issued for the benefit of such Restricted Subsidiary) and to amend, renew or extend Letters of Credit previously issued by it, in accordance with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and (2) to honor drawings under the Letters of Credit; and (B) the Revolving Lenders severally agree to participate in such Letters of Credit and any drawings thereunder;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Issuing Banks shall not be obligated to make any Letter of Credit Extension if, as of the date of such Letter of Credit Extension, (1) the Total Utilization of Revolving Commitments would exceed the Revolving Commitments, (2) the Total Utilization of Revolving Commitments of any Revolving Lender, would exceed such Lender’s Revolving Commitment, (3) the Letter of Credit Usage would exceed the Letter of Credit Sublimit or (4) the Letter of Credit Usage with respect to Letters of Credit issued by such Issuing Bank would exceed the amount of such Issuing Bank’s Letter of Credit Percentage of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202"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Issuing Bank shall not be under any obligation to issue any Letter of Credit if:</w:t>
      </w:r>
    </w:p>
    <w:p>
      <w:pPr>
        <w:spacing w:after="0" w:line="214" w:lineRule="exact"/>
        <w:rPr>
          <w:rFonts w:ascii="Times New Roman" w:cs="Times New Roman" w:eastAsia="Times New Roman" w:hAnsi="Times New Roman"/>
          <w:sz w:val="20"/>
          <w:szCs w:val="20"/>
          <w:color w:val="auto"/>
        </w:rPr>
      </w:pPr>
    </w:p>
    <w:p>
      <w:pPr>
        <w:jc w:val="both"/>
        <w:ind w:left="743" w:firstLine="754"/>
        <w:spacing w:after="0" w:line="242" w:lineRule="auto"/>
        <w:tabs>
          <w:tab w:leader="none" w:pos="1887"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w:t>
      </w:r>
    </w:p>
    <w:p>
      <w:pPr>
        <w:spacing w:after="0" w:line="191" w:lineRule="exact"/>
        <w:rPr>
          <w:rFonts w:ascii="Times New Roman" w:cs="Times New Roman" w:eastAsia="Times New Roman" w:hAnsi="Times New Roman"/>
          <w:sz w:val="20"/>
          <w:szCs w:val="20"/>
          <w:color w:val="auto"/>
        </w:rPr>
      </w:pPr>
    </w:p>
    <w:p>
      <w:pPr>
        <w:ind w:left="743" w:firstLine="754"/>
        <w:spacing w:after="0" w:line="268" w:lineRule="auto"/>
        <w:tabs>
          <w:tab w:leader="none" w:pos="1887"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Issuing Bank applicable to letters of credit generally;</w:t>
      </w:r>
    </w:p>
    <w:p>
      <w:pPr>
        <w:spacing w:after="0" w:line="160" w:lineRule="exact"/>
        <w:rPr>
          <w:rFonts w:ascii="Times New Roman" w:cs="Times New Roman" w:eastAsia="Times New Roman" w:hAnsi="Times New Roman"/>
          <w:sz w:val="20"/>
          <w:szCs w:val="20"/>
          <w:color w:val="auto"/>
        </w:rPr>
      </w:pPr>
    </w:p>
    <w:p>
      <w:pPr>
        <w:ind w:left="743" w:right="20" w:firstLine="754"/>
        <w:spacing w:after="0" w:line="268" w:lineRule="auto"/>
        <w:tabs>
          <w:tab w:leader="none" w:pos="1887"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Issuing Bank, such Letter of Credit is in an initial stated amount less than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3" w:name="page174"/>
    <w:bookmarkEnd w:id="173"/>
    <w:p>
      <w:pPr>
        <w:jc w:val="both"/>
        <w:ind w:left="743" w:firstLine="754"/>
        <w:spacing w:after="0" w:line="255" w:lineRule="auto"/>
        <w:tabs>
          <w:tab w:leader="none" w:pos="1887"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Letter of Credit is to be denominated in a currency other than Dollars (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solely to the extent approved by the applicable Issuing Bank, Letters of Credit may be made by such Issuing Bank in an Alternative Currency;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Jefferies Finance shall only be required to issue Letters of Credit in Dollars);</w:t>
      </w:r>
    </w:p>
    <w:p>
      <w:pPr>
        <w:spacing w:after="0" w:line="174" w:lineRule="exact"/>
        <w:rPr>
          <w:rFonts w:ascii="Times New Roman" w:cs="Times New Roman" w:eastAsia="Times New Roman" w:hAnsi="Times New Roman"/>
          <w:sz w:val="20"/>
          <w:szCs w:val="20"/>
          <w:color w:val="auto"/>
        </w:rPr>
      </w:pPr>
    </w:p>
    <w:p>
      <w:pPr>
        <w:ind w:left="743" w:right="20" w:firstLine="754"/>
        <w:spacing w:after="0" w:line="268" w:lineRule="auto"/>
        <w:tabs>
          <w:tab w:leader="none" w:pos="1887"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 and</w:t>
      </w:r>
    </w:p>
    <w:p>
      <w:pPr>
        <w:spacing w:after="0" w:line="160" w:lineRule="exact"/>
        <w:rPr>
          <w:rFonts w:ascii="Times New Roman" w:cs="Times New Roman" w:eastAsia="Times New Roman" w:hAnsi="Times New Roman"/>
          <w:sz w:val="20"/>
          <w:szCs w:val="20"/>
          <w:color w:val="auto"/>
        </w:rPr>
      </w:pPr>
    </w:p>
    <w:p>
      <w:pPr>
        <w:jc w:val="both"/>
        <w:ind w:left="743" w:firstLine="754"/>
        <w:spacing w:after="0" w:line="244" w:lineRule="auto"/>
        <w:tabs>
          <w:tab w:leader="none" w:pos="1887"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Lender is at such time a Defaulting Lender, unless such Issuing Bank has entered into arrangements, including reallocation of such Lender’s Pro Rata Share of the outstanding Letter of Credit Obligations pursuant to </w:t>
      </w:r>
      <w:r>
        <w:rPr>
          <w:rFonts w:ascii="Times New Roman" w:cs="Times New Roman" w:eastAsia="Times New Roman" w:hAnsi="Times New Roman"/>
          <w:sz w:val="20"/>
          <w:szCs w:val="20"/>
          <w:u w:val="single" w:color="auto"/>
          <w:color w:val="auto"/>
        </w:rPr>
        <w:t>Section 2.19(a)(iii)</w:t>
      </w:r>
      <w:r>
        <w:rPr>
          <w:rFonts w:ascii="Times New Roman" w:cs="Times New Roman" w:eastAsia="Times New Roman" w:hAnsi="Times New Roman"/>
          <w:sz w:val="20"/>
          <w:szCs w:val="20"/>
          <w:color w:val="auto"/>
        </w:rPr>
        <w:t xml:space="preserve"> or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20"/>
          <w:szCs w:val="20"/>
          <w:u w:val="single" w:color="auto"/>
          <w:color w:val="auto"/>
        </w:rPr>
        <w:t>Section 2.19(a)(iii)</w:t>
      </w:r>
      <w:r>
        <w:rPr>
          <w:rFonts w:ascii="Times New Roman" w:cs="Times New Roman" w:eastAsia="Times New Roman" w:hAnsi="Times New Roman"/>
          <w:sz w:val="20"/>
          <w:szCs w:val="20"/>
          <w:color w:val="auto"/>
        </w:rPr>
        <w:t>) with respect to such Lender arising from either the Letter of Credit then proposed to be issued or such Letter of Credit and all other Letter of Credit Obligations as to which such Issuing Bank has actual or potential Fronting Exposure, as it may elect in its sole discretion.</w:t>
      </w:r>
    </w:p>
    <w:p>
      <w:pPr>
        <w:spacing w:after="0" w:line="183"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Bank shall be under any obligation to amend or extend any Letter of Credit if (A) such Issuing Bank would have no obligation at such time to issue the Letter of Credit in its amended form under the terms hereof or (B) the beneficiary of such Letter of Credit does not accept the proposed amendment thereto.</w:t>
      </w:r>
    </w:p>
    <w:p>
      <w:pPr>
        <w:spacing w:after="0" w:line="176" w:lineRule="exact"/>
        <w:rPr>
          <w:rFonts w:ascii="Times New Roman" w:cs="Times New Roman" w:eastAsia="Times New Roman" w:hAnsi="Times New Roman"/>
          <w:sz w:val="20"/>
          <w:szCs w:val="20"/>
          <w:color w:val="auto"/>
        </w:rPr>
      </w:pPr>
    </w:p>
    <w:p>
      <w:pPr>
        <w:jc w:val="both"/>
        <w:ind w:left="3" w:firstLine="1045"/>
        <w:spacing w:after="0" w:line="246" w:lineRule="auto"/>
        <w:tabs>
          <w:tab w:leader="none" w:pos="144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Cash Collateralized or backstopped pursuant to arrangements reasonably acceptable to the applicable Issuing Bank, each standby Letter of Credit shall expire at or prior to the close of business on the earlier of (A) the date twelve months after the date of issuance of such Letter of Credit (or, in the case of any Auto-Renewal Letter of Credit, twelve months after the then current expiration date of such Letter of Credit) and (B) the Letter of Credit Expiration Date (unless arrangements reasonably satisfactory to the Issuing Banks have been entered into).</w:t>
      </w:r>
    </w:p>
    <w:p>
      <w:pPr>
        <w:spacing w:after="0" w:line="183"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 Renewal Letters of Credit</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 w:firstLine="1045"/>
        <w:spacing w:after="0" w:line="241" w:lineRule="auto"/>
        <w:tabs>
          <w:tab w:leader="none" w:pos="1447"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2:00 p.m. (New York City time) at least five Business Days (or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requested Letter of Credit will be denominated (which must be Dollars or, if approved by such Issuing Bank, an Alternative Currency) and (H) such other matters as the applicable Issuing Bank may reasonably request. In the case of a request for an amendment of any outstanding Letter of Credit, the Letter of Credit Application shall specify in form and detail reasonably satisfactory to the applicable Issuing Bank (1) the Letter of Credit to be amended; (2) the proposed date of amendment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319405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2" w:right="339" w:bottom="1440" w:gutter="0" w:footer="0" w:header="0"/>
        </w:sectPr>
      </w:pPr>
    </w:p>
    <w:bookmarkStart w:id="174" w:name="page175"/>
    <w:bookmarkEnd w:id="174"/>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(which shall be a Business Day); and (3) the nature of the proposed amendment. 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w:t>
      </w:r>
    </w:p>
    <w:p>
      <w:pPr>
        <w:spacing w:after="0" w:line="178" w:lineRule="exact"/>
        <w:rPr>
          <w:sz w:val="20"/>
          <w:szCs w:val="20"/>
          <w:color w:val="auto"/>
        </w:rPr>
      </w:pPr>
    </w:p>
    <w:p>
      <w:pPr>
        <w:jc w:val="both"/>
        <w:ind w:left="3" w:firstLine="1045"/>
        <w:spacing w:after="0" w:line="242" w:lineRule="auto"/>
        <w:tabs>
          <w:tab w:leader="none" w:pos="144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 Bank a participation in such Letter of Credit in an amount equal to such Lender’s Pro Rata Share of the amount of such Letter of Credit.</w:t>
      </w:r>
    </w:p>
    <w:p>
      <w:pPr>
        <w:spacing w:after="0" w:line="191" w:lineRule="exact"/>
        <w:rPr>
          <w:rFonts w:ascii="Times New Roman" w:cs="Times New Roman" w:eastAsia="Times New Roman" w:hAnsi="Times New Roman"/>
          <w:sz w:val="20"/>
          <w:szCs w:val="20"/>
          <w:color w:val="auto"/>
        </w:rPr>
      </w:pPr>
    </w:p>
    <w:p>
      <w:pPr>
        <w:jc w:val="both"/>
        <w:ind w:left="3" w:firstLine="1045"/>
        <w:spacing w:after="0" w:line="241" w:lineRule="auto"/>
        <w:tabs>
          <w:tab w:leader="none" w:pos="144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cs="Times New Roman" w:eastAsia="Times New Roman" w:hAnsi="Times New Roman"/>
          <w:sz w:val="20"/>
          <w:szCs w:val="20"/>
          <w:b w:val="1"/>
          <w:bCs w:val="1"/>
          <w:color w:val="auto"/>
        </w:rPr>
        <w:t>Auto-Renewal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Auto-Renewal Letter of Credit shall permit such Issuing Bank to prevent any such renewal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b w:val="1"/>
          <w:bCs w:val="1"/>
          <w:color w:val="auto"/>
        </w:rPr>
        <w:t>Nonrenewal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 Issuing Bank shall (A) permit any such renewal if (1) such Issuing Bank has determined that it would not be permitted at such time to issue such Letter of Credit in its renewed form under the terms hereof (by reason of the provisions of clause (ii) or (iii)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otherwise) or (2) it has received written notice on or before the day that is seven Business Days before the Nonrenewal Notice Date from the Administrative Agent that the Required Revolving Lenders have elected not to permit such renewal or (B) be obligated to permit such renewal if it has received written notice on or before the day that is seven Business Days before the Nonrenewal Notice Date from the Administrative Agent, any Revolving Lender or the Borrower that one or more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applicable Issuing Bank not to permit such renewal.</w:t>
      </w:r>
    </w:p>
    <w:p>
      <w:pPr>
        <w:spacing w:after="0" w:line="186"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6"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 Funding of Participations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3" w:right="20" w:firstLine="1045"/>
        <w:spacing w:after="0" w:line="268" w:lineRule="auto"/>
        <w:tabs>
          <w:tab w:leader="none" w:pos="1447"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applicable Issuing Bank shall notify the Borrower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5" w:name="page176"/>
    <w:bookmarkEnd w:id="175"/>
    <w:p>
      <w:pPr>
        <w:jc w:val="both"/>
        <w:ind w:left="3"/>
        <w:spacing w:after="0"/>
        <w:rPr>
          <w:sz w:val="20"/>
          <w:szCs w:val="20"/>
          <w:color w:val="auto"/>
        </w:rPr>
      </w:pPr>
      <w:r>
        <w:rPr>
          <w:rFonts w:ascii="Times New Roman" w:cs="Times New Roman" w:eastAsia="Times New Roman" w:hAnsi="Times New Roman"/>
          <w:sz w:val="20"/>
          <w:szCs w:val="20"/>
          <w:color w:val="auto"/>
        </w:rPr>
        <w:t>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(New York City time, in the case of drawings in Dollars, or London time, in the case of drawings in an Alternative Currency)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(expressed in the Dollar Amount thereof in the case of an Alternative Currency) (the “</w:t>
      </w:r>
      <w:r>
        <w:rPr>
          <w:rFonts w:ascii="Times New Roman" w:cs="Times New Roman" w:eastAsia="Times New Roman" w:hAnsi="Times New Roman"/>
          <w:sz w:val="20"/>
          <w:szCs w:val="20"/>
          <w:b w:val="1"/>
          <w:bCs w:val="1"/>
          <w:color w:val="auto"/>
        </w:rPr>
        <w:t>Reimbursement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and the amount of such Lender’s Pro Rata Share thereof. In such event, (x) the Borrower shall be deemed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requested a Revolving Loan Borrowing of Base Rate Loans to be disbursed on such date in an amount equal to such Reimbursement Obligation, without regard to the minimum and multiples specified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xml:space="preserve"> for the principal amount of Base Rate Loans and (y) in the case of Reimbursement Obligations denominated in an Alternative Currency (but expressed in its Dollar Amount), the Borrower shall be deemed to have requested on behalf of the applicable Revolving Lender a Revolving Loan Borrowing of (i) prior to the Amendment No. 4 Effective Date, Eurocurrency Rate Loans in Dollars and (ii) on and after the Amendment No. 4 Effective Date, SOFR Loans denominated in Dollars, in each case, to be disbursed on such date in an amount equal to (A) the Dollar Amount of such Reimbursement Obligation, plus (B) in the case of any Reimbursement Obligation denominated in any Alternative Currency (but expressed in its Dollar Amount), an additional amount equal to the amount required to convert Dollars into the currency of the unreimbursed drawing, without regard to the minimum and multiples specified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 xml:space="preserve"> for the principal amount of Base Rate Loans, but subject to the aggregate unused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of a Committed Loan Notice). Any notice given by an Issuing Bank or the Administrative Agent pursuant to this clause (i) shall be given in writing.</w:t>
      </w:r>
    </w:p>
    <w:p>
      <w:pPr>
        <w:spacing w:after="0" w:line="200" w:lineRule="exact"/>
        <w:rPr>
          <w:sz w:val="20"/>
          <w:szCs w:val="20"/>
          <w:color w:val="auto"/>
        </w:rPr>
      </w:pPr>
    </w:p>
    <w:p>
      <w:pPr>
        <w:jc w:val="both"/>
        <w:ind w:left="3" w:firstLine="1045"/>
        <w:spacing w:after="0" w:line="255" w:lineRule="auto"/>
        <w:tabs>
          <w:tab w:leader="none" w:pos="1447"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Lender (including each Revolving Lender acting as an Issuing Bank) shall upon any notice pursuant to </w:t>
      </w:r>
      <w:r>
        <w:rPr>
          <w:rFonts w:ascii="Times New Roman" w:cs="Times New Roman" w:eastAsia="Times New Roman" w:hAnsi="Times New Roman"/>
          <w:sz w:val="19"/>
          <w:szCs w:val="19"/>
          <w:u w:val="single" w:color="auto"/>
          <w:color w:val="auto"/>
        </w:rPr>
        <w:t>Section 2.04(c)(i)</w:t>
      </w:r>
      <w:r>
        <w:rPr>
          <w:rFonts w:ascii="Times New Roman" w:cs="Times New Roman" w:eastAsia="Times New Roman" w:hAnsi="Times New Roman"/>
          <w:sz w:val="19"/>
          <w:szCs w:val="19"/>
          <w:color w:val="auto"/>
        </w:rPr>
        <w:t xml:space="preserve"> make funds available (and the Administrative Agent may apply Cash Collateral provided for this purpose) for the account of the applicable Issuing Bank, in Dollars or the applicable Alternative Currency, at the Administrative Agent’s Office in an amount equal to its Pro Rata Share of the relevant Reimbursement Obligation not later than 3:00 p.m. (New York City time) on the Business Day specified in such notice by the Administrative Agent, whereupon, subject to the provisions of </w:t>
      </w:r>
      <w:r>
        <w:rPr>
          <w:rFonts w:ascii="Times New Roman" w:cs="Times New Roman" w:eastAsia="Times New Roman" w:hAnsi="Times New Roman"/>
          <w:sz w:val="19"/>
          <w:szCs w:val="19"/>
          <w:u w:val="single" w:color="auto"/>
          <w:color w:val="auto"/>
        </w:rPr>
        <w:t>Section 2.04(c)(iii)</w:t>
      </w:r>
      <w:r>
        <w:rPr>
          <w:rFonts w:ascii="Times New Roman" w:cs="Times New Roman" w:eastAsia="Times New Roman" w:hAnsi="Times New Roman"/>
          <w:sz w:val="19"/>
          <w:szCs w:val="19"/>
          <w:color w:val="auto"/>
        </w:rPr>
        <w:t>, each Revolving Lender that so makes funds available shall be deemed to have made a Revolving Loan that is</w:t>
      </w:r>
    </w:p>
    <w:p>
      <w:pPr>
        <w:spacing w:after="0" w:line="4" w:lineRule="exact"/>
        <w:rPr>
          <w:rFonts w:ascii="Times New Roman" w:cs="Times New Roman" w:eastAsia="Times New Roman" w:hAnsi="Times New Roman"/>
          <w:sz w:val="19"/>
          <w:szCs w:val="19"/>
          <w:color w:val="auto"/>
        </w:rPr>
      </w:pPr>
    </w:p>
    <w:p>
      <w:pPr>
        <w:jc w:val="both"/>
        <w:ind w:left="3" w:hanging="3"/>
        <w:spacing w:after="0"/>
        <w:tabs>
          <w:tab w:leader="none" w:pos="32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Letters of Credit denominated in Dollars, a Base Rate Loan and (B) in the case of Letters of Credit denominated in an Alternative Currency, a Eurocurrency Rate Loan in such Alternative Currency with an Interest Period of one month, in each case to the Borrower in such amount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in the case of any Reimbursement Obligation denominated in any Alternative Currency (but expressed in its Dollar Amount), an additional amount equal to the amount required to convert Dollars into the currency of the unreimbursed drawing.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the Administrative Agent shall otherwise agree, any such update shall not take effect until the Business Day immediately following the date on which such update is provided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317500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6" w:name="page177"/>
    <w:bookmarkEnd w:id="176"/>
    <w:p>
      <w:pPr>
        <w:jc w:val="both"/>
        <w:ind w:left="3" w:firstLine="1045"/>
        <w:spacing w:after="0" w:line="242" w:lineRule="auto"/>
        <w:tabs>
          <w:tab w:leader="none" w:pos="144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Reimbursement Obligation that is not fully refinanced by a Revolving Loan Borrowing of Base Rate Loans for Letters of Credit denominated in Dollars or Eurocurrency Rate Loans for Letters of Credit denominated in an Alternative Currency, as the case may be,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Borrower shall be deemed to have incurred from the applicable Issuing Bank a Letter of Credit Borrowing in the amount of the Reimbursement Obligation that is not so refinanced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in the case of any Reimbursement Obligation denominated in an Alternative Currency (but expressed in its Dollar Amount), an additional amount equal to the amount required to convert Dollars into the currency of the unreimbursed drawing, which Letter of Credit Borrowing shall be due and payable on demand (together with interest) and shall bear interest at the Default Rate then applicable to Revolving Loans that are Base Rate Loans. In such event, each Revolving Lender’s payment to the Administrative Agent for the account of such Issuing Bank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its participation in such Letter of Credit Borrowing and shall constitute a Letter of Credit Advance from such Lender in satisfaction of its participation obligation under this Section.</w:t>
      </w:r>
    </w:p>
    <w:p>
      <w:pPr>
        <w:spacing w:after="0" w:line="186"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w:t>
      </w:r>
    </w:p>
    <w:p>
      <w:pPr>
        <w:spacing w:after="0" w:line="176" w:lineRule="exact"/>
        <w:rPr>
          <w:rFonts w:ascii="Times New Roman" w:cs="Times New Roman" w:eastAsia="Times New Roman" w:hAnsi="Times New Roman"/>
          <w:sz w:val="20"/>
          <w:szCs w:val="20"/>
          <w:color w:val="auto"/>
        </w:rPr>
      </w:pPr>
    </w:p>
    <w:p>
      <w:pPr>
        <w:jc w:val="both"/>
        <w:ind w:left="3" w:firstLine="1045"/>
        <w:spacing w:after="0" w:line="242" w:lineRule="auto"/>
        <w:tabs>
          <w:tab w:leader="none" w:pos="144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obligations to make Revolving Loans or Letter of Credit Advances to reimburse an Issuing Bank for amounts drawn under Letters of Credit, as contemplated by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Revolving Lender’s obligation to make Revolving Loans pursuant to this paragraph (c)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a participation in any Letter of Credit shall relieve or otherwise impair the obligation of the Borrower to reimburse an Issuing Bank for the amount of any payment made by such Issuing Bank under such Letter of Credit, together with interest as provided herein.</w:t>
      </w:r>
    </w:p>
    <w:p>
      <w:pPr>
        <w:spacing w:after="0" w:line="191" w:lineRule="exact"/>
        <w:rPr>
          <w:rFonts w:ascii="Times New Roman" w:cs="Times New Roman" w:eastAsia="Times New Roman" w:hAnsi="Times New Roman"/>
          <w:sz w:val="20"/>
          <w:szCs w:val="20"/>
          <w:color w:val="auto"/>
        </w:rPr>
      </w:pPr>
    </w:p>
    <w:p>
      <w:pPr>
        <w:jc w:val="both"/>
        <w:ind w:left="3" w:firstLine="1045"/>
        <w:spacing w:after="0" w:line="254" w:lineRule="auto"/>
        <w:tabs>
          <w:tab w:leader="none" w:pos="1447"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Lender fails to make available to the Administrative Agent for the account of the applicable Issuing Bank any amount required to be paid by such Lender pursuant to the foregoing provisions of this paragraph (c) by the time specified in </w:t>
      </w:r>
      <w:r>
        <w:rPr>
          <w:rFonts w:ascii="Times New Roman" w:cs="Times New Roman" w:eastAsia="Times New Roman" w:hAnsi="Times New Roman"/>
          <w:sz w:val="19"/>
          <w:szCs w:val="19"/>
          <w:u w:val="single" w:color="auto"/>
          <w:color w:val="auto"/>
        </w:rPr>
        <w:t>Section 2.04(c)(ii)</w:t>
      </w:r>
      <w:r>
        <w:rPr>
          <w:rFonts w:ascii="Times New Roman" w:cs="Times New Roman" w:eastAsia="Times New Roman" w:hAnsi="Times New Roman"/>
          <w:sz w:val="19"/>
          <w:szCs w:val="19"/>
          <w:color w:val="auto"/>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cs="Times New Roman" w:eastAsia="Times New Roman" w:hAnsi="Times New Roman"/>
          <w:sz w:val="19"/>
          <w:szCs w:val="19"/>
          <w:i w:val="1"/>
          <w:iCs w:val="1"/>
          <w:color w:val="auto"/>
        </w:rPr>
        <w:t xml:space="preserve">per annum </w:t>
      </w:r>
      <w:r>
        <w:rPr>
          <w:rFonts w:ascii="Times New Roman" w:cs="Times New Roman" w:eastAsia="Times New Roman" w:hAnsi="Times New Roman"/>
          <w:sz w:val="19"/>
          <w:szCs w:val="19"/>
          <w:color w:val="auto"/>
        </w:rPr>
        <w:t>equal to the greater of the Federal Funds Rate from time to time in effect and a rate determined by such Issuing Bank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accordance with banking industry rules on interbank compensation, </w:t>
      </w:r>
      <w:r>
        <w:rPr>
          <w:rFonts w:ascii="Times New Roman" w:cs="Times New Roman" w:eastAsia="Times New Roman" w:hAnsi="Times New Roman"/>
          <w:sz w:val="19"/>
          <w:szCs w:val="19"/>
          <w:i w:val="1"/>
          <w:iCs w:val="1"/>
          <w:u w:val="single" w:color="auto"/>
          <w:color w:val="auto"/>
        </w:rPr>
        <w:t>plus</w:t>
      </w:r>
      <w:r>
        <w:rPr>
          <w:rFonts w:ascii="Times New Roman" w:cs="Times New Roman" w:eastAsia="Times New Roman" w:hAnsi="Times New Roman"/>
          <w:sz w:val="19"/>
          <w:szCs w:val="19"/>
          <w:color w:val="auto"/>
        </w:rPr>
        <w:t xml:space="preserve"> 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clause</w:t>
      </w:r>
    </w:p>
    <w:p>
      <w:pPr>
        <w:ind w:left="343" w:hanging="343"/>
        <w:spacing w:after="0"/>
        <w:tabs>
          <w:tab w:leader="none" w:pos="34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321310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7" w:name="page178"/>
    <w:bookmarkEnd w:id="177"/>
    <w:p>
      <w:pPr>
        <w:ind w:left="403" w:hanging="403"/>
        <w:spacing w:after="0"/>
        <w:tabs>
          <w:tab w:leader="none" w:pos="40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 w:firstLine="1045"/>
        <w:spacing w:after="0" w:line="242" w:lineRule="auto"/>
        <w:tabs>
          <w:tab w:leader="none" w:pos="14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if the Administrative Agent receives for the account of such Issuing Bank any payment in respect of the related Reimbursement Obligation or, in the case of any Reimbursement Obligation denominated in any Alternative Currency (but expressed in its Dollar Amount), an additional amount equal to the amount required to convert Dollars into the currency of the unreimbursed drawing or, in each case,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w:t>
      </w:r>
    </w:p>
    <w:p>
      <w:pPr>
        <w:spacing w:after="0" w:line="191" w:lineRule="exact"/>
        <w:rPr>
          <w:rFonts w:ascii="Times New Roman" w:cs="Times New Roman" w:eastAsia="Times New Roman" w:hAnsi="Times New Roman"/>
          <w:sz w:val="20"/>
          <w:szCs w:val="20"/>
          <w:color w:val="auto"/>
        </w:rPr>
      </w:pPr>
    </w:p>
    <w:p>
      <w:pPr>
        <w:jc w:val="both"/>
        <w:ind w:left="3" w:firstLine="1045"/>
        <w:spacing w:after="0" w:line="244" w:lineRule="auto"/>
        <w:tabs>
          <w:tab w:leader="none" w:pos="14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applicable Issuing Bank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is required to be returned under any of the circumstances described in Section 11.06 (including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by such Lender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Federal Funds Rate from time to time in effect. The obligations of the Revolving Lenders under this clause (ii) shall survive the payment in full of the Obligations and the termination of this Agreement.</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40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 to reimburse the Issuing Banks for each drawing under each Letter of Credit and to repay each Letter of Credit Borrowing shall be absolute, unconditional and irrevocable, and shall be paid strictly in accordance with the terms of this Agreement under all circumstances, including the following:</w:t>
      </w:r>
    </w:p>
    <w:p>
      <w:pPr>
        <w:spacing w:after="0" w:line="176" w:lineRule="exact"/>
        <w:rPr>
          <w:rFonts w:ascii="Times New Roman" w:cs="Times New Roman" w:eastAsia="Times New Roman" w:hAnsi="Times New Roman"/>
          <w:sz w:val="20"/>
          <w:szCs w:val="20"/>
          <w:color w:val="auto"/>
        </w:rPr>
      </w:pPr>
    </w:p>
    <w:p>
      <w:pPr>
        <w:ind w:left="3" w:right="40" w:firstLine="1045"/>
        <w:spacing w:after="0" w:line="268" w:lineRule="auto"/>
        <w:tabs>
          <w:tab w:leader="none" w:pos="14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or any term or provision thereof, any Loan Document, or any other agreement or instrument relating thereto;</w:t>
      </w:r>
    </w:p>
    <w:p>
      <w:pPr>
        <w:spacing w:after="0" w:line="160" w:lineRule="exact"/>
        <w:rPr>
          <w:rFonts w:ascii="Times New Roman" w:cs="Times New Roman" w:eastAsia="Times New Roman" w:hAnsi="Times New Roman"/>
          <w:sz w:val="20"/>
          <w:szCs w:val="20"/>
          <w:color w:val="auto"/>
        </w:rPr>
      </w:pPr>
    </w:p>
    <w:p>
      <w:pPr>
        <w:jc w:val="both"/>
        <w:ind w:left="3" w:firstLine="1045"/>
        <w:spacing w:after="0" w:line="249" w:lineRule="auto"/>
        <w:tabs>
          <w:tab w:leader="none" w:pos="14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w:t>
      </w:r>
    </w:p>
    <w:p>
      <w:pPr>
        <w:spacing w:after="0" w:line="178"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rFonts w:ascii="Times New Roman" w:cs="Times New Roman" w:eastAsia="Times New Roman" w:hAnsi="Times New Roman"/>
          <w:sz w:val="20"/>
          <w:szCs w:val="20"/>
          <w:color w:val="auto"/>
        </w:rPr>
      </w:pPr>
    </w:p>
    <w:p>
      <w:pPr>
        <w:jc w:val="both"/>
        <w:ind w:left="3" w:firstLine="1045"/>
        <w:spacing w:after="0" w:line="246" w:lineRule="auto"/>
        <w:tabs>
          <w:tab w:leader="none" w:pos="14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314960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78" w:name="page179"/>
    <w:bookmarkEnd w:id="178"/>
    <w:p>
      <w:pPr>
        <w:ind w:left="760" w:firstLine="1045"/>
        <w:spacing w:after="0" w:line="268" w:lineRule="auto"/>
        <w:tabs>
          <w:tab w:leader="none" w:pos="220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release or non-perfection of any collateral, or any release or amendment or waiver of or consent to departure from any guarantee, for all or any of the Obligations of the Borrower in respect of such Letter of Credit; or</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Borrower.</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w:t>
      </w:r>
    </w:p>
    <w:p>
      <w:pPr>
        <w:spacing w:after="0" w:line="178" w:lineRule="exact"/>
        <w:rPr>
          <w:sz w:val="20"/>
          <w:szCs w:val="20"/>
          <w:color w:val="auto"/>
        </w:rPr>
      </w:pPr>
    </w:p>
    <w:p>
      <w:pPr>
        <w:jc w:val="both"/>
        <w:ind w:firstLine="757"/>
        <w:spacing w:after="0" w:line="253" w:lineRule="auto"/>
        <w:tabs>
          <w:tab w:leader="none" w:pos="1144"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Role of Issuing Banks</w:t>
      </w:r>
      <w:r>
        <w:rPr>
          <w:rFonts w:ascii="Times New Roman" w:cs="Times New Roman" w:eastAsia="Times New Roman" w:hAnsi="Times New Roman"/>
          <w:sz w:val="19"/>
          <w:szCs w:val="19"/>
          <w:color w:val="auto"/>
        </w:rPr>
        <w:t xml:space="preserve">. Each Revolving Lender and the Borrower agrees that, in paying any drawing under a Letter of Credit, the Issuing Banks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assumption is not intended to, and shall not, preclude the Borrower from pursuing such rights and remedies as it may have against the beneficiary or transferee at law or under any other agreement. None of the Issuing Banks, any Agent Affiliate nor any of the respective correspondents, participants or assignees of the Issuing Banks shall be liable or responsible for any of the matters described in </w:t>
      </w:r>
      <w:r>
        <w:rPr>
          <w:rFonts w:ascii="Times New Roman" w:cs="Times New Roman" w:eastAsia="Times New Roman" w:hAnsi="Times New Roman"/>
          <w:sz w:val="19"/>
          <w:szCs w:val="19"/>
          <w:u w:val="single" w:color="auto"/>
          <w:color w:val="auto"/>
        </w:rPr>
        <w:t>Section 2.04(e)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jc w:val="both"/>
        <w:ind w:firstLine="757"/>
        <w:spacing w:after="0" w:line="253" w:lineRule="auto"/>
        <w:tabs>
          <w:tab w:leader="none" w:pos="115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applicable Issuing Bank and the Borrower when a standby Letter of Credit is issued, the rules of the “International Standby Practices 1998” published by the Institute of International Banking Law &amp; Practice (or such later version thereof as may be in effect at the time of issuance) shall apply to such standby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9" w:name="page180"/>
    <w:bookmarkEnd w:id="179"/>
    <w:p>
      <w:pPr>
        <w:ind w:left="-8" w:right="20" w:firstLine="757"/>
        <w:spacing w:after="0" w:line="268" w:lineRule="auto"/>
        <w:tabs>
          <w:tab w:leader="none" w:pos="1136"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Letter of Credit Application</w:t>
      </w:r>
      <w:r>
        <w:rPr>
          <w:rFonts w:ascii="Times New Roman" w:cs="Times New Roman" w:eastAsia="Times New Roman" w:hAnsi="Times New Roman"/>
          <w:sz w:val="20"/>
          <w:szCs w:val="20"/>
          <w:color w:val="auto"/>
        </w:rPr>
        <w:t>. In the event of any conflict between the terms of this Agreement and the terms of any Letter of Credit Application, the terms hereof shall control.</w:t>
      </w:r>
    </w:p>
    <w:p>
      <w:pPr>
        <w:spacing w:after="0" w:line="160"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136"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Each day (or at such other intervals as the Administrative Agent and the applicable Issuing Bank shall 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83" w:lineRule="exact"/>
        <w:rPr>
          <w:rFonts w:ascii="Times New Roman" w:cs="Times New Roman" w:eastAsia="Times New Roman" w:hAnsi="Times New Roman"/>
          <w:sz w:val="20"/>
          <w:szCs w:val="20"/>
          <w:color w:val="auto"/>
        </w:rPr>
      </w:pPr>
    </w:p>
    <w:p>
      <w:pPr>
        <w:ind w:left="1152" w:hanging="403"/>
        <w:spacing w:after="0"/>
        <w:tabs>
          <w:tab w:leader="none" w:pos="1152"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4" w:lineRule="exact"/>
        <w:rPr>
          <w:rFonts w:ascii="Times New Roman" w:cs="Times New Roman" w:eastAsia="Times New Roman" w:hAnsi="Times New Roman"/>
          <w:sz w:val="20"/>
          <w:szCs w:val="20"/>
          <w:color w:val="auto"/>
        </w:rPr>
      </w:pPr>
    </w:p>
    <w:p>
      <w:pPr>
        <w:jc w:val="both"/>
        <w:ind w:left="-8" w:firstLine="757"/>
        <w:spacing w:after="0" w:line="241" w:lineRule="auto"/>
        <w:tabs>
          <w:tab w:leader="none" w:pos="1136"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and Removal of an Issuing Bank</w:t>
      </w:r>
      <w:r>
        <w:rPr>
          <w:rFonts w:ascii="Times New Roman" w:cs="Times New Roman" w:eastAsia="Times New Roman" w:hAnsi="Times New Roman"/>
          <w:sz w:val="20"/>
          <w:szCs w:val="20"/>
          <w:color w:val="auto"/>
        </w:rPr>
        <w:t>. Any Issuing Bank may resign as an Issuing Bank upon sixty days’ prior written notice to the Administrative Agent, the Lenders and the Borrower. Any Issuing Bank may be replaced at any time by written agreement among the Borrower, the Administrative Agent, the Issuing Bank being replaced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will be required if the Issuing Bank being replaced has no Letters of Credit or Reimbursement Obligations with respect thereto outstanding) and the successor Issuing Bank. The Administrative Agent shall notify the Lenders of any such replacement of an Issuing Bank. At the time any such 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193" w:lineRule="exact"/>
        <w:rPr>
          <w:rFonts w:ascii="Times New Roman" w:cs="Times New Roman" w:eastAsia="Times New Roman" w:hAnsi="Times New Roman"/>
          <w:sz w:val="20"/>
          <w:szCs w:val="20"/>
          <w:color w:val="auto"/>
        </w:rPr>
      </w:pPr>
    </w:p>
    <w:p>
      <w:pPr>
        <w:jc w:val="both"/>
        <w:ind w:left="-8" w:firstLine="757"/>
        <w:spacing w:after="0" w:line="244" w:lineRule="auto"/>
        <w:tabs>
          <w:tab w:leader="none" w:pos="1136"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Account</w:t>
      </w:r>
      <w:r>
        <w:rPr>
          <w:rFonts w:ascii="Times New Roman" w:cs="Times New Roman" w:eastAsia="Times New Roman" w:hAnsi="Times New Roman"/>
          <w:sz w:val="20"/>
          <w:szCs w:val="20"/>
          <w:color w:val="auto"/>
        </w:rPr>
        <w:t>. At any time and from time to time (i) after the occurrence and during the continuance of an Event of Default, the Administrative Agent, at the direction or with the consent of the Required Lenders, may require the Borrower, to deliver to the Administrative Agent such amount of cash as is equal to 103% of the aggregate Stated Amount of all Letters of Credit at any time outstanding (whether or not any beneficiary under any Letter of Credit shall have drawn or be entitled at such time to draw thereunder) and</w:t>
      </w:r>
    </w:p>
    <w:p>
      <w:pPr>
        <w:spacing w:after="0" w:line="3" w:lineRule="exact"/>
        <w:rPr>
          <w:rFonts w:ascii="Times New Roman" w:cs="Times New Roman" w:eastAsia="Times New Roman" w:hAnsi="Times New Roman"/>
          <w:sz w:val="20"/>
          <w:szCs w:val="20"/>
          <w:color w:val="auto"/>
        </w:rPr>
      </w:pPr>
    </w:p>
    <w:p>
      <w:pPr>
        <w:jc w:val="both"/>
        <w:ind w:left="-8" w:firstLine="8"/>
        <w:spacing w:after="0" w:line="239" w:lineRule="auto"/>
        <w:tabs>
          <w:tab w:leader="none" w:pos="30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prepayment under </w:t>
      </w:r>
      <w:r>
        <w:rPr>
          <w:rFonts w:ascii="Times New Roman" w:cs="Times New Roman" w:eastAsia="Times New Roman" w:hAnsi="Times New Roman"/>
          <w:sz w:val="20"/>
          <w:szCs w:val="20"/>
          <w:u w:val="single" w:color="auto"/>
          <w:color w:val="auto"/>
        </w:rPr>
        <w:t>Section 2.07(b)(iv)</w:t>
      </w:r>
      <w:r>
        <w:rPr>
          <w:rFonts w:ascii="Times New Roman" w:cs="Times New Roman" w:eastAsia="Times New Roman" w:hAnsi="Times New Roman"/>
          <w:sz w:val="20"/>
          <w:szCs w:val="20"/>
          <w:color w:val="auto"/>
        </w:rPr>
        <w:t xml:space="preserve"> or to the extent any amount of a required prepayment under any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2.07(b)(i)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2.07(b)(iii)</w:t>
      </w:r>
      <w:r>
        <w:rPr>
          <w:rFonts w:ascii="Times New Roman" w:cs="Times New Roman" w:eastAsia="Times New Roman" w:hAnsi="Times New Roman"/>
          <w:sz w:val="20"/>
          <w:szCs w:val="20"/>
          <w:color w:val="auto"/>
        </w:rPr>
        <w:t xml:space="preserve"> remains after prepayment of all outstanding Loans and Letter of Credit Obligations and termination of the Commitments, as contemplated by </w:t>
      </w:r>
      <w:r>
        <w:rPr>
          <w:rFonts w:ascii="Times New Roman" w:cs="Times New Roman" w:eastAsia="Times New Roman" w:hAnsi="Times New Roman"/>
          <w:sz w:val="20"/>
          <w:szCs w:val="20"/>
          <w:u w:val="single" w:color="auto"/>
          <w:color w:val="auto"/>
        </w:rPr>
        <w:t>Section 2.07(d)</w:t>
      </w:r>
      <w:r>
        <w:rPr>
          <w:rFonts w:ascii="Times New Roman" w:cs="Times New Roman" w:eastAsia="Times New Roman" w:hAnsi="Times New Roman"/>
          <w:sz w:val="20"/>
          <w:szCs w:val="20"/>
          <w:color w:val="auto"/>
        </w:rPr>
        <w:t>, the Administrative Agent will retain such amount as may then be required to be retained, such amounts in each case under clauses (i) and (ii) above to be held by the Administrative Agent in a Cash Collateral Account. The Borrower hereby grants (or, if registration thereof is required in any applicable jurisdiction, shall grant) to the Administrative Agent, for the benefit of the Issuing Banks and the Lenders, a Lien upon and security interest in the Cash Collateral Account and all amounts held therein from time to time as security for Letter of Credit Usage, and for application to the Borrower’s Letter of Credit 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323215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180" w:name="page181"/>
    <w:bookmarkEnd w:id="180"/>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 equal to the Reimbursement Obligation created as a result of such payment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 Administrative Agent, for the benefit of the Borrower, to be applied against the Obligations in such order and manner as the Administrative Agent may direct. If the Borrower is required to provide Cash Collateral pursuant to this </w:t>
      </w:r>
      <w:r>
        <w:rPr>
          <w:rFonts w:ascii="Times New Roman" w:cs="Times New Roman" w:eastAsia="Times New Roman" w:hAnsi="Times New Roman"/>
          <w:sz w:val="19"/>
          <w:szCs w:val="19"/>
          <w:u w:val="single" w:color="auto"/>
          <w:color w:val="auto"/>
        </w:rPr>
        <w:t>Section 2.04(l)</w:t>
      </w:r>
      <w:r>
        <w:rPr>
          <w:rFonts w:ascii="Times New Roman" w:cs="Times New Roman" w:eastAsia="Times New Roman" w:hAnsi="Times New Roman"/>
          <w:sz w:val="19"/>
          <w:szCs w:val="19"/>
          <w:color w:val="auto"/>
        </w:rPr>
        <w:t xml:space="preserve">, such amount (to the extent not applied as aforesaid) shall be returned to the Borrower on demand,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such return</w:t>
      </w:r>
    </w:p>
    <w:p>
      <w:pPr>
        <w:spacing w:after="0" w:line="6" w:lineRule="exact"/>
        <w:rPr>
          <w:sz w:val="20"/>
          <w:szCs w:val="20"/>
          <w:color w:val="auto"/>
        </w:rPr>
      </w:pPr>
    </w:p>
    <w:p>
      <w:pPr>
        <w:jc w:val="both"/>
        <w:ind w:firstLine="8"/>
        <w:spacing w:after="0" w:line="255" w:lineRule="auto"/>
        <w:tabs>
          <w:tab w:leader="none" w:pos="34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(1) the aggregate principal dollar amount of all Revolving Loans outstanding at such time and (2) the aggregate Letter of Credit Usage at such time would not exceed the aggregate Revolving Commitments at such time and (B) no Event of Default shall have occurred and be continuing at such time. If the Borrower is required to provide Cash Collateral pursuant to </w:t>
      </w:r>
      <w:r>
        <w:rPr>
          <w:rFonts w:ascii="Times New Roman" w:cs="Times New Roman" w:eastAsia="Times New Roman" w:hAnsi="Times New Roman"/>
          <w:sz w:val="19"/>
          <w:szCs w:val="19"/>
          <w:u w:val="single" w:color="auto"/>
          <w:color w:val="auto"/>
        </w:rPr>
        <w:t>Sections 2.07(b)(i)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2.07(b)(ii)</w:t>
      </w:r>
      <w:r>
        <w:rPr>
          <w:rFonts w:ascii="Times New Roman" w:cs="Times New Roman" w:eastAsia="Times New Roman" w:hAnsi="Times New Roman"/>
          <w:sz w:val="19"/>
          <w:szCs w:val="19"/>
          <w:color w:val="auto"/>
        </w:rPr>
        <w:t xml:space="preserve">, as contemplated by </w:t>
      </w:r>
      <w:r>
        <w:rPr>
          <w:rFonts w:ascii="Times New Roman" w:cs="Times New Roman" w:eastAsia="Times New Roman" w:hAnsi="Times New Roman"/>
          <w:sz w:val="19"/>
          <w:szCs w:val="19"/>
          <w:u w:val="single" w:color="auto"/>
          <w:color w:val="auto"/>
        </w:rPr>
        <w:t>Section 2.07(d)</w:t>
      </w:r>
      <w:r>
        <w:rPr>
          <w:rFonts w:ascii="Times New Roman" w:cs="Times New Roman" w:eastAsia="Times New Roman" w:hAnsi="Times New Roman"/>
          <w:sz w:val="19"/>
          <w:szCs w:val="19"/>
          <w:color w:val="auto"/>
        </w:rPr>
        <w:t xml:space="preserve">, such amount shall be returned to the Borrower on demand;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such return, all 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w:t>
      </w:r>
    </w:p>
    <w:p>
      <w:pPr>
        <w:spacing w:after="0" w:line="173" w:lineRule="exact"/>
        <w:rPr>
          <w:rFonts w:ascii="Times New Roman" w:cs="Times New Roman" w:eastAsia="Times New Roman" w:hAnsi="Times New Roman"/>
          <w:sz w:val="19"/>
          <w:szCs w:val="19"/>
          <w:color w:val="auto"/>
        </w:rPr>
      </w:pPr>
    </w:p>
    <w:p>
      <w:pPr>
        <w:jc w:val="both"/>
        <w:ind w:firstLine="757"/>
        <w:spacing w:after="0" w:line="246" w:lineRule="auto"/>
        <w:tabs>
          <w:tab w:leader="none" w:pos="114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an Issuing Bank</w:t>
      </w:r>
      <w:r>
        <w:rPr>
          <w:rFonts w:ascii="Times New Roman" w:cs="Times New Roman" w:eastAsia="Times New Roman" w:hAnsi="Times New Roman"/>
          <w:sz w:val="20"/>
          <w:szCs w:val="20"/>
          <w:color w:val="auto"/>
        </w:rPr>
        <w:t>.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w:t>
      </w:r>
    </w:p>
    <w:p>
      <w:pPr>
        <w:spacing w:after="0" w:line="18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Conversion/Continuation</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760" w:firstLine="745"/>
        <w:spacing w:after="0" w:line="253" w:lineRule="auto"/>
        <w:tabs>
          <w:tab w:leader="none" w:pos="195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Each conversion of Loans from one Type to another, and each continuation of Eurocurrency Rate Loans or SOFR Loans shall be made upon the Borrower’s irrevocable notice to the Administrative Agent, which may only be given in writing;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Revolving Loans denominated in an Alternative Currency may not be converted into Base Rate Loans or SOFR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Loans. Each such notice must be received by the Administrative Agent not later than 1:00 p.m. (New York City time) on the requested date of any conversion of Eurocurrency Rate Loans or SOFR Loans to Base Rate Loans and not later than 2:00 p.m. (New York City time, in the case of Loans denominated in Dollars, or London time, in the case of Loans denominated in an Alternative Currency) three Business Days prior to the requested date of continuation of any Eurocurrency Rate Loans or SOFR Loans or any conversion of Base Rate Loans to Eurocurrency Rate Loans or SOFR Loans. Each notice by the Borrower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2.05(a)</w:t>
      </w:r>
      <w:r>
        <w:rPr>
          <w:rFonts w:ascii="Times New Roman" w:cs="Times New Roman" w:eastAsia="Times New Roman" w:hAnsi="Times New Roman"/>
          <w:sz w:val="19"/>
          <w:szCs w:val="19"/>
          <w:color w:val="auto"/>
        </w:rPr>
        <w:t xml:space="preserve"> must be delivered to the Administrative Agent in the form of a Conversion/Continuation Notice, appropriately completed and signed by a Responsible Officer of the Borrower. Each conversion to or continuation of SOFR Loans or Eurocurrency Rate Loans denominated in Dollars shall be in a principal amount of $500,000 or a whole multiple of $100,000 in excess thereof. Each conversion of Eurocurrency Rate Loans denominated in an Alternative Currency shall be in a Dollar Amount of $500,000 or a whole multiple of a Dollar Amount of $100,000 in excess thereof. Each conversion to Base Rate Loans shall be in a principal amount of $500,000 or a whole multiple of $100,000 in excess thereof. Each Conversion/Continuation Notice shall specify (i) whether the Borrower is requesting a conversion of Loans from one Type to the other, or a continuation of Eurocurrency Rate Loans or SOFR Loans, as applicable, (ii) the requested date of the conversion or continuation, as the case may be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81" w:name="page182"/>
    <w:bookmarkEnd w:id="181"/>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shall be a Business Day), (iii) the principal amount of Loans to be converted or continued, (iv) the Class of Loans to be converted or continued, (v) the Type of Loans to which such existing Loans are to be converted, if applicable, and (vi) if applicable, the duration of the Interest Period with respect thereto. If (x) with respect to any Eurocurrency Rate Loans or SOFR Loans denominated in Dollars, the Borrower fails to give a timely notice requesting a conversion or continuation, then the applicable Loans shall be converted to Base Rate Loans and (y) with respect to any Eurocurrency Rate Loans denominated in any Alternative Currency, the Borrower fails to give a timely notice requesting a conversion or continuation, then the applicable tranche of Loans shall be converted to a Eurocurrency Rate Loan with an Interest Period of one month. Any such automatic conversion or continuation pursuant to the immediately preceding sentence shall be effective as of the last day of the Interest Period then in effect with respect to the applicable Eurocurrency Rate Loans or SOFR Loans. If the Borrower requests a conversion to, or continuation of Eurocurrency Rate Loans or SOFR Loans, as applicable, in any such Conversion/Continuation Notice, but fails to specify an Interest Period, it will be deemed to have specified an Interest Period of one month.</w:t>
      </w:r>
    </w:p>
    <w:p>
      <w:pPr>
        <w:spacing w:after="0" w:line="200" w:lineRule="exact"/>
        <w:rPr>
          <w:sz w:val="20"/>
          <w:szCs w:val="20"/>
          <w:color w:val="auto"/>
        </w:rPr>
      </w:pPr>
    </w:p>
    <w:p>
      <w:pPr>
        <w:jc w:val="both"/>
        <w:ind w:left="760" w:firstLine="745"/>
        <w:spacing w:after="0"/>
        <w:tabs>
          <w:tab w:leader="none" w:pos="198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2"/>
          <w:szCs w:val="22"/>
          <w:color w:val="auto"/>
        </w:rPr>
      </w:pPr>
    </w:p>
    <w:p>
      <w:pPr>
        <w:jc w:val="both"/>
        <w:ind w:left="760" w:firstLine="745"/>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as otherwise provided herein, a Eurocurrency Rate Loan or SOFR Loan may be continued or converted only on the last day of an Interest Period for such Eurocurrency Rate Loan or SOFR Loan, as applicable. Upon the occurrence and during the continuation of an Event of Default, the Administrative Agent or the Required Lenders may require by notice to the Borrower that no Loans denominated in Dollars may be converted to or continued as (i) prior to the Amendment No. 4 Effective Date, Eurocurrency Rate Loans or (ii) on and after the Amendment No. 4 Effective Date, SOFR Loans. This Section shall not apply to Swing Line Loans, which may not be converted or continued.</w:t>
      </w:r>
    </w:p>
    <w:p>
      <w:pPr>
        <w:spacing w:after="0" w:line="18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(a) Unless the Administrative Agent shall have received notice from a Lender prior to the date of any Borrowing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applicable Loans comprising such Borrowing and (b) in the case of such Lender, the Overnight Rate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applicable Loan included in such Borrowing. Any payment by the Borrower shall be without prejudice to any claim the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82" w:name="page183"/>
    <w:bookmarkEnd w:id="182"/>
    <w:p>
      <w:pPr>
        <w:jc w:val="both"/>
        <w:ind w:left="-757" w:firstLine="757"/>
        <w:spacing w:after="0"/>
        <w:tabs>
          <w:tab w:leader="none" w:pos="38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holding Delayed Draw Commitments prior to the date of any Borrowing of Delayed Draw Term Loans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its sole discretion, in reliance upon such assumption, make available to the Borrower on such date a corresponding amount. In the event that the Administrative Agent has elected to make available to the Borrower any portion of the Delayed Draw Term Loans and any Lender with a Delayed Draw Commitment has failed to fund its portion thereof on the date and time required by this Agreement (any such Lender, the “</w:t>
      </w:r>
      <w:r>
        <w:rPr>
          <w:rFonts w:ascii="Times New Roman" w:cs="Times New Roman" w:eastAsia="Times New Roman" w:hAnsi="Times New Roman"/>
          <w:sz w:val="20"/>
          <w:szCs w:val="20"/>
          <w:b w:val="1"/>
          <w:bCs w:val="1"/>
          <w:color w:val="auto"/>
        </w:rPr>
        <w:t>Unfunded DDTL Commitment Lender</w:t>
      </w:r>
      <w:r>
        <w:rPr>
          <w:rFonts w:ascii="Times New Roman" w:cs="Times New Roman" w:eastAsia="Times New Roman" w:hAnsi="Times New Roman"/>
          <w:sz w:val="20"/>
          <w:szCs w:val="20"/>
          <w:color w:val="auto"/>
        </w:rPr>
        <w:t>”, any such Delayed Draw Term Loans provided by the Administrative Agent, the “</w:t>
      </w:r>
      <w:r>
        <w:rPr>
          <w:rFonts w:ascii="Times New Roman" w:cs="Times New Roman" w:eastAsia="Times New Roman" w:hAnsi="Times New Roman"/>
          <w:sz w:val="20"/>
          <w:szCs w:val="20"/>
          <w:b w:val="1"/>
          <w:bCs w:val="1"/>
          <w:color w:val="auto"/>
        </w:rPr>
        <w:t>Fronted Delayed Draw Term Loans</w:t>
      </w:r>
      <w:r>
        <w:rPr>
          <w:rFonts w:ascii="Times New Roman" w:cs="Times New Roman" w:eastAsia="Times New Roman" w:hAnsi="Times New Roman"/>
          <w:sz w:val="20"/>
          <w:szCs w:val="20"/>
          <w:color w:val="auto"/>
        </w:rPr>
        <w:t>”), until the time that such Unfunded DDTL Commitment Lender has funded its portion of any Fronted Delayed Draw Term Loans and reimbursed the Administrative Agent, the Administrative Agent shall be entitled to receive any interest accruing applicable to such unfunded Fronted Delayed Draw Term Loans and shall be entitled to retain the Delayed Draw Upfront Fee applicable to such Delayed Draw Commitments. Upon funding by the relevant Unfunded DDTL Commitment Lender of any Fronted Delayed Draw Term Loans, (x) the proceeds of such funded Fronted Delayed Draw Term Loans shall be retained by the Administrative Agent, (y) the Administrative Agent shall remit the Delayed Draw Upfront Fee to such Unfunded DDTL Commitment Lender and (z) interest applicable to such funded Fronted Delayed Draw Term Loans commencing with the date of such funding shall accrue to such Unfunded DDTL Commitment Lender. Additionally, if any Unfunded DDTL Commitment Lender becomes a Defaulting Lender, then such Unfunded DDTL Commitment Lender’s Fronted Delayed Draw Term Loans may be assigned (or in if the Unfunded DDTL Commitment Lender becomes a Defaulting Lender pursuant to clause (d) of the definition thereof, shall be assigned) to the Administrative Agent without any further action by any party and the Administrative Agent shall be the “Lender” with respect to such Fronted Delayed Draw Term Loans for all purposes hereof and the Administrative Agent shall be entitled to retain the Delayed Draw Upfront Fee.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clause. To the extent that the Administrative Agent has funded Fronted Delayed Draw Term Loans on behalf of any Unfunded DDTL Commitment Lender, such Unfunded DDTL Commitment Lender shall not constitute a Defaulting Lender pursuant to clause (a) of the definition thereof.</w:t>
      </w:r>
    </w:p>
    <w:p>
      <w:pPr>
        <w:spacing w:after="0" w:line="196"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403" w:hanging="403"/>
        <w:spacing w:after="0"/>
        <w:tabs>
          <w:tab w:leader="none" w:pos="40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 w:right="20" w:firstLine="1045"/>
        <w:spacing w:after="0" w:line="253" w:lineRule="auto"/>
        <w:tabs>
          <w:tab w:leader="none" w:pos="1447"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Administrative Agent in the form of a Prepayment Notice, at any time or from time to time, voluntarily prepay the Loans in whole or in part without premium or penalty, subject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w:t>
      </w:r>
    </w:p>
    <w:p>
      <w:pPr>
        <w:spacing w:after="0" w:line="189" w:lineRule="exact"/>
        <w:rPr>
          <w:rFonts w:ascii="Times New Roman" w:cs="Times New Roman" w:eastAsia="Times New Roman" w:hAnsi="Times New Roman"/>
          <w:sz w:val="20"/>
          <w:szCs w:val="20"/>
          <w:color w:val="auto"/>
        </w:rPr>
      </w:pPr>
    </w:p>
    <w:p>
      <w:pPr>
        <w:jc w:val="both"/>
        <w:ind w:left="1503" w:firstLine="743"/>
        <w:spacing w:after="0"/>
        <w:tabs>
          <w:tab w:leader="none" w:pos="2684"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Prepayment Notice must be received by the Administrative Agent (1) not later than 1:00 p.m. (New York City time, in the case of Loans denominated in Dollars, or London time, in the case of Loans denominated in an Alternative Currency) three Business Days prior to any date of prepayment of Eurocurrency Rate Loans or SOFR Loans, (2) not later than 1:00 p.m. (New York City time) one Business Day prior to any date of prepayment of Base Rate Loans and (3) not later than 1:00 p.m. (New York City time) one Business Day prior to any date of prepayment of Swing Line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318135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83" w:name="page184"/>
    <w:bookmarkEnd w:id="183"/>
    <w:p>
      <w:pPr>
        <w:jc w:val="both"/>
        <w:ind w:left="2260" w:firstLine="743"/>
        <w:spacing w:after="0"/>
        <w:tabs>
          <w:tab w:leader="none" w:pos="3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prepayment of (x) SOFR Loans or Eurocurrency Rate Loans denominated in Dollars shall be in a principal amount of $1,000,000 or a whole multiple of $100,000 in excess thereof or, if less, the entire principal amount thereof then outstanding, and (y) Eurocurrency Rate Loans denominated in an Alternative Currency, shall be in a principal Dollar Amount of $1,000,000 or a whole multiple of the Dollar Amount of $100,000 in excess thereof or, if less, the entire principal amount thereof then outstanding;</w:t>
      </w:r>
    </w:p>
    <w:p>
      <w:pPr>
        <w:spacing w:after="0" w:line="202" w:lineRule="exact"/>
        <w:rPr>
          <w:rFonts w:ascii="Times New Roman" w:cs="Times New Roman" w:eastAsia="Times New Roman" w:hAnsi="Times New Roman"/>
          <w:sz w:val="22"/>
          <w:szCs w:val="22"/>
          <w:color w:val="auto"/>
        </w:rPr>
      </w:pPr>
    </w:p>
    <w:p>
      <w:pPr>
        <w:jc w:val="both"/>
        <w:ind w:left="2260" w:firstLine="743"/>
        <w:spacing w:after="0" w:line="241" w:lineRule="auto"/>
        <w:tabs>
          <w:tab w:leader="none" w:pos="346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prepayment of Base Rate Loans shall be in a principal amount of $1,000,000 or a whole multiple of $100,000 in excess thereof or, if less, the entire principal amount thereof then outstanding (it being understood that Base Rate Loans shall be denominated in Dollars only); and</w:t>
      </w:r>
    </w:p>
    <w:p>
      <w:pPr>
        <w:spacing w:after="0" w:line="201" w:lineRule="exact"/>
        <w:rPr>
          <w:rFonts w:ascii="Times New Roman" w:cs="Times New Roman" w:eastAsia="Times New Roman" w:hAnsi="Times New Roman"/>
          <w:sz w:val="22"/>
          <w:szCs w:val="22"/>
          <w:color w:val="auto"/>
        </w:rPr>
      </w:pPr>
    </w:p>
    <w:p>
      <w:pPr>
        <w:jc w:val="both"/>
        <w:ind w:left="2260" w:firstLine="743"/>
        <w:spacing w:after="0"/>
        <w:tabs>
          <w:tab w:leader="none" w:pos="34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prepayment of Initial Term Loans or Delayed Draw Term Loans made on or prior to the date that is six months after the Closing Date shall be accompanied by the payment of the fee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2.11(g)</w:t>
      </w:r>
      <w:r>
        <w:rPr>
          <w:rFonts w:ascii="Times New Roman" w:cs="Times New Roman" w:eastAsia="Times New Roman" w:hAnsi="Times New Roman"/>
          <w:sz w:val="20"/>
          <w:szCs w:val="20"/>
          <w:color w:val="auto"/>
        </w:rPr>
        <w:t>, if applicable; notwithstanding anything herein to the contrary, none of the Initial Term Loans, Delayed Draw Term Loans or the 2021 Incremental Term Loans may be prepaid at the option of the Borrower prior to the First Prepayment Date.</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Each Prepayment Notice shall specify the date and amount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“non-consenting” Lenders may be repaid on a non-pro rata basis in connection with an Extension Offer or a Refinancing Amendment. Any prepayment of Loans shall be subject to </w:t>
      </w:r>
      <w:r>
        <w:rPr>
          <w:rFonts w:ascii="Times New Roman" w:cs="Times New Roman" w:eastAsia="Times New Roman" w:hAnsi="Times New Roman"/>
          <w:sz w:val="20"/>
          <w:szCs w:val="20"/>
          <w:u w:val="single" w:color="auto"/>
          <w:color w:val="auto"/>
        </w:rPr>
        <w:t>Section 2.07(c)</w:t>
      </w:r>
      <w:r>
        <w:rPr>
          <w:rFonts w:ascii="Times New Roman" w:cs="Times New Roman" w:eastAsia="Times New Roman" w:hAnsi="Times New Roman"/>
          <w:sz w:val="20"/>
          <w:szCs w:val="20"/>
          <w:color w:val="auto"/>
        </w:rPr>
        <w:t xml:space="preserve">. Revolving Loans, Incremental Revolving Loans and Swing Line Loans prepaid pursuant to this subsection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may be reborrowed, subject to the terms and conditions of this Agreement.</w:t>
      </w:r>
    </w:p>
    <w:p>
      <w:pPr>
        <w:spacing w:after="0" w:line="196" w:lineRule="exact"/>
        <w:rPr>
          <w:sz w:val="20"/>
          <w:szCs w:val="20"/>
          <w:color w:val="auto"/>
        </w:rPr>
      </w:pPr>
    </w:p>
    <w:p>
      <w:pPr>
        <w:jc w:val="both"/>
        <w:ind w:left="1500" w:firstLine="754"/>
        <w:spacing w:after="0" w:line="266" w:lineRule="auto"/>
        <w:tabs>
          <w:tab w:leader="none" w:pos="26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Notwithstanding anything to the contrary contained in this Agreement, the Borrower may rescind, in whole or in part, any notice of prepayment under </w:t>
      </w:r>
      <w:r>
        <w:rPr>
          <w:rFonts w:ascii="Times New Roman" w:cs="Times New Roman" w:eastAsia="Times New Roman" w:hAnsi="Times New Roman"/>
          <w:sz w:val="19"/>
          <w:szCs w:val="19"/>
          <w:u w:val="single" w:color="auto"/>
          <w:color w:val="auto"/>
        </w:rPr>
        <w:t>Section 2.07(a)(i)</w:t>
      </w:r>
      <w:r>
        <w:rPr>
          <w:rFonts w:ascii="Times New Roman" w:cs="Times New Roman" w:eastAsia="Times New Roman" w:hAnsi="Times New Roman"/>
          <w:sz w:val="19"/>
          <w:szCs w:val="19"/>
          <w:color w:val="auto"/>
        </w:rPr>
        <w:t>, if such prepayment would have resulted from a refinancing of all or a portion of the applicable Facility which refinancing shall not be consummated or shall otherwise be delayed.</w:t>
      </w:r>
    </w:p>
    <w:p>
      <w:pPr>
        <w:spacing w:after="0" w:line="177" w:lineRule="exact"/>
        <w:rPr>
          <w:rFonts w:ascii="Times New Roman" w:cs="Times New Roman" w:eastAsia="Times New Roman" w:hAnsi="Times New Roman"/>
          <w:sz w:val="20"/>
          <w:szCs w:val="20"/>
          <w:color w:val="auto"/>
        </w:rPr>
      </w:pPr>
    </w:p>
    <w:p>
      <w:pPr>
        <w:jc w:val="both"/>
        <w:ind w:left="1500" w:firstLine="754"/>
        <w:spacing w:after="0" w:line="241" w:lineRule="auto"/>
        <w:tabs>
          <w:tab w:leader="none" w:pos="26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Voluntary prepayments of Term Loans permitted hereunder shall be applied in a manner determined at the discretion of the Borrower and specified in the notice of prepayment (and absent such direction, in direct order of maturity).</w:t>
      </w:r>
    </w:p>
    <w:p>
      <w:pPr>
        <w:spacing w:after="0" w:line="201"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73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Notwithstanding anything in any Loan Document to the contrary (including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 the Borrower may prepay the outstanding Term Loans of any Lender on a non</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at or below par with the consent of only such Lender and (B) the Borrower may prepay Term Loans of one or more Classes below par on a non</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in accordance with the auction procedures set forth on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no Event of Default has occurred and is continuing or would result therefrom and if the proceeds of any Revolving Loans are used to finance such prepayment, immediately after giving effect to such prepayment and on a Pro Forma Basis for such prepayment, the Borrower’s Liquidity equals or exceeds an amount equal to 33% of the Revolving Commitments (whether or not drawn) as of the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4" w:name="page185"/>
    <w:bookmarkEnd w:id="184"/>
    <w:p>
      <w:pPr>
        <w:ind w:left="1180" w:hanging="435"/>
        <w:spacing w:after="0"/>
        <w:tabs>
          <w:tab w:leader="none" w:pos="11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2"/>
          <w:szCs w:val="22"/>
          <w:color w:val="auto"/>
        </w:rPr>
      </w:pPr>
    </w:p>
    <w:p>
      <w:pPr>
        <w:jc w:val="both"/>
        <w:ind w:left="740" w:firstLine="754"/>
        <w:spacing w:after="0"/>
        <w:tabs>
          <w:tab w:leader="none" w:pos="192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xml:space="preserve">. Within five Business Days after financial statements have been delivered or are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the related Compliance Certificate has been delivered or is required to be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in each case, commencing with the first full fiscal year ending after the Closing Date, the Borrower shall, subject to </w:t>
      </w:r>
      <w:r>
        <w:rPr>
          <w:rFonts w:ascii="Times New Roman" w:cs="Times New Roman" w:eastAsia="Times New Roman" w:hAnsi="Times New Roman"/>
          <w:sz w:val="20"/>
          <w:szCs w:val="20"/>
          <w:u w:val="single" w:color="auto"/>
          <w:color w:val="auto"/>
        </w:rPr>
        <w:t>Sections 2.07(b)(v)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(b)(vi)</w:t>
      </w:r>
      <w:r>
        <w:rPr>
          <w:rFonts w:ascii="Times New Roman" w:cs="Times New Roman" w:eastAsia="Times New Roman" w:hAnsi="Times New Roman"/>
          <w:sz w:val="20"/>
          <w:szCs w:val="20"/>
          <w:color w:val="auto"/>
        </w:rPr>
        <w:t>, prepay an aggregate principal amount of Term Loans equal to,</w:t>
      </w:r>
    </w:p>
    <w:p>
      <w:pPr>
        <w:spacing w:after="0" w:line="202" w:lineRule="exact"/>
        <w:rPr>
          <w:rFonts w:ascii="Times New Roman" w:cs="Times New Roman" w:eastAsia="Times New Roman" w:hAnsi="Times New Roman"/>
          <w:sz w:val="22"/>
          <w:szCs w:val="22"/>
          <w:color w:val="auto"/>
        </w:rPr>
      </w:pPr>
    </w:p>
    <w:p>
      <w:pPr>
        <w:ind w:left="1500" w:firstLine="743"/>
        <w:spacing w:after="0" w:line="244" w:lineRule="auto"/>
        <w:tabs>
          <w:tab w:leader="none" w:pos="2680"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ECF Prepayment Percentage of Excess Cash Flow, if any, for the fiscal year covered by such financial statements, </w:t>
      </w:r>
      <w:r>
        <w:rPr>
          <w:rFonts w:ascii="Times New Roman" w:cs="Times New Roman" w:eastAsia="Times New Roman" w:hAnsi="Times New Roman"/>
          <w:sz w:val="20"/>
          <w:szCs w:val="20"/>
          <w:i w:val="1"/>
          <w:iCs w:val="1"/>
          <w:u w:val="single" w:color="auto"/>
          <w:color w:val="auto"/>
        </w:rPr>
        <w:t>minus</w:t>
      </w:r>
    </w:p>
    <w:p>
      <w:pPr>
        <w:spacing w:after="0" w:line="196" w:lineRule="exact"/>
        <w:rPr>
          <w:rFonts w:ascii="Times New Roman" w:cs="Times New Roman" w:eastAsia="Times New Roman" w:hAnsi="Times New Roman"/>
          <w:sz w:val="22"/>
          <w:szCs w:val="22"/>
          <w:color w:val="auto"/>
        </w:rPr>
      </w:pPr>
    </w:p>
    <w:p>
      <w:pPr>
        <w:ind w:left="2680" w:hanging="437"/>
        <w:spacing w:after="0"/>
        <w:tabs>
          <w:tab w:leader="none" w:pos="2680"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sum of,</w:t>
      </w:r>
    </w:p>
    <w:p>
      <w:pPr>
        <w:spacing w:after="0" w:line="192" w:lineRule="exact"/>
        <w:rPr>
          <w:sz w:val="20"/>
          <w:szCs w:val="20"/>
          <w:color w:val="auto"/>
        </w:rPr>
      </w:pPr>
    </w:p>
    <w:p>
      <w:pPr>
        <w:jc w:val="both"/>
        <w:ind w:left="1500" w:firstLine="743"/>
        <w:spacing w:after="0" w:line="246" w:lineRule="auto"/>
        <w:tabs>
          <w:tab w:leader="none" w:pos="26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voluntary prepayments of Term Loans and any other term loans that are Pari Passu Lien Debt (including (x) those made through debt buybacks and in the case of below-par repurchases in an amount equal to the discounted amount actually paid in cash in respect of such below-par repurchase and (y) payments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or other applicable “yank-a-bank” provisions (solely to the extent any Term Loans or other Pari Passu Lien Debt is retired instead of assigned)),</w:t>
      </w:r>
    </w:p>
    <w:p>
      <w:pPr>
        <w:spacing w:after="0" w:line="183" w:lineRule="exact"/>
        <w:rPr>
          <w:rFonts w:ascii="Times New Roman" w:cs="Times New Roman" w:eastAsia="Times New Roman" w:hAnsi="Times New Roman"/>
          <w:sz w:val="20"/>
          <w:szCs w:val="20"/>
          <w:color w:val="auto"/>
        </w:rPr>
      </w:pPr>
    </w:p>
    <w:p>
      <w:pPr>
        <w:jc w:val="both"/>
        <w:ind w:left="1500" w:firstLine="743"/>
        <w:spacing w:after="0" w:line="253" w:lineRule="auto"/>
        <w:tabs>
          <w:tab w:leader="none" w:pos="26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voluntary payments and prepayments of Revolving Loans and any other revolving loans that are Pari Passu Lien Debt, in each case to the extent accompanied by a corresponding permanent reduction in commitments,</w:t>
      </w:r>
    </w:p>
    <w:p>
      <w:pPr>
        <w:spacing w:after="0" w:line="176" w:lineRule="exact"/>
        <w:rPr>
          <w:rFonts w:ascii="Times New Roman" w:cs="Times New Roman" w:eastAsia="Times New Roman" w:hAnsi="Times New Roman"/>
          <w:sz w:val="20"/>
          <w:szCs w:val="20"/>
          <w:color w:val="auto"/>
        </w:rPr>
      </w:pPr>
    </w:p>
    <w:p>
      <w:pPr>
        <w:ind w:left="2640" w:hanging="397"/>
        <w:spacing w:after="0"/>
        <w:tabs>
          <w:tab w:leader="none" w:pos="2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voluntary prepayments of Junior Lien Debt,</w:t>
      </w:r>
    </w:p>
    <w:p>
      <w:pPr>
        <w:spacing w:after="0" w:line="214" w:lineRule="exact"/>
        <w:rPr>
          <w:rFonts w:ascii="Times New Roman" w:cs="Times New Roman" w:eastAsia="Times New Roman" w:hAnsi="Times New Roman"/>
          <w:sz w:val="20"/>
          <w:szCs w:val="20"/>
          <w:color w:val="auto"/>
        </w:rPr>
      </w:pPr>
    </w:p>
    <w:p>
      <w:pPr>
        <w:ind w:left="2640" w:hanging="397"/>
        <w:spacing w:after="0"/>
        <w:tabs>
          <w:tab w:leader="none" w:pos="2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voluntary prepayments of Indebtedness secured by Liens on Excluded Assets, and</w:t>
      </w:r>
    </w:p>
    <w:p>
      <w:pPr>
        <w:spacing w:after="0" w:line="214" w:lineRule="exact"/>
        <w:rPr>
          <w:rFonts w:ascii="Times New Roman" w:cs="Times New Roman" w:eastAsia="Times New Roman" w:hAnsi="Times New Roman"/>
          <w:sz w:val="20"/>
          <w:szCs w:val="20"/>
          <w:color w:val="auto"/>
        </w:rPr>
      </w:pPr>
    </w:p>
    <w:p>
      <w:pPr>
        <w:ind w:left="2640" w:hanging="397"/>
        <w:spacing w:after="0"/>
        <w:tabs>
          <w:tab w:leader="none" w:pos="2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voluntary prepayments of Indebtedness of Restricted Subsidiaries that are not Subsidiary</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each case, (I) during such fiscal year or following the end of such fiscal year and prior to the date of such calculation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such amount following the end of such fiscal year, such amount is not included in any calculation pursuant to this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for the subsequent fiscal year), (II) to the extent such prepayments are not funded with the proceeds of Funded Debt and (III) including, for the avoidance of doubt, assignments of such Indebtedness to the Borrower or a Restricted Subsidiary (and prepayments of such Indebtedness below par) to the extent of the amount paid in connection with such assignment (or prepayment);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payment shall be required if such amount is equal to or less than $10,000,000;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if at the time that any such prepayment would be required, the Borrower is required to repay or repurchase or to offer to repurchase or repay Pari Passu Lien Debt pursuant to the terms of the documentation governing such Indebtedness with all or a portion of such Excess Cash Flow (such Pari Passu Lien Debt required to be repaid or repurchased or to be offered to be so repaid or repurchased, “</w:t>
      </w:r>
      <w:r>
        <w:rPr>
          <w:rFonts w:ascii="Times New Roman" w:cs="Times New Roman" w:eastAsia="Times New Roman" w:hAnsi="Times New Roman"/>
          <w:sz w:val="20"/>
          <w:szCs w:val="20"/>
          <w:b w:val="1"/>
          <w:bCs w:val="1"/>
          <w:color w:val="auto"/>
        </w:rPr>
        <w:t>Other Applicable ECF Indebtedness</w:t>
      </w:r>
      <w:r>
        <w:rPr>
          <w:rFonts w:ascii="Times New Roman" w:cs="Times New Roman" w:eastAsia="Times New Roman" w:hAnsi="Times New Roman"/>
          <w:sz w:val="20"/>
          <w:szCs w:val="20"/>
          <w:color w:val="auto"/>
        </w:rPr>
        <w:t xml:space="preserve">”), then the Borrower may apply such Excess Cash Flow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prepayment of the Term Loans and to the repayment or re-purchase of Other Applicable ECF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 xml:space="preserve"> shall be reduced accordingly (for purposes of this proviso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shall be determined on the basis of the aggregate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316230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85" w:name="page186"/>
    <w:bookmarkEnd w:id="185"/>
    <w:p>
      <w:pPr>
        <w:jc w:val="both"/>
        <w:spacing w:after="0" w:line="249" w:lineRule="auto"/>
        <w:rPr>
          <w:sz w:val="20"/>
          <w:szCs w:val="20"/>
          <w:color w:val="auto"/>
        </w:rPr>
      </w:pPr>
      <w:r>
        <w:rPr>
          <w:rFonts w:ascii="Times New Roman" w:cs="Times New Roman" w:eastAsia="Times New Roman" w:hAnsi="Times New Roman"/>
          <w:sz w:val="20"/>
          <w:szCs w:val="20"/>
          <w:color w:val="auto"/>
        </w:rPr>
        <w:t>principal amount of the Term Loans and Other Applicable ECF Indebtedness at such time, with it being agreed that the portion of Excess Cash Flow allocated to the Other Applicable ECF Indebtedness shall not exceed the amount of such Excess Cash Flow required to be allocated to the Other Applicable ECF Indebtedness pursuant to the terms thereof, and the remaining amount, if any, of such net proceeds shall be allocated to the Term Loans in accordance with the terms hereof).</w:t>
      </w:r>
    </w:p>
    <w:p>
      <w:pPr>
        <w:spacing w:after="0" w:line="192" w:lineRule="exact"/>
        <w:rPr>
          <w:sz w:val="20"/>
          <w:szCs w:val="20"/>
          <w:color w:val="auto"/>
        </w:rPr>
      </w:pPr>
    </w:p>
    <w:p>
      <w:pPr>
        <w:ind w:left="1920" w:hanging="426"/>
        <w:spacing w:after="0"/>
        <w:tabs>
          <w:tab w:leader="none" w:pos="19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Asset Sales; Casualty Events</w:t>
      </w:r>
      <w:r>
        <w:rPr>
          <w:rFonts w:ascii="Times New Roman" w:cs="Times New Roman" w:eastAsia="Times New Roman" w:hAnsi="Times New Roman"/>
          <w:sz w:val="20"/>
          <w:szCs w:val="20"/>
          <w:color w:val="auto"/>
        </w:rPr>
        <w:t>. If the Borrower or any Loan Party,</w:t>
      </w:r>
    </w:p>
    <w:p>
      <w:pPr>
        <w:spacing w:after="0" w:line="203" w:lineRule="exact"/>
        <w:rPr>
          <w:rFonts w:ascii="Times New Roman" w:cs="Times New Roman" w:eastAsia="Times New Roman" w:hAnsi="Times New Roman"/>
          <w:sz w:val="22"/>
          <w:szCs w:val="22"/>
          <w:color w:val="auto"/>
        </w:rPr>
      </w:pPr>
    </w:p>
    <w:p>
      <w:pPr>
        <w:ind w:left="2700" w:hanging="457"/>
        <w:spacing w:after="0"/>
        <w:tabs>
          <w:tab w:leader="none" w:pos="270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Disposes of any property or assets constituting Collateral pursuant to the General Asset Sale</w:t>
      </w: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Basket, or</w:t>
      </w:r>
    </w:p>
    <w:p>
      <w:pPr>
        <w:spacing w:after="0" w:line="206" w:lineRule="exact"/>
        <w:rPr>
          <w:rFonts w:ascii="Times New Roman" w:cs="Times New Roman" w:eastAsia="Times New Roman" w:hAnsi="Times New Roman"/>
          <w:sz w:val="22"/>
          <w:szCs w:val="22"/>
          <w:color w:val="auto"/>
        </w:rPr>
      </w:pPr>
    </w:p>
    <w:p>
      <w:pPr>
        <w:ind w:left="2680" w:hanging="437"/>
        <w:spacing w:after="0"/>
        <w:tabs>
          <w:tab w:leader="none" w:pos="26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Casualty Event occurs with respect to property or assets constituting Collateral,</w:t>
      </w:r>
    </w:p>
    <w:p>
      <w:pPr>
        <w:spacing w:after="0" w:line="1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which in either case results in the realization or receipt by the Borrower or such Loan Party of Net Cash Proceeds, the Borrower shall prepay on or prior to the date which is ten Business Days after the date of the realization or receipt of such Net Cash Proceeds in excess of $10,000,000 for any transaction or series of related transactions, subject to </w:t>
      </w:r>
      <w:r>
        <w:rPr>
          <w:rFonts w:ascii="Times New Roman" w:cs="Times New Roman" w:eastAsia="Times New Roman" w:hAnsi="Times New Roman"/>
          <w:sz w:val="20"/>
          <w:szCs w:val="20"/>
          <w:u w:val="single" w:color="auto"/>
          <w:color w:val="auto"/>
        </w:rPr>
        <w:t>Sections 2.07(b)(v)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2.07(b)(vi)</w:t>
      </w:r>
      <w:r>
        <w:rPr>
          <w:rFonts w:ascii="Times New Roman" w:cs="Times New Roman" w:eastAsia="Times New Roman" w:hAnsi="Times New Roman"/>
          <w:sz w:val="20"/>
          <w:szCs w:val="20"/>
          <w:color w:val="auto"/>
        </w:rPr>
        <w:t xml:space="preserve">, an aggregate principal amount of Term Loans equal to the Asset Sale Prepayment Percentage of such Net Cash Proceeds realized or received;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at the time that any such prepayment would be required, the Borrower is required to repay or repurchase or to offer to repurchase or repay Pari Passu Lien Debt pursuant to the terms of the documentation governing such Indebtedness with the proceeds of such Disposition or Casualty Event (such Pari Passu Lien Debt required to be repaid or repurchased or to be offered to be so repaid or repurchased, “</w:t>
      </w:r>
      <w:r>
        <w:rPr>
          <w:rFonts w:ascii="Times New Roman" w:cs="Times New Roman" w:eastAsia="Times New Roman" w:hAnsi="Times New Roman"/>
          <w:sz w:val="20"/>
          <w:szCs w:val="20"/>
          <w:b w:val="1"/>
          <w:bCs w:val="1"/>
          <w:color w:val="auto"/>
        </w:rPr>
        <w:t>Other Applicable Indebtedness</w:t>
      </w:r>
      <w:r>
        <w:rPr>
          <w:rFonts w:ascii="Times New Roman" w:cs="Times New Roman" w:eastAsia="Times New Roman" w:hAnsi="Times New Roman"/>
          <w:sz w:val="20"/>
          <w:szCs w:val="20"/>
          <w:color w:val="auto"/>
        </w:rPr>
        <w:t xml:space="preserve">”), then the Borrower may apply such Net Cash Proceeds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prepayment of the Term Loans and to the repayment or repurchase of Other Applicable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 xml:space="preserve"> shall be reduced accordingly (for purposes of this proviso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shall be determined on the basis of the aggregate outstanding principal amount of the Term Loans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to the extent the holders of Other Applicable Indebtedness decline to have such indebtedness repurchased or prepaid, the declined amount shall promptly (and in any event within ten Business Days after the date of such rejection) be applied to prepay the Term Loans in accordance with the terms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no prepayment shall be required pursuant to this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 xml:space="preserve"> with respect to such portion of such Net Cash Proceeds that the Borrower shall have, on or prior to such date, given written notice to the Administrative Agent of its intent to reinvest in accordance with this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With respect to any Net Cash Proceeds realized or received with respect to any Disposition or any Casualty Event that, in either case, is subject to the application of the foregoing provisions of this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 xml:space="preserve">, at the option of the Borrower or any of its Restricted Subsidiaries, the Borrower or any of its Restricted Subsidiaries may (in lieu of making a prepayment pursuant to the foregoing provisions) elect to (I) reinvest an amount equal to all or any portion of such Net Cash Proceeds in assets used or useful for the business of the Borrower and its Restricted Subsidiaries (1) within eighteen months following receipt of such Net Cash Proceeds or (2) if the Borrower or any of its Restricted Subsidiaries enters into a legally binding commitment to reinvest such Net Cash Proceeds within eighteen months following receipt of such Net Cash Proceeds, no later than one hundred and eighty days after the end of such eighteen month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317500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6" w:right="339" w:bottom="1440" w:gutter="0" w:footer="0" w:header="0"/>
        </w:sectPr>
      </w:pPr>
    </w:p>
    <w:bookmarkStart w:id="186" w:name="page187"/>
    <w:bookmarkEnd w:id="186"/>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portion of such amount is no longer intended to be or cannot be so reinvested at any time after delivery of a notice of reinvestment election, subject to </w:t>
      </w:r>
      <w:r>
        <w:rPr>
          <w:rFonts w:ascii="Times New Roman" w:cs="Times New Roman" w:eastAsia="Times New Roman" w:hAnsi="Times New Roman"/>
          <w:sz w:val="19"/>
          <w:szCs w:val="19"/>
          <w:u w:val="single" w:color="auto"/>
          <w:color w:val="auto"/>
        </w:rPr>
        <w:t>Section 2.07(b)(v)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2.07(b)(vi)</w:t>
      </w:r>
      <w:r>
        <w:rPr>
          <w:rFonts w:ascii="Times New Roman" w:cs="Times New Roman" w:eastAsia="Times New Roman" w:hAnsi="Times New Roman"/>
          <w:sz w:val="19"/>
          <w:szCs w:val="19"/>
          <w:color w:val="auto"/>
        </w:rPr>
        <w:t>, an amount equal to the Asset Sale Prepayment Percentage of any such Net Cash Proceeds shall be applied within five Business Days after the Borrower or such Loan Party reasonably determines that such amount is no longer intended to be or cannot be so reinvested to the prepayment of the Term Loans and Other Applicable Indebtedness as set forth above or (II) apply such Net Cash Proceeds to permanently repay indebtedness of Non-Loan Parties.</w:t>
      </w:r>
    </w:p>
    <w:p>
      <w:pPr>
        <w:spacing w:after="0" w:line="183" w:lineRule="exact"/>
        <w:rPr>
          <w:sz w:val="20"/>
          <w:szCs w:val="20"/>
          <w:color w:val="auto"/>
        </w:rPr>
      </w:pPr>
    </w:p>
    <w:p>
      <w:pPr>
        <w:jc w:val="both"/>
        <w:ind w:left="740" w:firstLine="754"/>
        <w:spacing w:after="0"/>
        <w:tabs>
          <w:tab w:leader="none" w:pos="193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If any of the Borrower or any Restricted Subsidiary incurs or issues any Funded Debt (A) which is not expressly permitted to be incurred or issued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(B) that constitutes Credit Agreement Refinancing Indebtedness, the Borrower shall prepay an aggregate principal amount of Term Loans equal to 100% of all Net Cash Proceeds received therefrom on or prior to the date which is five Business Days after the receipt of such Net Cash Proceeds (in the case of clause (A)) and substantially concurrently with the incurrence of such Credit Agreement Refinancing Indebtedness (in the case of clause (B)).</w:t>
      </w:r>
    </w:p>
    <w:p>
      <w:pPr>
        <w:spacing w:after="0" w:line="197" w:lineRule="exact"/>
        <w:rPr>
          <w:rFonts w:ascii="Times New Roman" w:cs="Times New Roman" w:eastAsia="Times New Roman" w:hAnsi="Times New Roman"/>
          <w:sz w:val="22"/>
          <w:szCs w:val="22"/>
          <w:color w:val="auto"/>
        </w:rPr>
      </w:pPr>
    </w:p>
    <w:p>
      <w:pPr>
        <w:jc w:val="both"/>
        <w:ind w:left="740" w:firstLine="754"/>
        <w:spacing w:after="0"/>
        <w:tabs>
          <w:tab w:leader="none" w:pos="192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Revolving Loan Repayments</w:t>
      </w:r>
      <w:r>
        <w:rPr>
          <w:rFonts w:ascii="Times New Roman" w:cs="Times New Roman" w:eastAsia="Times New Roman" w:hAnsi="Times New Roman"/>
          <w:sz w:val="20"/>
          <w:szCs w:val="20"/>
          <w:color w:val="auto"/>
        </w:rPr>
        <w:t xml:space="preserve">. The Borrower shall from time to time prepay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the Swing Line Loans and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the Revolving Loans to the extent necessary so that the Total Utilization of Revolving Commitments shall not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any time exceed the Revolving Commitments then in effect; provided that, to the extent such excess amount is greater than the aggregate principal dollar amount of Swing Line Loans and Revolving Loans outstanding immediately prior to the application of such prepayment, the amount so prepaid shall be retained by the Administrative Agent and held in the Cash Collateral Account as cover for Letter of Credit Usage, as more particularly described in </w:t>
      </w:r>
      <w:r>
        <w:rPr>
          <w:rFonts w:ascii="Times New Roman" w:cs="Times New Roman" w:eastAsia="Times New Roman" w:hAnsi="Times New Roman"/>
          <w:sz w:val="20"/>
          <w:szCs w:val="20"/>
          <w:u w:val="single" w:color="auto"/>
          <w:color w:val="auto"/>
        </w:rPr>
        <w:t>Section 2.04(l)</w:t>
      </w:r>
      <w:r>
        <w:rPr>
          <w:rFonts w:ascii="Times New Roman" w:cs="Times New Roman" w:eastAsia="Times New Roman" w:hAnsi="Times New Roman"/>
          <w:sz w:val="20"/>
          <w:szCs w:val="20"/>
          <w:color w:val="auto"/>
        </w:rPr>
        <w:t>, and thereupon such cash shall be deemed to reduce the aggregate Letter of Credit Usage by an equivalent amount.</w:t>
      </w:r>
    </w:p>
    <w:p>
      <w:pPr>
        <w:spacing w:after="0" w:line="204" w:lineRule="exact"/>
        <w:rPr>
          <w:rFonts w:ascii="Times New Roman" w:cs="Times New Roman" w:eastAsia="Times New Roman" w:hAnsi="Times New Roman"/>
          <w:sz w:val="22"/>
          <w:szCs w:val="22"/>
          <w:color w:val="auto"/>
        </w:rPr>
      </w:pPr>
    </w:p>
    <w:p>
      <w:pPr>
        <w:jc w:val="both"/>
        <w:ind w:left="740" w:firstLine="754"/>
        <w:spacing w:after="0" w:line="238" w:lineRule="auto"/>
        <w:tabs>
          <w:tab w:leader="none" w:pos="196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xml:space="preserve">. (A) Except as may otherwise be set forth in any Refinancing Amendment, Extension Amendment or any Incremental Amendment, each prepayment of Term Loans pursuant to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2"/>
          <w:szCs w:val="22"/>
          <w:color w:val="auto"/>
        </w:rPr>
      </w:pPr>
    </w:p>
    <w:p>
      <w:pPr>
        <w:jc w:val="both"/>
        <w:ind w:left="740" w:firstLine="5"/>
        <w:spacing w:after="0"/>
        <w:tabs>
          <w:tab w:leader="none" w:pos="1037" w:val="left"/>
        </w:tabs>
        <w:numPr>
          <w:ilvl w:val="0"/>
          <w:numId w:val="1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shall be applied ratably to each Class of Term Loans then outstanding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prepayment of Term Loans with the Net Cash Proceeds of Credit Agreement Refinancing Indebtedness shall be applied solely to each applicable Class of Refinanced Debt), (B) with respect to each Class of Loans (other than Revolving Loans or Swing Line Loans), each prepayment pursuant to clauses (i) through (iii) of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shall be applied to remaining scheduled installments of principal thereof following the date of prepayment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as directed by the Borrower and specified in the notice of prepayment (and absent such direction, in direct order of maturity of the remaining installments under the applicable Class of Loans), and (C) each such prepayment shall be paid to the Lenders in accordance with their respective Pro Rata Shares of such prepayment.</w:t>
      </w:r>
    </w:p>
    <w:p>
      <w:pPr>
        <w:spacing w:after="0" w:line="201" w:lineRule="exact"/>
        <w:rPr>
          <w:rFonts w:ascii="Times New Roman" w:cs="Times New Roman" w:eastAsia="Times New Roman" w:hAnsi="Times New Roman"/>
          <w:sz w:val="20"/>
          <w:szCs w:val="20"/>
          <w:u w:val="single" w:color="auto"/>
          <w:color w:val="auto"/>
        </w:rPr>
      </w:pPr>
    </w:p>
    <w:p>
      <w:pPr>
        <w:ind w:left="1920" w:hanging="426"/>
        <w:spacing w:after="0"/>
        <w:tabs>
          <w:tab w:leader="none" w:pos="192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Foreign and Tax Considerations</w:t>
      </w:r>
      <w:r>
        <w:rPr>
          <w:rFonts w:ascii="Times New Roman" w:cs="Times New Roman" w:eastAsia="Times New Roman" w:hAnsi="Times New Roman"/>
          <w:sz w:val="20"/>
          <w:szCs w:val="20"/>
          <w:color w:val="auto"/>
        </w:rPr>
        <w:t xml:space="preserve">. Notwithstanding any other provisions of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2"/>
          <w:szCs w:val="22"/>
          <w:color w:val="auto"/>
        </w:rPr>
      </w:pPr>
    </w:p>
    <w:p>
      <w:pPr>
        <w:jc w:val="both"/>
        <w:ind w:left="1500" w:firstLine="743"/>
        <w:spacing w:after="0"/>
        <w:tabs>
          <w:tab w:leader="none" w:pos="2680"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to the extent that any or all of the Net Cash Proceeds of any Disposition by a Foreign Subsidiary giving rise to a prepayment event pursuant to </w:t>
      </w:r>
      <w:r>
        <w:rPr>
          <w:rFonts w:ascii="Times New Roman" w:cs="Times New Roman" w:eastAsia="Times New Roman" w:hAnsi="Times New Roman"/>
          <w:sz w:val="20"/>
          <w:szCs w:val="20"/>
          <w:u w:val="single" w:color="auto"/>
          <w:color w:val="auto"/>
        </w:rPr>
        <w:t>Section 2.07(b)(ii)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color w:val="auto"/>
        </w:rPr>
        <w:t>Foreign Disposition</w:t>
      </w:r>
      <w:r>
        <w:rPr>
          <w:rFonts w:ascii="Times New Roman" w:cs="Times New Roman" w:eastAsia="Times New Roman" w:hAnsi="Times New Roman"/>
          <w:sz w:val="20"/>
          <w:szCs w:val="20"/>
          <w:color w:val="auto"/>
        </w:rPr>
        <w:t>”), the Net Cash Proceeds of any Casualty Event from a Foreign Subsidiary (a “</w:t>
      </w:r>
      <w:r>
        <w:rPr>
          <w:rFonts w:ascii="Times New Roman" w:cs="Times New Roman" w:eastAsia="Times New Roman" w:hAnsi="Times New Roman"/>
          <w:sz w:val="20"/>
          <w:szCs w:val="20"/>
          <w:b w:val="1"/>
          <w:bCs w:val="1"/>
          <w:color w:val="auto"/>
        </w:rPr>
        <w:t>Foreign Casualty Event</w:t>
      </w:r>
      <w:r>
        <w:rPr>
          <w:rFonts w:ascii="Times New Roman" w:cs="Times New Roman" w:eastAsia="Times New Roman" w:hAnsi="Times New Roman"/>
          <w:sz w:val="20"/>
          <w:szCs w:val="20"/>
          <w:color w:val="auto"/>
        </w:rPr>
        <w:t>”) or Excess Cash Flow of a Foreign Subsidiary are prohibited or delayed by applicable local law from being repatriated to the United States, the portion of such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318770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6" w:right="339" w:bottom="1440" w:gutter="0" w:footer="0" w:header="0"/>
        </w:sectPr>
      </w:pPr>
    </w:p>
    <w:bookmarkStart w:id="187" w:name="page188"/>
    <w:bookmarkEnd w:id="187"/>
    <w:p>
      <w:pPr>
        <w:jc w:val="both"/>
        <w:ind w:left="1140"/>
        <w:spacing w:after="0" w:line="242" w:lineRule="auto"/>
        <w:rPr>
          <w:sz w:val="20"/>
          <w:szCs w:val="20"/>
          <w:color w:val="auto"/>
        </w:rPr>
      </w:pPr>
      <w:r>
        <w:rPr>
          <w:rFonts w:ascii="Times New Roman" w:cs="Times New Roman" w:eastAsia="Times New Roman" w:hAnsi="Times New Roman"/>
          <w:sz w:val="20"/>
          <w:szCs w:val="20"/>
          <w:color w:val="auto"/>
        </w:rPr>
        <w:t xml:space="preserve">Proceeds or Excess Cash Flow so affected will not be required to be applied to repay Term Loans at the times provided in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but may be retained by the applicable Foreign Subsidiary so long as the applicable local law will not permit repatriation to the United States (the Borrower hereby agreeing to cause the applicable Foreign Subsidiary to use its commercially reasonable efforts to promptly take all actions reasonably required by the applicable local law to permit such repatriation) and, if within 12 months of the applicable prepayment event, such repatriation of any of such affected Net Cash Proceeds or Excess Cash Flow is permitted under the applicable local law, such repatriation will be immediately effected and such repatriated Net Cash Proceeds or Excess Cash Flow will be promptly (and in any event not later than ten Business Days after such repatriation) applied (net of additional taxes payable or reserved against as a result thereof) to the repayment of the Term Loans pursuant to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to the extent provided herein, and</w:t>
      </w:r>
    </w:p>
    <w:p>
      <w:pPr>
        <w:spacing w:after="0" w:line="203" w:lineRule="exact"/>
        <w:rPr>
          <w:sz w:val="20"/>
          <w:szCs w:val="20"/>
          <w:color w:val="auto"/>
        </w:rPr>
      </w:pPr>
    </w:p>
    <w:p>
      <w:pPr>
        <w:jc w:val="both"/>
        <w:ind w:left="1140" w:firstLine="743"/>
        <w:spacing w:after="0" w:line="239" w:lineRule="auto"/>
        <w:tabs>
          <w:tab w:leader="none" w:pos="232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to the extent that the Borrower has determined in good faith that repatriation to the United States of any or all of the Net Cash Proceeds of any Foreign Disposition or any Foreign Casualty Event or any or all of the Excess Cash Flow of a Foreign Subsidiary would have material adverse tax consequences (relative to the relevant Foreign Disposition, Foreign Casualty Event or Excess Cash Flow and taking into account any foreign tax credit or benefit actually realized in connection with such repatriation) with respect to such Net Cash Proceeds or Excess Cash Flow, the Net Cash Proceeds or Excess Cash Flow so affected may be retained by the applicable Foreign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this clause (B), on or before the date on which any Net Cash Proceeds so retained would otherwise have been required to be applied to reinvestments or prepayments pursuant to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(or such Excess Cash Flow would have been required to be applied to prepayments pursuant to this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(1) the Borrower applies an amount equal to such Net Cash Proceeds or Excess Cash Flow to such reinvestments or prepayments (in the case of Net Cash Proceeds) and to such prepayments (in the case of Excess Cash Flow) as if such Net Cash Proceeds or Excess Cash Flow had been received by the Borrower rather than such Foreign Subsidiary, less the amount (the “</w:t>
      </w:r>
      <w:r>
        <w:rPr>
          <w:rFonts w:ascii="Times New Roman" w:cs="Times New Roman" w:eastAsia="Times New Roman" w:hAnsi="Times New Roman"/>
          <w:sz w:val="20"/>
          <w:szCs w:val="20"/>
          <w:b w:val="1"/>
          <w:bCs w:val="1"/>
          <w:color w:val="auto"/>
        </w:rPr>
        <w:t>Netted Tax Amount</w:t>
      </w:r>
      <w:r>
        <w:rPr>
          <w:rFonts w:ascii="Times New Roman" w:cs="Times New Roman" w:eastAsia="Times New Roman" w:hAnsi="Times New Roman"/>
          <w:sz w:val="20"/>
          <w:szCs w:val="20"/>
          <w:color w:val="auto"/>
        </w:rPr>
        <w:t xml:space="preserve">”) of additional taxes that would have been payable or reserved against it if such Net Cash Proceeds or Excess Cash Flow had been repatriated to the United States by such Foreign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this clause (1), to the extent that within 12 months of the applicable prepayment event, the repatriation of any Net Cash Proceeds or Excess Cash Flow from such Foreign Subsidiary would no longer have material adverse tax consequences (relative to the relevant Foreign Disposition, Foreign Casualty Event or Excess Cash Flow), such Foreign Subsidiary shall promptly repatriate an amount equal to the Netted Tax Amount to the Administrative Agent, which amount shall be applied to the pro rata prepayment of the Loans and Commitments pursuant to </w:t>
      </w:r>
      <w:r>
        <w:rPr>
          <w:rFonts w:ascii="Times New Roman" w:cs="Times New Roman" w:eastAsia="Times New Roman" w:hAnsi="Times New Roman"/>
          <w:sz w:val="20"/>
          <w:szCs w:val="20"/>
          <w:u w:val="single" w:color="auto"/>
          <w:color w:val="auto"/>
        </w:rPr>
        <w:t>Section 2.07(d)</w:t>
      </w:r>
      <w:r>
        <w:rPr>
          <w:rFonts w:ascii="Times New Roman" w:cs="Times New Roman" w:eastAsia="Times New Roman" w:hAnsi="Times New Roman"/>
          <w:sz w:val="20"/>
          <w:szCs w:val="20"/>
          <w:color w:val="auto"/>
        </w:rPr>
        <w:t xml:space="preserve"> or (2) such Net Cash Proceeds or Excess Cash Flow are applied to the repayment of Indebtedness of a Foreign Subsidiary.</w:t>
      </w:r>
    </w:p>
    <w:p>
      <w:pPr>
        <w:spacing w:after="0" w:line="210" w:lineRule="exact"/>
        <w:rPr>
          <w:rFonts w:ascii="Times New Roman" w:cs="Times New Roman" w:eastAsia="Times New Roman" w:hAnsi="Times New Roman"/>
          <w:sz w:val="22"/>
          <w:szCs w:val="22"/>
          <w:color w:val="auto"/>
        </w:rPr>
      </w:pPr>
    </w:p>
    <w:p>
      <w:pPr>
        <w:jc w:val="both"/>
        <w:ind w:left="380" w:firstLine="754"/>
        <w:spacing w:after="0"/>
        <w:tabs>
          <w:tab w:leader="none" w:pos="165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Mandatory Prepayment Procedures; Declining Lenders</w:t>
      </w:r>
      <w:r>
        <w:rPr>
          <w:rFonts w:ascii="Times New Roman" w:cs="Times New Roman" w:eastAsia="Times New Roman" w:hAnsi="Times New Roman"/>
          <w:sz w:val="20"/>
          <w:szCs w:val="20"/>
          <w:color w:val="auto"/>
        </w:rPr>
        <w:t xml:space="preserve">. The Borrower shall give notice to the Administrative Agent of any mandatory prepayment of the Loans pursuant to </w:t>
      </w:r>
      <w:r>
        <w:rPr>
          <w:rFonts w:ascii="Times New Roman" w:cs="Times New Roman" w:eastAsia="Times New Roman" w:hAnsi="Times New Roman"/>
          <w:sz w:val="20"/>
          <w:szCs w:val="20"/>
          <w:u w:val="single" w:color="auto"/>
          <w:color w:val="auto"/>
        </w:rPr>
        <w:t>Section 2.07(b)(i)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 (iii)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three Business Days prior to the date on which such payment is due. Such notice shall state that the Borrower is offering to make or will make such mandatory prepayment on or before the date specified in </w:t>
      </w:r>
      <w:r>
        <w:rPr>
          <w:rFonts w:ascii="Times New Roman" w:cs="Times New Roman" w:eastAsia="Times New Roman" w:hAnsi="Times New Roman"/>
          <w:sz w:val="20"/>
          <w:szCs w:val="20"/>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319405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88" w:name="page189"/>
    <w:bookmarkEnd w:id="188"/>
    <w:p>
      <w:pPr>
        <w:jc w:val="both"/>
        <w:ind w:left="380"/>
        <w:spacing w:after="0" w:line="241" w:lineRule="auto"/>
        <w:rPr>
          <w:sz w:val="20"/>
          <w:szCs w:val="20"/>
          <w:color w:val="auto"/>
        </w:rPr>
      </w:pPr>
      <w:r>
        <w:rPr>
          <w:rFonts w:ascii="Times New Roman" w:cs="Times New Roman" w:eastAsia="Times New Roman" w:hAnsi="Times New Roman"/>
          <w:sz w:val="20"/>
          <w:szCs w:val="20"/>
          <w:u w:val="single" w:color="auto"/>
          <w:color w:val="auto"/>
        </w:rPr>
        <w:t>2.07(b)(i)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 (iii)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as the case may be (each, a “</w:t>
      </w:r>
      <w:r>
        <w:rPr>
          <w:rFonts w:ascii="Times New Roman" w:cs="Times New Roman" w:eastAsia="Times New Roman" w:hAnsi="Times New Roman"/>
          <w:sz w:val="20"/>
          <w:szCs w:val="20"/>
          <w:b w:val="1"/>
          <w:bCs w:val="1"/>
          <w:color w:val="auto"/>
        </w:rPr>
        <w:t>Prepayment Date</w:t>
      </w:r>
      <w:r>
        <w:rPr>
          <w:rFonts w:ascii="Times New Roman" w:cs="Times New Roman" w:eastAsia="Times New Roman" w:hAnsi="Times New Roman"/>
          <w:sz w:val="20"/>
          <w:szCs w:val="20"/>
          <w:color w:val="auto"/>
        </w:rPr>
        <w:t>”). Once given, such notice shall be irrevocable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may rescind any notice of prepayment if such prepayment would have resulted from a refinancing of all or any portion of the applicable Facility or been made in connection with a Disposition, which refinancing or Disposition shall not be consummated or shall otherwise be delayed) and all amounts subject to such notice shall be due and payable on the Prepayment Date (except as otherwise provided in </w:t>
      </w:r>
      <w:r>
        <w:rPr>
          <w:rFonts w:ascii="Times New Roman" w:cs="Times New Roman" w:eastAsia="Times New Roman" w:hAnsi="Times New Roman"/>
          <w:sz w:val="20"/>
          <w:szCs w:val="20"/>
          <w:u w:val="single" w:color="auto"/>
          <w:color w:val="auto"/>
        </w:rPr>
        <w:t>Section 2.07(b)(vi)</w:t>
      </w:r>
      <w:r>
        <w:rPr>
          <w:rFonts w:ascii="Times New Roman" w:cs="Times New Roman" w:eastAsia="Times New Roman" w:hAnsi="Times New Roman"/>
          <w:sz w:val="20"/>
          <w:szCs w:val="20"/>
          <w:color w:val="auto"/>
        </w:rPr>
        <w:t xml:space="preserve"> and in the last sentence of this </w:t>
      </w:r>
      <w:r>
        <w:rPr>
          <w:rFonts w:ascii="Times New Roman" w:cs="Times New Roman" w:eastAsia="Times New Roman" w:hAnsi="Times New Roman"/>
          <w:sz w:val="20"/>
          <w:szCs w:val="20"/>
          <w:u w:val="single" w:color="auto"/>
          <w:color w:val="auto"/>
        </w:rPr>
        <w:t>Section 2.07(b)(vii)</w:t>
      </w:r>
      <w:r>
        <w:rPr>
          <w:rFonts w:ascii="Times New Roman" w:cs="Times New Roman" w:eastAsia="Times New Roman" w:hAnsi="Times New Roman"/>
          <w:sz w:val="20"/>
          <w:szCs w:val="20"/>
          <w:color w:val="auto"/>
        </w:rPr>
        <w:t xml:space="preserve">).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(other than any mandatory prepayment with the proceeds of any Credit Agreement Refinancing Indebtedness or a mandatory prepayment pursuant to </w:t>
      </w:r>
      <w:r>
        <w:rPr>
          <w:rFonts w:ascii="Times New Roman" w:cs="Times New Roman" w:eastAsia="Times New Roman" w:hAnsi="Times New Roman"/>
          <w:sz w:val="20"/>
          <w:szCs w:val="20"/>
          <w:u w:val="single" w:color="auto"/>
          <w:color w:val="auto"/>
        </w:rPr>
        <w:t>Section 2.07(b)(iii)</w:t>
      </w:r>
      <w:r>
        <w:rPr>
          <w:rFonts w:ascii="Times New Roman" w:cs="Times New Roman" w:eastAsia="Times New Roman" w:hAnsi="Times New Roman"/>
          <w:sz w:val="20"/>
          <w:szCs w:val="20"/>
          <w:color w:val="auto"/>
        </w:rPr>
        <w:t>) by giving notice of such election in writing to the Administrative Agent by 11:00 a.m.(New York City time), on the date that is one Business Day after the date of such Lender’s receipt of notice from the Administrative Agent regarding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Term Loans. Upon receipt by the Administrative Agent of such notice, the Administrative Agent shall immediately notify the Borrower of such election. Subject to any requirements set forth in the Second Lien Credit Documents, any amount so declined by any Lender shall be retained by the Borrower and the Restricted Subsidiaries and/or applied by the Borrower or any of the Restricted Subsidiaries in any manner not inconsistent with the terms of this Agreement.</w:t>
      </w:r>
    </w:p>
    <w:p>
      <w:pPr>
        <w:spacing w:after="0" w:line="201" w:lineRule="exact"/>
        <w:rPr>
          <w:sz w:val="20"/>
          <w:szCs w:val="20"/>
          <w:color w:val="auto"/>
        </w:rPr>
      </w:pPr>
    </w:p>
    <w:p>
      <w:pPr>
        <w:jc w:val="both"/>
        <w:ind w:left="-360" w:firstLine="745"/>
        <w:spacing w:after="0"/>
        <w:tabs>
          <w:tab w:leader="none" w:pos="8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Interest, Funding Losses, Etc</w:t>
      </w:r>
      <w:r>
        <w:rPr>
          <w:rFonts w:ascii="Times New Roman" w:cs="Times New Roman" w:eastAsia="Times New Roman" w:hAnsi="Times New Roman"/>
          <w:sz w:val="20"/>
          <w:szCs w:val="20"/>
          <w:color w:val="auto"/>
        </w:rPr>
        <w:t xml:space="preserve">. All prepayments under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be accompanied by all accrued interest thereon, together with, in the case of any such prepayment of a Eurocurrency Rate Loan or a SOFR Loan on a date prior to the last day of an Interest Period therefor, any amounts owing in respect of such Eurocurrency Rate Loan or SOFR Loan, as applicable,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2"/>
          <w:szCs w:val="22"/>
          <w:color w:val="auto"/>
        </w:rPr>
      </w:pPr>
    </w:p>
    <w:p>
      <w:pPr>
        <w:ind w:left="-360" w:firstLine="745"/>
        <w:spacing w:after="0" w:line="244" w:lineRule="auto"/>
        <w:tabs>
          <w:tab w:leader="none" w:pos="8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Application of Prepayment Amounts</w:t>
      </w:r>
      <w:r>
        <w:rPr>
          <w:rFonts w:ascii="Times New Roman" w:cs="Times New Roman" w:eastAsia="Times New Roman" w:hAnsi="Times New Roman"/>
          <w:sz w:val="20"/>
          <w:szCs w:val="20"/>
          <w:color w:val="auto"/>
        </w:rPr>
        <w:t>. In the event that the obligation of the Borrower to prepay the Loans shall arise pursuant to subsection (b) above,</w:t>
      </w:r>
    </w:p>
    <w:p>
      <w:pPr>
        <w:spacing w:after="0" w:line="192" w:lineRule="exact"/>
        <w:rPr>
          <w:rFonts w:ascii="Times New Roman" w:cs="Times New Roman" w:eastAsia="Times New Roman" w:hAnsi="Times New Roman"/>
          <w:sz w:val="22"/>
          <w:szCs w:val="22"/>
          <w:color w:val="auto"/>
        </w:rPr>
      </w:pPr>
    </w:p>
    <w:p>
      <w:pPr>
        <w:jc w:val="both"/>
        <w:ind w:left="380" w:firstLine="754"/>
        <w:spacing w:after="0" w:line="243" w:lineRule="auto"/>
        <w:tabs>
          <w:tab w:leader="none" w:pos="15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the Borrower shall prepay the outstanding principal amount of the Term Loans in the amount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prepayment obligation within the applicable time periods specified in subsection (b) above, with such prepayment to be applied in the manner set forth in </w:t>
      </w:r>
      <w:r>
        <w:rPr>
          <w:rFonts w:ascii="Times New Roman" w:cs="Times New Roman" w:eastAsia="Times New Roman" w:hAnsi="Times New Roman"/>
          <w:sz w:val="20"/>
          <w:szCs w:val="20"/>
          <w:u w:val="single" w:color="auto"/>
          <w:color w:val="auto"/>
        </w:rPr>
        <w:t>Section 2.07(b)(v)</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2"/>
          <w:szCs w:val="22"/>
          <w:color w:val="auto"/>
        </w:rPr>
      </w:pPr>
    </w:p>
    <w:p>
      <w:pPr>
        <w:jc w:val="both"/>
        <w:ind w:left="380" w:firstLine="754"/>
        <w:spacing w:after="0" w:line="243" w:lineRule="auto"/>
        <w:tabs>
          <w:tab w:leader="none" w:pos="157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extent of any excess remaining after the prepayment as provided in clause (i) above,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shall prepay the outstanding principal amount of the Swing Line Loans, without a corresponding permanent reduction to the Revolving Commitments,</w:t>
      </w:r>
    </w:p>
    <w:p>
      <w:pPr>
        <w:spacing w:after="0" w:line="195" w:lineRule="exact"/>
        <w:rPr>
          <w:rFonts w:ascii="Times New Roman" w:cs="Times New Roman" w:eastAsia="Times New Roman" w:hAnsi="Times New Roman"/>
          <w:sz w:val="22"/>
          <w:szCs w:val="22"/>
          <w:color w:val="auto"/>
        </w:rPr>
      </w:pPr>
    </w:p>
    <w:p>
      <w:pPr>
        <w:jc w:val="both"/>
        <w:ind w:left="380" w:firstLine="754"/>
        <w:spacing w:after="0" w:line="243" w:lineRule="auto"/>
        <w:tabs>
          <w:tab w:leader="none" w:pos="15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extent of any excess remaining after the prepayment as provided in clauses (i) and (ii) above,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Borrower shall prepay the outstanding principal amount of the Revolving Loans, without a corresponding permanent reduction to the Revolving Commitments,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316865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189" w:name="page190"/>
    <w:bookmarkEnd w:id="189"/>
    <w:p>
      <w:pPr>
        <w:jc w:val="both"/>
        <w:ind w:left="1500" w:firstLine="754"/>
        <w:spacing w:after="0" w:line="243" w:lineRule="auto"/>
        <w:tabs>
          <w:tab w:leader="none" w:pos="268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the extent of any excess remaining after application as provided in clauses (i), (ii) and (iii) above,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Borrower shall pay any outstanding Reimbursement Obligations, and thereafter the Borrower shall Cash Collateralize the Letter of Credit Usage pursuant to </w:t>
      </w:r>
      <w:r>
        <w:rPr>
          <w:rFonts w:ascii="Times New Roman" w:cs="Times New Roman" w:eastAsia="Times New Roman" w:hAnsi="Times New Roman"/>
          <w:sz w:val="20"/>
          <w:szCs w:val="20"/>
          <w:u w:val="single" w:color="auto"/>
          <w:color w:val="auto"/>
        </w:rPr>
        <w:t>Section 2.04(l)</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Each payment or prepayment pursuant to the provisions of Section 2.07(b) shall be applied ratably among the Lenders of each Class holding the Loans being prepaid, in proportion to the principal amount held by each, and shall be applied as among the Term Loans or the Revolving Loans, as the case may be, being prepaid, (A) first, to prepay all Base Rate Loans and (B) second, to the extent of any excess remaining after application as provided in clause (A) above, to prepay all Eurocurrency Rate Loans (and as among Eurocurrency Rate Loans, (1) first to prepay those Eurocurrency Rate Loans, if any, having Interest Periods ending on the date of such prepayment, and (2) thereafter, to the extent of any excess remaining after application as provided in clause (1) above, to prepay any Eurocurrency Rate Loans in the order of the expiration dates of the Interest Periods applicable thereto) and all SOFR Loans (and as among SOFR Loans, (1) first to prepay those SOFR Loans, if any, having Interest Periods ending on the date of such prepayment, and (2) thereafter, to the extent of any excess remaining after application as provided in clause (1) above, to prepay any SOFR Loans in the order of the expiration dates of the Interest Periods applicable thereto) on a pro rata basis.</w:t>
      </w:r>
    </w:p>
    <w:p>
      <w:pPr>
        <w:spacing w:after="0" w:line="203" w:lineRule="exact"/>
        <w:rPr>
          <w:sz w:val="20"/>
          <w:szCs w:val="20"/>
          <w:color w:val="auto"/>
        </w:rPr>
      </w:pPr>
    </w:p>
    <w:p>
      <w:pPr>
        <w:jc w:val="both"/>
        <w:ind w:left="760" w:firstLine="745"/>
        <w:spacing w:after="0" w:line="239" w:lineRule="auto"/>
        <w:tabs>
          <w:tab w:leader="none" w:pos="195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Interest Period Deferrals</w:t>
      </w:r>
      <w:r>
        <w:rPr>
          <w:rFonts w:ascii="Times New Roman" w:cs="Times New Roman" w:eastAsia="Times New Roman" w:hAnsi="Times New Roman"/>
          <w:sz w:val="20"/>
          <w:szCs w:val="20"/>
          <w:color w:val="auto"/>
        </w:rPr>
        <w:t xml:space="preserve">. Notwithstanding any of the other provisions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so long as no Event of Default shall have occurred and be continuing, if any prepayment of Eurocurrency Rate Loans or SOFR Loans is required to be made under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prior to the last day of the Interest Period therefor, in lieu of making any payment pursuant to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in respect of any such Eurocurrency Rate Loan or SOFR Loan, as applicable, prior to the last day of the Interest Period therefor, the Borrower may, in its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w:t>
      </w:r>
      <w:r>
        <w:rPr>
          <w:rFonts w:ascii="Times New Roman" w:cs="Times New Roman" w:eastAsia="Times New Roman" w:hAnsi="Times New Roman"/>
          <w:sz w:val="20"/>
          <w:szCs w:val="20"/>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Termination or Reduction of Commitments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760" w:firstLine="745"/>
        <w:spacing w:after="0" w:line="239" w:lineRule="auto"/>
        <w:tabs>
          <w:tab w:leader="none" w:pos="195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notice shall be received by the Administrative Agent one Business Day prior to the date of termination or reduction, (ii) any such partial reduction shall be in an aggregate amount of $1,000,000 or any whole multiple of $1,000,000 in excess thereof or, if less, the entire amount thereof and (iii) the Borrower shall not terminate or reduce (A) the Revolving Commitments if, after giving effect to any concurrent prepayment of the Revolving Loans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w:t>
      </w:r>
      <w:r>
        <w:rPr>
          <w:rFonts w:ascii="Times New Roman" w:cs="Times New Roman" w:eastAsia="Times New Roman" w:hAnsi="Times New Roman"/>
          <w:sz w:val="20"/>
          <w:szCs w:val="20"/>
          <w:color w:val="auto"/>
        </w:rPr>
        <w:t>, the Total Utilization of Revolving Commitments would exceed the total Revolving Commitments, (B) the Letter of Credit Sublimit if, after giving effect thereto, (1) the Letter of Credit Usage not fully Cash Collateralized hereunder at 103% of the maximum face amount of any such Letters of Credit would exceed the Letter of Credit Sublimit or (2) the Letter of Credit Usage with respect to Letters of Credit issued by an applicable Issuing Bank not fully Cash Collateralized hereunder at 103% of the maximum face amount of any such Letters of Credit would exceed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0" w:name="page191"/>
    <w:bookmarkEnd w:id="190"/>
    <w:p>
      <w:pPr>
        <w:jc w:val="both"/>
        <w:ind w:left="3"/>
        <w:spacing w:after="0" w:line="262" w:lineRule="auto"/>
        <w:rPr>
          <w:sz w:val="20"/>
          <w:szCs w:val="20"/>
          <w:color w:val="auto"/>
        </w:rPr>
      </w:pPr>
      <w:r>
        <w:rPr>
          <w:rFonts w:ascii="Times New Roman" w:cs="Times New Roman" w:eastAsia="Times New Roman" w:hAnsi="Times New Roman"/>
          <w:sz w:val="19"/>
          <w:szCs w:val="19"/>
          <w:color w:val="auto"/>
        </w:rPr>
        <w:t xml:space="preserve">amount of such Issuing Bank’s Letter of Credit Percentage of the Letter of Credit Sublimit or (C) the Swing Line Sublimit, if after giving effect to any concurrent payment of Swing Line Loans in accordance with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the Total Utilization of Revolving Commitments with respect to Swing Line Loans would exceed the Swing Line Sublimit. 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spacing w:after="0" w:line="183" w:lineRule="exact"/>
        <w:rPr>
          <w:sz w:val="20"/>
          <w:szCs w:val="20"/>
          <w:color w:val="auto"/>
        </w:rPr>
      </w:pPr>
    </w:p>
    <w:p>
      <w:pPr>
        <w:ind w:left="1183" w:hanging="435"/>
        <w:spacing w:after="0"/>
        <w:tabs>
          <w:tab w:leader="none" w:pos="118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2"/>
          <w:szCs w:val="22"/>
          <w:color w:val="auto"/>
        </w:rPr>
      </w:pPr>
    </w:p>
    <w:p>
      <w:pPr>
        <w:jc w:val="both"/>
        <w:ind w:left="743" w:firstLine="754"/>
        <w:spacing w:after="0"/>
        <w:tabs>
          <w:tab w:leader="none" w:pos="192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 The Initial Term Loan Commitment of each Lender shall be automatically and permanently reduced to $0 upon the making of such Lender’s Initial Term Loans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(B) the Delayed Draw Commitment of each Lender shall be automatically and permanently reduced (x) by the aggregate principal amount of Delayed Draw Term Loans made from time to time by such Lender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and (y) to $0 upon the Delayed Draw Commitment Termination Date and (C) the Revolving Commitments shall terminate on the Revolving Commitment Termination Date.</w:t>
      </w:r>
    </w:p>
    <w:p>
      <w:pPr>
        <w:spacing w:after="0" w:line="201" w:lineRule="exact"/>
        <w:rPr>
          <w:rFonts w:ascii="Times New Roman" w:cs="Times New Roman" w:eastAsia="Times New Roman" w:hAnsi="Times New Roman"/>
          <w:sz w:val="22"/>
          <w:szCs w:val="22"/>
          <w:color w:val="auto"/>
        </w:rPr>
      </w:pPr>
    </w:p>
    <w:p>
      <w:pPr>
        <w:jc w:val="both"/>
        <w:ind w:left="743" w:firstLine="754"/>
        <w:spacing w:after="0"/>
        <w:tabs>
          <w:tab w:leader="none" w:pos="1937"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If after giving effect to any reduction or termination of Revolving Commitments under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the Letter of Credit Sublimit or the Swing Line Sublimit exceeds the amount of the Revolving Commitments at such time, the Letter of Credit Sublimit or the Swing Line Sublimit, as the case may be, shall be automatically reduced by the amount of such excess.</w:t>
      </w:r>
    </w:p>
    <w:p>
      <w:pPr>
        <w:spacing w:after="0" w:line="203" w:lineRule="exact"/>
        <w:rPr>
          <w:rFonts w:ascii="Times New Roman" w:cs="Times New Roman" w:eastAsia="Times New Roman" w:hAnsi="Times New Roman"/>
          <w:sz w:val="22"/>
          <w:szCs w:val="22"/>
          <w:color w:val="auto"/>
        </w:rPr>
      </w:pPr>
    </w:p>
    <w:p>
      <w:pPr>
        <w:jc w:val="both"/>
        <w:ind w:left="3" w:firstLine="745"/>
        <w:spacing w:after="0"/>
        <w:tabs>
          <w:tab w:leader="none" w:pos="119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Borrower may, upon notice to the Administrative Agent, terminate the Delayed Draw Commitments or from time to time permanently reduce the Delayed Draw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1:00 p.m. three Business Days prior to the date of termination or reduction, (ii) any such notice shall be irrevocable, and (iii) any such partial reduction shall be in an aggregate amount of $5,000,000 or any whole multiple of $1,000,000 in excess thereof.</w:t>
      </w:r>
    </w:p>
    <w:p>
      <w:pPr>
        <w:spacing w:after="0" w:line="202" w:lineRule="exact"/>
        <w:rPr>
          <w:rFonts w:ascii="Times New Roman" w:cs="Times New Roman" w:eastAsia="Times New Roman" w:hAnsi="Times New Roman"/>
          <w:sz w:val="22"/>
          <w:szCs w:val="22"/>
          <w:color w:val="auto"/>
        </w:rPr>
      </w:pPr>
    </w:p>
    <w:p>
      <w:pPr>
        <w:jc w:val="both"/>
        <w:ind w:left="3" w:right="20" w:firstLine="745"/>
        <w:spacing w:after="0" w:line="241" w:lineRule="auto"/>
        <w:tabs>
          <w:tab w:leader="none" w:pos="122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Effect of Termination or Reduction</w:t>
      </w:r>
      <w:r>
        <w:rPr>
          <w:rFonts w:ascii="Times New Roman" w:cs="Times New Roman" w:eastAsia="Times New Roman" w:hAnsi="Times New Roman"/>
          <w:sz w:val="20"/>
          <w:szCs w:val="20"/>
          <w:color w:val="auto"/>
        </w:rPr>
        <w:t>. Any termination or reduction of the Commitments of any Class shall be permanent. Each reduction of Commitments of any Class shall be made ratably among the Lenders in accordance with their respective Pro Rata Share of Commitments of such Class.</w:t>
      </w:r>
    </w:p>
    <w:p>
      <w:pPr>
        <w:spacing w:after="0" w:line="188"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9"/>
          <w:szCs w:val="19"/>
          <w:u w:val="single" w:color="auto"/>
          <w:color w:val="auto"/>
        </w:rPr>
        <w:t>Repayment of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57" w:firstLine="757"/>
        <w:spacing w:after="0" w:line="243" w:lineRule="auto"/>
        <w:tabs>
          <w:tab w:leader="none" w:pos="38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2021 Incremental Term Loans shall not require any scheduled amortization payments prior to the Maturity Date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(i) shall be amended, as it relates to any then-existing tranche of Term Loans to increase the amortization with respect thereto, in connection with the Borrowing of any Incremental Term Loans that constitute Pari Passu Lien Debt if and to the extent necessary so that such Incremental Term Loans and the applicable existing Term Loans form the same Class of Term Loans and to the extent possible, a “fungible” tranche, in each case, without the consent of any party hereto, and (z) such amendments shall not decrease any amortization payment to any Lender that would have otherwise been payable to such Lender prior thereto, and (ii) the Borrower shall repay to the Administrative Agent for the ratable account of the Appropriate Lenders on the Maturity Date for each Class of Term Loans, the aggregate principal amount of all such Term Loans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317500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191" w:name="page192"/>
    <w:bookmarkEnd w:id="191"/>
    <w:p>
      <w:pPr>
        <w:ind w:left="-8" w:right="40" w:firstLine="757"/>
        <w:spacing w:after="0" w:line="268" w:lineRule="auto"/>
        <w:tabs>
          <w:tab w:leader="none" w:pos="1136"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repay to the Administrative Agent for the ratable account of the Appropriate Lenders the outstanding principal amount of the Revolving Loans on the Revolving Commitment Termination Date.</w:t>
      </w:r>
    </w:p>
    <w:p>
      <w:pPr>
        <w:spacing w:after="0" w:line="160" w:lineRule="exact"/>
        <w:rPr>
          <w:rFonts w:ascii="Times New Roman" w:cs="Times New Roman" w:eastAsia="Times New Roman" w:hAnsi="Times New Roman"/>
          <w:sz w:val="20"/>
          <w:szCs w:val="20"/>
          <w:color w:val="auto"/>
        </w:rPr>
      </w:pPr>
    </w:p>
    <w:p>
      <w:pPr>
        <w:jc w:val="both"/>
        <w:ind w:left="-8" w:firstLine="757"/>
        <w:spacing w:after="0" w:line="250" w:lineRule="auto"/>
        <w:tabs>
          <w:tab w:leader="none" w:pos="1136"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repay to the Swing Line Lender (or, to the extent required by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to the Administrative Agent for the account of the Revolving Lenders) each Swing Line Loan made by the Swing Line Lender to the Borrower on the earlier to occur of</w:t>
      </w:r>
    </w:p>
    <w:p>
      <w:pPr>
        <w:spacing w:after="0" w:line="1" w:lineRule="exact"/>
        <w:rPr>
          <w:rFonts w:ascii="Times New Roman" w:cs="Times New Roman" w:eastAsia="Times New Roman" w:hAnsi="Times New Roman"/>
          <w:sz w:val="20"/>
          <w:szCs w:val="20"/>
          <w:color w:val="auto"/>
        </w:rPr>
      </w:pPr>
    </w:p>
    <w:p>
      <w:pPr>
        <w:jc w:val="both"/>
        <w:ind w:left="-8" w:firstLine="8"/>
        <w:spacing w:after="0"/>
        <w:tabs>
          <w:tab w:leader="none" w:pos="23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seven Business Days after such Swing Line Loan is made and (ii) the Maturity Date of the Revolving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on each date that a Revolving Loan is made, the Borrower shall repay all Swing Line Loans then outstanding. At any time there shall exist a Defaulting Lender that is a Revolving Lender, immediately upon the request of the Swing Line Lender, the Borrower shall repay the outstanding Swing Line Loans made by the Swing Line Lender to the Borrower in an amount sufficient to eliminate any Fronting Exposure in respect of the Swing Line Loans.</w:t>
      </w:r>
    </w:p>
    <w:p>
      <w:pPr>
        <w:spacing w:after="0" w:line="190" w:lineRule="exact"/>
        <w:rPr>
          <w:sz w:val="20"/>
          <w:szCs w:val="20"/>
          <w:color w:val="auto"/>
        </w:rPr>
      </w:pPr>
    </w:p>
    <w:p>
      <w:pPr>
        <w:ind w:left="752"/>
        <w:spacing w:after="0"/>
        <w:tabs>
          <w:tab w:leader="none" w:pos="2312"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8" w:firstLine="757"/>
        <w:spacing w:after="0" w:line="244" w:lineRule="auto"/>
        <w:tabs>
          <w:tab w:leader="none" w:pos="113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(i) each Eurocurrency Rate Loan shall bear interest on the outstanding principal amount thereof for each Interest Period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Adjusted Eurocurrency Rate for such Interest Period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the Applicable Rate, (ii) each SOFR Loan shall bear interest on the outstanding principal amount thereof for each Interest Period at a rate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equal to Adjusted Term SOFR for such Interest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Applicable Rate (iii) each Base Rate Loan shall bear interest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outstanding principal amount thereof from the applicable Borrowing date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Base Rate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the Applicable Rate and (iv) each Swing Line Loan shall bear interest on the outstanding principal amount thereof from the applicable Borrowing date at a rate </w:t>
      </w:r>
      <w:r>
        <w:rPr>
          <w:rFonts w:ascii="Times New Roman" w:cs="Times New Roman" w:eastAsia="Times New Roman" w:hAnsi="Times New Roman"/>
          <w:sz w:val="20"/>
          <w:szCs w:val="20"/>
          <w:i w:val="1"/>
          <w:iCs w:val="1"/>
          <w:color w:val="auto"/>
        </w:rPr>
        <w:t xml:space="preserve">per annum </w:t>
      </w:r>
      <w:r>
        <w:rPr>
          <w:rFonts w:ascii="Times New Roman" w:cs="Times New Roman" w:eastAsia="Times New Roman" w:hAnsi="Times New Roman"/>
          <w:sz w:val="20"/>
          <w:szCs w:val="20"/>
          <w:color w:val="auto"/>
        </w:rPr>
        <w:t>equal to the Base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Applicable Rate.</w:t>
      </w:r>
    </w:p>
    <w:p>
      <w:pPr>
        <w:spacing w:after="0" w:line="183" w:lineRule="exact"/>
        <w:rPr>
          <w:rFonts w:ascii="Times New Roman" w:cs="Times New Roman" w:eastAsia="Times New Roman" w:hAnsi="Times New Roman"/>
          <w:sz w:val="20"/>
          <w:szCs w:val="20"/>
          <w:color w:val="auto"/>
        </w:rPr>
      </w:pPr>
    </w:p>
    <w:p>
      <w:pPr>
        <w:jc w:val="both"/>
        <w:ind w:left="-8" w:firstLine="757"/>
        <w:spacing w:after="0" w:line="253" w:lineRule="auto"/>
        <w:tabs>
          <w:tab w:leader="none" w:pos="113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at all times equal to the Default Rate to the fullest extent permitted by applicable Laws.</w:t>
      </w:r>
    </w:p>
    <w:p>
      <w:pPr>
        <w:spacing w:after="0" w:line="176" w:lineRule="exact"/>
        <w:rPr>
          <w:rFonts w:ascii="Times New Roman" w:cs="Times New Roman" w:eastAsia="Times New Roman" w:hAnsi="Times New Roman"/>
          <w:sz w:val="20"/>
          <w:szCs w:val="20"/>
          <w:color w:val="auto"/>
        </w:rPr>
      </w:pPr>
    </w:p>
    <w:p>
      <w:pPr>
        <w:jc w:val="both"/>
        <w:ind w:left="-8" w:firstLine="757"/>
        <w:spacing w:after="0" w:line="249" w:lineRule="auto"/>
        <w:tabs>
          <w:tab w:leader="none" w:pos="113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at all times equal to the Default Rate to the fullest extent permitted by applicable Laws.</w:t>
      </w:r>
    </w:p>
    <w:p>
      <w:pPr>
        <w:spacing w:after="0" w:line="178" w:lineRule="exact"/>
        <w:rPr>
          <w:rFonts w:ascii="Times New Roman" w:cs="Times New Roman" w:eastAsia="Times New Roman" w:hAnsi="Times New Roman"/>
          <w:sz w:val="20"/>
          <w:szCs w:val="20"/>
          <w:color w:val="auto"/>
        </w:rPr>
      </w:pPr>
    </w:p>
    <w:p>
      <w:pPr>
        <w:ind w:left="-8" w:right="20" w:firstLine="757"/>
        <w:spacing w:after="0" w:line="268" w:lineRule="auto"/>
        <w:tabs>
          <w:tab w:leader="none" w:pos="113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the principal amount of all outstanding past due Obligations (including interest on past due interest) shall be due and payable upon demand.</w:t>
      </w:r>
    </w:p>
    <w:p>
      <w:pPr>
        <w:spacing w:after="0" w:line="160"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13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 with respect to Base Rate Loans, in arrears on each Interest Payment Date applicable thereto and at such other times as may be specified herein and (ii) with respect to Eurocurrency Rate Loans and SOFR Loans, at the end of each Interest Period in respect thereof, and, in any event, every three months. Interest hereunder shall be due and payable in accordance with the terms hereof before and after judgment, and before and after the commencement of any proceeding, under any Debtor Relief Law.</w:t>
      </w:r>
    </w:p>
    <w:p>
      <w:pPr>
        <w:spacing w:after="0" w:line="183" w:lineRule="exact"/>
        <w:rPr>
          <w:rFonts w:ascii="Times New Roman" w:cs="Times New Roman" w:eastAsia="Times New Roman" w:hAnsi="Times New Roman"/>
          <w:sz w:val="20"/>
          <w:szCs w:val="20"/>
          <w:color w:val="auto"/>
        </w:rPr>
      </w:pPr>
    </w:p>
    <w:p>
      <w:pPr>
        <w:jc w:val="both"/>
        <w:ind w:left="-8" w:firstLine="757"/>
        <w:spacing w:after="0" w:line="249" w:lineRule="auto"/>
        <w:tabs>
          <w:tab w:leader="none" w:pos="113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 and the Lenders of the interest rate applicable to any Interest Period for any Eurocurrency Rate Loans and SOFR Loans upon determination of such interest rate. The determination of the Adjusted Eurocurrency Rate, the Eurocurrency Rate, Adjusted Term SOFR, Term SOFR and SOFR by the Administrative Agent shall be conclusive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311785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192" w:name="page193"/>
    <w:bookmarkEnd w:id="192"/>
    <w:p>
      <w:pPr>
        <w:spacing w:after="0" w:line="268" w:lineRule="auto"/>
        <w:rPr>
          <w:sz w:val="20"/>
          <w:szCs w:val="20"/>
          <w:color w:val="auto"/>
        </w:rPr>
      </w:pPr>
      <w:r>
        <w:rPr>
          <w:rFonts w:ascii="Times New Roman" w:cs="Times New Roman" w:eastAsia="Times New Roman" w:hAnsi="Times New Roman"/>
          <w:sz w:val="20"/>
          <w:szCs w:val="20"/>
          <w:color w:val="auto"/>
        </w:rPr>
        <w:t>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61" w:lineRule="exact"/>
        <w:rPr>
          <w:sz w:val="20"/>
          <w:szCs w:val="20"/>
          <w:color w:val="auto"/>
        </w:rPr>
      </w:pPr>
    </w:p>
    <w:p>
      <w:pPr>
        <w:jc w:val="both"/>
        <w:ind w:firstLine="757"/>
        <w:spacing w:after="0" w:line="266" w:lineRule="auto"/>
        <w:tabs>
          <w:tab w:leader="none" w:pos="1144"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giving effect to all Borrowings, all conversions of Loans from one Type to the other, and all continuations of Loans as the same Type, there shall not be more than ten Interest Periods in effect unless otherwise agreed between the Borrower and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the establishment of any new Class of Loans pursuant to a Refinancing Amendment or Extension, the number of Interest Periods otherwise permitted by this </w:t>
      </w:r>
      <w:r>
        <w:rPr>
          <w:rFonts w:ascii="Times New Roman" w:cs="Times New Roman" w:eastAsia="Times New Roman" w:hAnsi="Times New Roman"/>
          <w:sz w:val="19"/>
          <w:szCs w:val="19"/>
          <w:u w:val="single" w:color="auto"/>
          <w:color w:val="auto"/>
        </w:rPr>
        <w:t>Section 2.10(g)</w:t>
      </w:r>
      <w:r>
        <w:rPr>
          <w:rFonts w:ascii="Times New Roman" w:cs="Times New Roman" w:eastAsia="Times New Roman" w:hAnsi="Times New Roman"/>
          <w:sz w:val="19"/>
          <w:szCs w:val="19"/>
          <w:color w:val="auto"/>
        </w:rPr>
        <w:t xml:space="preserve"> shall increase by three Interest Periods for each applicable Class so established.</w:t>
      </w:r>
    </w:p>
    <w:p>
      <w:pPr>
        <w:spacing w:after="0" w:line="16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53" w:lineRule="auto"/>
        <w:tabs>
          <w:tab w:leader="none" w:pos="114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Agents such fees as shall have been separately agreed upon in writing (including pursuant to the Engagement Letter and Agency Fee Letter) in the amounts and at the times so specified. Such fees shall be fully earned when paid and shall not be refundable for any reason whatsoever (except as expressly agreed between the Borrower and the applicable Agent).</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Lenders having Revolving Exposure:</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commitment fees for the period from and including the Closing Date to and including the Revolving Commitment Termination Date equal to (A) the average of the daily difference between (1) the Revolving Commitments and (2) </w:t>
      </w:r>
      <w:r>
        <w:rPr>
          <w:rFonts w:ascii="Times New Roman" w:cs="Times New Roman" w:eastAsia="Times New Roman" w:hAnsi="Times New Roman"/>
          <w:sz w:val="20"/>
          <w:szCs w:val="20"/>
          <w:u w:val="single" w:color="auto"/>
          <w:color w:val="auto"/>
        </w:rPr>
        <w:t>the sum of</w:t>
      </w:r>
      <w:r>
        <w:rPr>
          <w:rFonts w:ascii="Times New Roman" w:cs="Times New Roman" w:eastAsia="Times New Roman" w:hAnsi="Times New Roman"/>
          <w:sz w:val="20"/>
          <w:szCs w:val="20"/>
          <w:color w:val="auto"/>
        </w:rPr>
        <w:t xml:space="preserve"> (I) the aggregate principal amount of all outstanding Revolving Loans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(II) the Letter of Credit Usage, </w:t>
      </w:r>
      <w:r>
        <w:rPr>
          <w:rFonts w:ascii="Times New Roman" w:cs="Times New Roman" w:eastAsia="Times New Roman" w:hAnsi="Times New Roman"/>
          <w:sz w:val="20"/>
          <w:szCs w:val="20"/>
          <w:i w:val="1"/>
          <w:iCs w:val="1"/>
          <w:u w:val="single" w:color="auto"/>
          <w:color w:val="auto"/>
        </w:rPr>
        <w:t>times</w:t>
      </w:r>
      <w:r>
        <w:rPr>
          <w:rFonts w:ascii="Times New Roman" w:cs="Times New Roman" w:eastAsia="Times New Roman" w:hAnsi="Times New Roman"/>
          <w:sz w:val="20"/>
          <w:szCs w:val="20"/>
          <w:color w:val="auto"/>
        </w:rPr>
        <w:t xml:space="preserve"> (B) the Applicable Commitment Fee; and</w:t>
      </w:r>
    </w:p>
    <w:p>
      <w:pPr>
        <w:spacing w:after="0" w:line="174"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letter of credit fees with respect to all Letters of Credit (the “ </w:t>
      </w:r>
      <w:r>
        <w:rPr>
          <w:rFonts w:ascii="Times New Roman" w:cs="Times New Roman" w:eastAsia="Times New Roman" w:hAnsi="Times New Roman"/>
          <w:sz w:val="20"/>
          <w:szCs w:val="20"/>
          <w:b w:val="1"/>
          <w:bCs w:val="1"/>
          <w:color w:val="auto"/>
        </w:rPr>
        <w:t>L/C Fee</w:t>
      </w:r>
      <w:r>
        <w:rPr>
          <w:rFonts w:ascii="Times New Roman" w:cs="Times New Roman" w:eastAsia="Times New Roman" w:hAnsi="Times New Roman"/>
          <w:sz w:val="20"/>
          <w:szCs w:val="20"/>
          <w:color w:val="auto"/>
        </w:rPr>
        <w:t xml:space="preserve">”) equal to (A) the Applicable Rate for Revolving Loans that are Eurocurrency Rate Loans (prior to the Amendment No. 4 Effective Date) or SOFR Loans (on and after the Amendment No. 4 Effective Date), </w:t>
      </w:r>
      <w:r>
        <w:rPr>
          <w:rFonts w:ascii="Times New Roman" w:cs="Times New Roman" w:eastAsia="Times New Roman" w:hAnsi="Times New Roman"/>
          <w:sz w:val="20"/>
          <w:szCs w:val="20"/>
          <w:i w:val="1"/>
          <w:iCs w:val="1"/>
          <w:u w:val="single" w:color="auto"/>
          <w:color w:val="auto"/>
        </w:rPr>
        <w:t>times</w:t>
      </w:r>
      <w:r>
        <w:rPr>
          <w:rFonts w:ascii="Times New Roman" w:cs="Times New Roman" w:eastAsia="Times New Roman" w:hAnsi="Times New Roman"/>
          <w:sz w:val="20"/>
          <w:szCs w:val="20"/>
          <w:color w:val="auto"/>
        </w:rPr>
        <w:t xml:space="preserve"> (B) the average aggregate daily maximum amount available to be drawn under all Letters of Credit (regardless of whether any conditions for drawing could then be met and determined as of the close of business on any date of determination and whether or not such maximum amount is then in effect under such Letter of Credit if such maximum amount increases periodically pursuant to the terms of such Letter of Credit).</w:t>
      </w:r>
    </w:p>
    <w:p>
      <w:pPr>
        <w:spacing w:after="0" w:line="1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 xml:space="preserve">All fees referred to in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shall be paid to the Administrative Agent at the Administrative Agent’s Office and upon receipt, the Administrative Agent shall promptly distribute to each Lender its Pro Rata Share thereof.</w:t>
      </w:r>
    </w:p>
    <w:p>
      <w:pPr>
        <w:spacing w:after="0" w:line="161" w:lineRule="exact"/>
        <w:rPr>
          <w:sz w:val="20"/>
          <w:szCs w:val="20"/>
          <w:color w:val="auto"/>
        </w:rPr>
      </w:pPr>
    </w:p>
    <w:p>
      <w:pPr>
        <w:ind w:left="1160" w:hanging="403"/>
        <w:spacing w:after="0"/>
        <w:tabs>
          <w:tab w:leader="none" w:pos="11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directly to the applicable Issuing Bank, for its own account, the following fees:</w:t>
      </w:r>
    </w:p>
    <w:p>
      <w:pPr>
        <w:spacing w:after="0" w:line="210" w:lineRule="exact"/>
        <w:rPr>
          <w:rFonts w:ascii="Times New Roman" w:cs="Times New Roman" w:eastAsia="Times New Roman" w:hAnsi="Times New Roman"/>
          <w:sz w:val="20"/>
          <w:szCs w:val="20"/>
          <w:color w:val="auto"/>
        </w:rPr>
      </w:pPr>
    </w:p>
    <w:p>
      <w:pPr>
        <w:jc w:val="both"/>
        <w:ind w:left="760" w:firstLine="1045"/>
        <w:spacing w:after="0" w:line="250" w:lineRule="auto"/>
        <w:tabs>
          <w:tab w:leader="none" w:pos="2203"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fronting fee to be agreed by the Borrower and the applicable Issuing Bank (not to exceed 0.125%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times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daily maximum amount then available to be drawn under such Letter of Credit (whether or not such maximum amount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then in effect under such Letter of Credit if such maximum amount increases periodically pursuant to the terms of such Letter of Credit) determined as of the close of business on any date of determination; and</w:t>
      </w:r>
    </w:p>
    <w:p>
      <w:pPr>
        <w:spacing w:after="0" w:line="178"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documentary and processing charges for any issuance, amendment, transfer or payment of a Letter of Credit as are in accordance with such Issuing Bank’s standard schedule for such charges and as in effect at the time of such issuance, amendment, transfer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3" w:name="page194"/>
    <w:bookmarkEnd w:id="193"/>
    <w:p>
      <w:pPr>
        <w:ind w:left="760"/>
        <w:spacing w:after="0" w:line="268" w:lineRule="auto"/>
        <w:rPr>
          <w:sz w:val="20"/>
          <w:szCs w:val="20"/>
          <w:color w:val="auto"/>
        </w:rPr>
      </w:pPr>
      <w:r>
        <w:rPr>
          <w:rFonts w:ascii="Times New Roman" w:cs="Times New Roman" w:eastAsia="Times New Roman" w:hAnsi="Times New Roman"/>
          <w:sz w:val="20"/>
          <w:szCs w:val="20"/>
          <w:color w:val="auto"/>
        </w:rPr>
        <w:t>payment, as the case may be, which fees, costs and charges shall be payable to such Issuing Bank within three Business Days after its demand therefor and are nonrefundable.</w:t>
      </w:r>
    </w:p>
    <w:p>
      <w:pPr>
        <w:spacing w:after="0" w:line="1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Each payment of fees required above under this clause (c) on any Letters of Credit denominated in an Alternative Currency shall be made in Dollars.</w:t>
      </w:r>
    </w:p>
    <w:p>
      <w:pPr>
        <w:spacing w:after="0" w:line="161" w:lineRule="exact"/>
        <w:rPr>
          <w:sz w:val="20"/>
          <w:szCs w:val="20"/>
          <w:color w:val="auto"/>
        </w:rPr>
      </w:pPr>
    </w:p>
    <w:p>
      <w:pPr>
        <w:jc w:val="both"/>
        <w:ind w:firstLine="757"/>
        <w:spacing w:after="0" w:line="24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referred to in </w:t>
      </w:r>
      <w:r>
        <w:rPr>
          <w:rFonts w:ascii="Times New Roman" w:cs="Times New Roman" w:eastAsia="Times New Roman" w:hAnsi="Times New Roman"/>
          <w:sz w:val="20"/>
          <w:szCs w:val="20"/>
          <w:u w:val="single" w:color="auto"/>
          <w:color w:val="auto"/>
        </w:rPr>
        <w:t>Sections 2.11(b)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2.11(c)(i)</w:t>
      </w:r>
      <w:r>
        <w:rPr>
          <w:rFonts w:ascii="Times New Roman" w:cs="Times New Roman" w:eastAsia="Times New Roman" w:hAnsi="Times New Roman"/>
          <w:sz w:val="20"/>
          <w:szCs w:val="20"/>
          <w:color w:val="auto"/>
        </w:rPr>
        <w:t xml:space="preserve"> shall be payable quarterly in arrears on the last Business Day of each fiscal quarter of each year during the Revolving Commitment Period, commencing with the first full fiscal quarter ending after the Closing Date, and on the Revolving Commitment 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fees accruing after the Revolving Commitment Termination Date shall be payable on demand.</w:t>
      </w:r>
    </w:p>
    <w:p>
      <w:pPr>
        <w:spacing w:after="0" w:line="178"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on the Closing Date to each Lender party to this Agreement on the Closing Date, as fee compensation for the funding of such Lender’s Initial Term Loan, a closing fee (the “</w:t>
      </w:r>
      <w:r>
        <w:rPr>
          <w:rFonts w:ascii="Times New Roman" w:cs="Times New Roman" w:eastAsia="Times New Roman" w:hAnsi="Times New Roman"/>
          <w:sz w:val="20"/>
          <w:szCs w:val="20"/>
          <w:b w:val="1"/>
          <w:bCs w:val="1"/>
          <w:color w:val="auto"/>
        </w:rPr>
        <w:t>Closing Fee</w:t>
      </w:r>
      <w:r>
        <w:rPr>
          <w:rFonts w:ascii="Times New Roman" w:cs="Times New Roman" w:eastAsia="Times New Roman" w:hAnsi="Times New Roman"/>
          <w:sz w:val="20"/>
          <w:szCs w:val="20"/>
          <w:color w:val="auto"/>
        </w:rPr>
        <w:t xml:space="preserve">”) in an amount equal to 0.25% of the stated principal amount of such Lender’s Term Loan made on the Closing Date. Such Closing Fee will be in all respects fully earned, due and payable on the Closing Date and non-refundable and non-creditable thereafter and such Closing Fee shall be netted against Initial Term Loans (in the form of original issue discount) made by such Lender. In addition, with respect to each advance of Delayed Draw Term Loans made in accordance with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the Borrower agrees to pay to the Administrative Agent, for the ratable account of each Lender with a Delayed Draw Commitment, an upfront fee (the “</w:t>
      </w:r>
      <w:r>
        <w:rPr>
          <w:rFonts w:ascii="Times New Roman" w:cs="Times New Roman" w:eastAsia="Times New Roman" w:hAnsi="Times New Roman"/>
          <w:sz w:val="20"/>
          <w:szCs w:val="20"/>
          <w:b w:val="1"/>
          <w:bCs w:val="1"/>
          <w:color w:val="auto"/>
        </w:rPr>
        <w:t>Delayed Draw Upfront Fee</w:t>
      </w:r>
      <w:r>
        <w:rPr>
          <w:rFonts w:ascii="Times New Roman" w:cs="Times New Roman" w:eastAsia="Times New Roman" w:hAnsi="Times New Roman"/>
          <w:sz w:val="20"/>
          <w:szCs w:val="20"/>
          <w:color w:val="auto"/>
        </w:rPr>
        <w:t>”) in an amount equal to 0.25% of the stated principal amount of such Delayed Draw Term Loans that are made on the date of such advance. Such Delayed Draw Upfront Fee will be in all respects fully earned, due and payable on the date on which such Delayed Draw Term Loans are made and shall be non-refundable thereafter, and such Delayed Draw Upfront Fee shall be netted against the Delayed Draw Term Loans (in the form of original issue discount) made by such Lender on such date.</w:t>
      </w:r>
    </w:p>
    <w:p>
      <w:pPr>
        <w:spacing w:after="0" w:line="186"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the fees payable in the amounts and at the times separately agreed upon.</w:t>
      </w:r>
    </w:p>
    <w:p>
      <w:pPr>
        <w:spacing w:after="0" w:line="160"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time of the effectiveness of any Repricing Event that is consummated during the period commencing on February 5, 2020 and ending on the day immediately prior to the date that is six months after February 5, 2020, the Borrower agrees to pay to the Administrative Agent, for the ratable account of each Lender with Initial Term Loans or Delayed Draw Term Loans that are either repaid, converted or subjected to a pricing reduction in connection with such Repricing Event (including each Lender that withholds its consent to such Repricing Event and is replaced as a Non-Consenting Lender under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a fee in an amount equal to 1.0% of (i) in the case of a Repricing Event described in clause (a) of the definition thereof, the aggregate principal amount of all Initial Term Loans and Delayed Draw Term Loans prepaid (or converted) in connection with such Repricing Event and (ii) in the case of a Repricing Event described in clause (b) of the definition thereof, the aggregate principal amount of all Initial Term Loans and Delayed Draw Term Loans outstanding on such date that are subject to an effective pricing reduction pursuant to such Repricing Event. Such fees shall be earned, due and payable upon the date of the effectiveness of such Repricing Event. Notwithstanding anything to the contrary herein or in any other Loan Document, each Lender hereby agrees to waive any amounts payable by the Borrower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that would have resulted from a refinancing of this Agreement or a Repricing Event.</w:t>
      </w:r>
    </w:p>
    <w:p>
      <w:pPr>
        <w:spacing w:after="0" w:line="19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Lenders (other than any Defaulting Lender) having Delayed Draw Commitments a ticking fee (the “</w:t>
      </w:r>
      <w:r>
        <w:rPr>
          <w:rFonts w:ascii="Times New Roman" w:cs="Times New Roman" w:eastAsia="Times New Roman" w:hAnsi="Times New Roman"/>
          <w:sz w:val="20"/>
          <w:szCs w:val="20"/>
          <w:b w:val="1"/>
          <w:bCs w:val="1"/>
          <w:color w:val="auto"/>
        </w:rPr>
        <w:t>Delayed Draw Ticking Fee</w:t>
      </w:r>
      <w:r>
        <w:rPr>
          <w:rFonts w:ascii="Times New Roman" w:cs="Times New Roman" w:eastAsia="Times New Roman" w:hAnsi="Times New Roman"/>
          <w:sz w:val="20"/>
          <w:szCs w:val="20"/>
          <w:color w:val="auto"/>
        </w:rPr>
        <w:t xml:space="preserve">”) during the Delayed Draw Commitment Period, calculated in an amount equal to the average daily balance of the unfunded and outstanding Delayed Draw Commitments, multiplied by a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rate (calculated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equal to (x) for any day in the period from and including the Closing Date to and including the date that is 45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4" w:name="page195"/>
    <w:bookmarkEnd w:id="194"/>
    <w:p>
      <w:pPr>
        <w:jc w:val="both"/>
        <w:spacing w:after="0" w:line="241" w:lineRule="auto"/>
        <w:rPr>
          <w:sz w:val="20"/>
          <w:szCs w:val="20"/>
          <w:color w:val="auto"/>
        </w:rPr>
      </w:pPr>
      <w:r>
        <w:rPr>
          <w:rFonts w:ascii="Times New Roman" w:cs="Times New Roman" w:eastAsia="Times New Roman" w:hAnsi="Times New Roman"/>
          <w:sz w:val="20"/>
          <w:szCs w:val="20"/>
          <w:color w:val="auto"/>
        </w:rPr>
        <w:t>after the Closing Date, 0%, (y) for any day in the period from and including the date that is 46 days after the Closing Date to and including the date that is 90 days after the Closing Date, 50% of the Eurocurrency Rate Spread (as specified in the definition of “Applicable Rate”) applicable to the Initial Term Loans, and (z) for any day in the period from and including the date that is 91 days after the Closing Date to but excluding the Delayed Draw Commitment Termination Date, 100% of the Eurocurrency Rate Spread (as specified in the definition of “Applicable Rate”) applicable to the Initial Term Loans. Subject to the following sentence, the Delayed Draw Ticking Fee shall accrue on unfunded and outstanding Delayed Draw Commitments from and including the last day on which the Delayed Draw Ticking Fee was paid (or if no such payment date has yet been made, from and including the Closing Date) and shall be due and payable in arrears on (i) each Interest Payment Date applicable to Base Rate Loans (regardless of whether any Base Rate Loans are outstanding) and (ii) the Delayed Draw Commitment Termination Date. The Delayed Draw Ticking Fee also shall be due and payable on each Delayed Draw Closing Date solely to the extent of the Delayed Draw Commitments funded as Delayed Draw Term Loans on such Delayed Draw Closing Date (and such payment shall not affect the accrual of the Delayed Draw Ticking Fee or timing of payment thereof on the remaining unfunded and outstanding Delayed Draw Commitments pursuant to the foregoing sentence).</w:t>
      </w:r>
    </w:p>
    <w:p>
      <w:pPr>
        <w:spacing w:after="0" w:line="19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xml:space="preserve">. All computations of interest for Base Rate Loans calculated by reference to the “prime rate” and for the Delayed Draw Ticking Fee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7"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Evidence of Indebtedness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2" w:lineRule="auto"/>
        <w:tabs>
          <w:tab w:leader="none" w:pos="11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Borrowings made by each Lender shall be evidenced by one or more accounts or records maintained by such Lender and evidenced by one or more entries in the Register maintained by the Administrative Agent, acting solely for purposes of Treasury Regulation Section 5f.103-1(c), as non-fiduciary agent for the Borrower, in each case in the ordinary course of business. The accounts or records maintained by the Administrative Agent and each Lender shall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spacing w:after="0" w:line="19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Upon the request of any Lender made through the Administrative Agent, the Borrower shall execute and deliver to such Lender (through the Administrative Agent) a Note payable to such Lender, which shall evidence the relevant Class of such Lender’s Loans in addition to such accounts or records. Each Lender may attach schedules to its Note and endorse thereon the date, Type (if applicable), amount and maturity of its Loans and payments with respect thereto.</w:t>
      </w:r>
    </w:p>
    <w:p>
      <w:pPr>
        <w:spacing w:after="0" w:line="178" w:lineRule="exact"/>
        <w:rPr>
          <w:sz w:val="20"/>
          <w:szCs w:val="20"/>
          <w:color w:val="auto"/>
        </w:rPr>
      </w:pPr>
    </w:p>
    <w:p>
      <w:pPr>
        <w:jc w:val="both"/>
        <w:ind w:firstLine="757"/>
        <w:spacing w:after="0" w:line="253" w:lineRule="auto"/>
        <w:tabs>
          <w:tab w:leader="none" w:pos="114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Entries made in good faith by the Administrative Agent in the Register pursuant to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and by each Lender in its account or accounts pursuant to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shall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amount of principal and interest due and payable or to become due and payable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5" w:name="page196"/>
    <w:bookmarkEnd w:id="19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7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Payments Generally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1" w:lineRule="auto"/>
        <w:tabs>
          <w:tab w:leader="none" w:pos="11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(New York City time, in the case of any payment in Dollars, or London time, in the case of any payment in an Alternative Currency) on the date specified herein. If, for any reason, the Borrower is prohibited by any Law from making any required payment hereunder in an Alternative Currency, the Borrower shall make such payment in Dollars in the Dollar Amount of the Alternative Currency payment amount. The Administrative Agent will promptly distribute to each Appropriate Lender its Pro Rata Share (or other applicable share as provided herein) of such payment in like funds as received by wire transfer to such Lender’s Lending Office;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proceeds of any borrowing of Revolving Loans to finance the reimbursement of a drawn Letter of Credit as provided in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remitted by the Administrative Agent to the applicable Issuing Bank. All payments received by the Administrative Agent after 1:00 p.m. (New York City time, in the case of any payment in Dollars, or London time, in the case of any payment in an Alternative Currency) shall in each case be deemed received on the next succeeding Business Day and any applicable interest or fee shall continue to accrue.</w:t>
      </w:r>
    </w:p>
    <w:p>
      <w:pPr>
        <w:spacing w:after="0" w:line="193"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0"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Borrower has notified the Administrative Agent, prior to the date any payment is required to be made by it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w:t>
      </w:r>
    </w:p>
    <w:p>
      <w:pPr>
        <w:spacing w:after="0" w:line="191"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Borrowing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hereunder to make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6" w:name="page197"/>
    <w:bookmarkEnd w:id="196"/>
    <w:p>
      <w:pPr>
        <w:spacing w:after="0" w:line="295" w:lineRule="auto"/>
        <w:rPr>
          <w:sz w:val="20"/>
          <w:szCs w:val="20"/>
          <w:color w:val="auto"/>
        </w:rPr>
      </w:pPr>
      <w:r>
        <w:rPr>
          <w:rFonts w:ascii="Times New Roman" w:cs="Times New Roman" w:eastAsia="Times New Roman" w:hAnsi="Times New Roman"/>
          <w:sz w:val="19"/>
          <w:szCs w:val="19"/>
          <w:color w:val="auto"/>
        </w:rPr>
        <w:t>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37" w:lineRule="exact"/>
        <w:rPr>
          <w:sz w:val="20"/>
          <w:szCs w:val="20"/>
          <w:color w:val="auto"/>
        </w:rPr>
      </w:pPr>
    </w:p>
    <w:p>
      <w:pPr>
        <w:ind w:right="20" w:firstLine="757"/>
        <w:spacing w:after="0" w:line="268" w:lineRule="auto"/>
        <w:tabs>
          <w:tab w:leader="none" w:pos="114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0"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w:t>
      </w:r>
    </w:p>
    <w:p>
      <w:pPr>
        <w:spacing w:after="0" w:line="186"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fail to make any payment required to be made by it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then the Administrative Agent may, in its discretion and notwithstanding any contrary provision hereof, (i) apply any amounts thereafter received by the Administrative Agent for the account of such Lender for the benefit of the Administrative Agent, the Swing Line Lender or the Issuing Banks, as applicable, to satisfy such Lender’s obligations to the Administrative Agent, the Swing Line Lender and the Issuing Banks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SECTION 2.15 </w:t>
      </w:r>
      <w:r>
        <w:rPr>
          <w:rFonts w:ascii="Times New Roman" w:cs="Times New Roman" w:eastAsia="Times New Roman" w:hAnsi="Times New Roman"/>
          <w:sz w:val="19"/>
          <w:szCs w:val="19"/>
          <w:u w:val="single" w:color="auto"/>
          <w:color w:val="auto"/>
        </w:rPr>
        <w:t>Sharing of Payments, Etc.</w:t>
      </w:r>
      <w:r>
        <w:rPr>
          <w:rFonts w:ascii="Times New Roman" w:cs="Times New Roman" w:eastAsia="Times New Roman" w:hAnsi="Times New Roman"/>
          <w:sz w:val="19"/>
          <w:szCs w:val="19"/>
          <w:color w:val="auto"/>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19"/>
          <w:szCs w:val="19"/>
          <w:u w:val="single" w:color="auto"/>
          <w:color w:val="auto"/>
        </w:rPr>
        <w:t>Section 11.06</w:t>
      </w:r>
      <w:r>
        <w:rPr>
          <w:rFonts w:ascii="Times New Roman" w:cs="Times New Roman" w:eastAsia="Times New Roman" w:hAnsi="Times New Roman"/>
          <w:sz w:val="19"/>
          <w:szCs w:val="19"/>
          <w:color w:val="auto"/>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w:t>
      </w:r>
    </w:p>
    <w:p>
      <w:pPr>
        <w:spacing w:after="0" w:line="2" w:lineRule="exact"/>
        <w:rPr>
          <w:sz w:val="20"/>
          <w:szCs w:val="20"/>
          <w:color w:val="auto"/>
        </w:rPr>
      </w:pPr>
    </w:p>
    <w:p>
      <w:pPr>
        <w:jc w:val="both"/>
        <w:ind w:firstLine="8"/>
        <w:spacing w:after="0"/>
        <w:tabs>
          <w:tab w:leader="none" w:pos="2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 of this Agreement as in effect from time to time (including </w:t>
      </w:r>
      <w:r>
        <w:rPr>
          <w:rFonts w:ascii="Times New Roman" w:cs="Times New Roman" w:eastAsia="Times New Roman" w:hAnsi="Times New Roman"/>
          <w:sz w:val="20"/>
          <w:szCs w:val="20"/>
          <w:u w:val="single" w:color="auto"/>
          <w:color w:val="auto"/>
        </w:rPr>
        <w:t>Section 2.07(a)(iv)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7" w:name="page198"/>
    <w:bookmarkEnd w:id="197"/>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exercise all its rights of payment (including the right of setoff, but subject to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u w:val="single" w:color="auto"/>
          <w:color w:val="auto"/>
        </w:rPr>
        <w:t>Incremental Borrowings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4" w:lineRule="auto"/>
        <w:tabs>
          <w:tab w:leader="none" w:pos="115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At any time and from time to time, on one or more occasions, the Borrower may, by notice to the Administrative Agent, (i) increase the aggregate principal amount of any outstanding tranche of Term Loans or add one or more additional tranches of term loans under the Loan Documents (the “</w:t>
      </w:r>
      <w:r>
        <w:rPr>
          <w:rFonts w:ascii="Times New Roman" w:cs="Times New Roman" w:eastAsia="Times New Roman" w:hAnsi="Times New Roman"/>
          <w:sz w:val="20"/>
          <w:szCs w:val="20"/>
          <w:b w:val="1"/>
          <w:bCs w:val="1"/>
          <w:color w:val="auto"/>
        </w:rPr>
        <w:t>Incremental Term Facilities</w:t>
      </w:r>
      <w:r>
        <w:rPr>
          <w:rFonts w:ascii="Times New Roman" w:cs="Times New Roman" w:eastAsia="Times New Roman" w:hAnsi="Times New Roman"/>
          <w:sz w:val="20"/>
          <w:szCs w:val="20"/>
          <w:color w:val="auto"/>
        </w:rPr>
        <w:t>” and the term loans made thereunder, the “</w:t>
      </w:r>
      <w:r>
        <w:rPr>
          <w:rFonts w:ascii="Times New Roman" w:cs="Times New Roman" w:eastAsia="Times New Roman" w:hAnsi="Times New Roman"/>
          <w:sz w:val="20"/>
          <w:szCs w:val="20"/>
          <w:b w:val="1"/>
          <w:bCs w:val="1"/>
          <w:color w:val="auto"/>
        </w:rPr>
        <w:t>Incremental Term Loans</w:t>
      </w:r>
      <w:r>
        <w:rPr>
          <w:rFonts w:ascii="Times New Roman" w:cs="Times New Roman" w:eastAsia="Times New Roman" w:hAnsi="Times New Roman"/>
          <w:sz w:val="20"/>
          <w:szCs w:val="20"/>
          <w:color w:val="auto"/>
        </w:rPr>
        <w:t>”) or (ii) increase the aggregate principal amount of Revolving Commitments or add one or more additional revolving loan facilities under the Loan Documents (the “</w:t>
      </w:r>
      <w:r>
        <w:rPr>
          <w:rFonts w:ascii="Times New Roman" w:cs="Times New Roman" w:eastAsia="Times New Roman" w:hAnsi="Times New Roman"/>
          <w:sz w:val="20"/>
          <w:szCs w:val="20"/>
          <w:b w:val="1"/>
          <w:bCs w:val="1"/>
          <w:color w:val="auto"/>
        </w:rPr>
        <w:t>Incremental Revolving Facilities</w:t>
      </w:r>
      <w:r>
        <w:rPr>
          <w:rFonts w:ascii="Times New Roman" w:cs="Times New Roman" w:eastAsia="Times New Roman" w:hAnsi="Times New Roman"/>
          <w:sz w:val="20"/>
          <w:szCs w:val="20"/>
          <w:color w:val="auto"/>
        </w:rPr>
        <w:t>” and the revolving loans and other extensions of credit made thereunder, the “</w:t>
      </w:r>
      <w:r>
        <w:rPr>
          <w:rFonts w:ascii="Times New Roman" w:cs="Times New Roman" w:eastAsia="Times New Roman" w:hAnsi="Times New Roman"/>
          <w:sz w:val="20"/>
          <w:szCs w:val="20"/>
          <w:b w:val="1"/>
          <w:bCs w:val="1"/>
          <w:color w:val="auto"/>
        </w:rPr>
        <w:t>Incremental Revolving Loans</w:t>
      </w:r>
      <w:r>
        <w:rPr>
          <w:rFonts w:ascii="Times New Roman" w:cs="Times New Roman" w:eastAsia="Times New Roman" w:hAnsi="Times New Roman"/>
          <w:sz w:val="20"/>
          <w:szCs w:val="20"/>
          <w:color w:val="auto"/>
        </w:rPr>
        <w:t>”; each such increase or tranche pursuant to clauses (i) and (ii), an “</w:t>
      </w: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 and the loans or other extensions of credit made thereunder, the “</w:t>
      </w:r>
      <w:r>
        <w:rPr>
          <w:rFonts w:ascii="Times New Roman" w:cs="Times New Roman" w:eastAsia="Times New Roman" w:hAnsi="Times New Roman"/>
          <w:sz w:val="20"/>
          <w:szCs w:val="20"/>
          <w:b w:val="1"/>
          <w:bCs w:val="1"/>
          <w:color w:val="auto"/>
        </w:rPr>
        <w:t>Incremental Loans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50" w:lineRule="auto"/>
        <w:tabs>
          <w:tab w:leader="none" w:pos="115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Ranking</w:t>
      </w:r>
      <w:r>
        <w:rPr>
          <w:rFonts w:ascii="Times New Roman" w:cs="Times New Roman" w:eastAsia="Times New Roman" w:hAnsi="Times New Roman"/>
          <w:sz w:val="20"/>
          <w:szCs w:val="20"/>
          <w:color w:val="auto"/>
        </w:rPr>
        <w:t xml:space="preserve">. Incremental Facilities (i) may rank either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with the Initial Term Loans, the Delayed Draw Term Loans and the initial Revolving Commitments, (ii) may either be unsecured or secured by the Collateral (or assets that become Collateral) (including secured by Liens that secure the Facilities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basis) and (iii) may be guaranteed only by the Loan Parties (or Persons that become Loan Parties).</w:t>
      </w:r>
    </w:p>
    <w:p>
      <w:pPr>
        <w:spacing w:after="0" w:line="178"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Size and Currency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aggregate principal amount of Incremental Facilities on any date Indebtedness thereunder is first incurred (or commitments with respect thereto are received (x) in the case of any Incremental Revolving Facility, assuming such commitments are fully drawn on such date, and (y) in the case of any Incremental Term Facility with a delayed draw feature, at the Borrower’s option either assuming any incremental commitments thereunder are fully drawn on such date or determined based on the date and actual amount of funding thereof), together with the aggregate principal amount of Incremental Equivalent Debt outstanding on such date, will not exceed, an amount equal to,</w:t>
      </w:r>
    </w:p>
    <w:p>
      <w:pPr>
        <w:spacing w:after="0" w:line="178"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Fixed Incremental Amount, </w:t>
      </w:r>
      <w:r>
        <w:rPr>
          <w:rFonts w:ascii="Times New Roman" w:cs="Times New Roman" w:eastAsia="Times New Roman" w:hAnsi="Times New Roman"/>
          <w:sz w:val="20"/>
          <w:szCs w:val="20"/>
          <w:i w:val="1"/>
          <w:iCs w:val="1"/>
          <w:u w:val="single" w:color="auto"/>
          <w:color w:val="auto"/>
        </w:rPr>
        <w:t>plus</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2" w:lineRule="auto"/>
        <w:tabs>
          <w:tab w:leader="none" w:pos="2203"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Ratio Amount, (the sum of the Fixed Incremental Amount and the Ratio Amount, the “ </w:t>
      </w:r>
      <w:r>
        <w:rPr>
          <w:rFonts w:ascii="Times New Roman" w:cs="Times New Roman" w:eastAsia="Times New Roman" w:hAnsi="Times New Roman"/>
          <w:sz w:val="20"/>
          <w:szCs w:val="20"/>
          <w:b w:val="1"/>
          <w:bCs w:val="1"/>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0"/>
          <w:szCs w:val="20"/>
          <w:color w:val="auto"/>
        </w:rPr>
        <w:t>”). Calculation of the Incremental Amount shall be made on Pro Forma Basis and evidenced by a certificate from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Responsible Officer of the Borrower demonstrating such calculation in reasonable detail. Each Incremental Amendment executed in connection with an Incremental Facility shall identify whether all or any portion of such Incremental Facility is being incurred pursuant to clauses (i) or (ii) above or a combination of such clauses. Each Incremental Facility will be in an integral multiple of $1,000,000 and in an aggregate principal amount that is not less than $10,000,000 (or such lesser minimum amount approved by the Administrative Agent in its reasonable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 may be less than such minimum amount or integral multiple amount if such amount represents all the remaining availability under the Incremental Amount at such time. Any Incremental Facility may be denominated in Dollars or in any Alternative Currency (and in the case of any Alternative Currency, the Dollar Amount thereof as of the date of incurrence (or, in the case of an LCA Election,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8" w:name="page199"/>
    <w:bookmarkEnd w:id="198"/>
    <w:p>
      <w:pPr>
        <w:jc w:val="both"/>
        <w:ind w:left="752"/>
        <w:spacing w:after="0" w:line="253" w:lineRule="auto"/>
        <w:rPr>
          <w:sz w:val="20"/>
          <w:szCs w:val="20"/>
          <w:color w:val="auto"/>
        </w:rPr>
      </w:pPr>
      <w:r>
        <w:rPr>
          <w:rFonts w:ascii="Times New Roman" w:cs="Times New Roman" w:eastAsia="Times New Roman" w:hAnsi="Times New Roman"/>
          <w:sz w:val="20"/>
          <w:szCs w:val="20"/>
          <w:color w:val="auto"/>
        </w:rPr>
        <w:t>the applicable LCA Test Date) shall be controlling for purposes of determining compliance with the Incremental Amount, and the minimum amount and integral multiples shall be a Dollar Amount of $10,000,000 or $1,000,000, respectively (or, in each case, such lesser minimum amount approved by the Administrative Agent in its reasonable discretion)).</w:t>
      </w:r>
    </w:p>
    <w:p>
      <w:pPr>
        <w:spacing w:after="0" w:line="176" w:lineRule="exact"/>
        <w:rPr>
          <w:sz w:val="20"/>
          <w:szCs w:val="20"/>
          <w:color w:val="auto"/>
        </w:rPr>
      </w:pPr>
    </w:p>
    <w:p>
      <w:pPr>
        <w:jc w:val="both"/>
        <w:ind w:left="-8" w:firstLine="757"/>
        <w:spacing w:after="0" w:line="241" w:lineRule="auto"/>
        <w:tabs>
          <w:tab w:leader="none" w:pos="1163"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 arrangers thereof, if any, in their discretion, chose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lenders providing the Incremental Facilities will be reasonably acceptable to the (i) Borrower, (ii) the Administrative Agent and (iii) solely with respect to any Incremental Revolving Facility, each Issuing Bank (except that, in the case of clauses (ii) and (iii), only to the extent such Person otherwise would have a consent right to an assignment of such loans or commitments to such lender, such consent not to be unreasonably withheld, conditioned or delayed). For the avoidance of doubt, any Affiliated Lender that provides any Incremental Loans shall be subject to the limitations on Affiliated Lenders set forth in </w:t>
      </w:r>
      <w:r>
        <w:rPr>
          <w:rFonts w:ascii="Times New Roman" w:cs="Times New Roman" w:eastAsia="Times New Roman" w:hAnsi="Times New Roman"/>
          <w:sz w:val="20"/>
          <w:szCs w:val="20"/>
          <w:u w:val="single" w:color="auto"/>
          <w:color w:val="auto"/>
        </w:rPr>
        <w:t>Section 11.07(h)</w:t>
      </w:r>
      <w:r>
        <w:rPr>
          <w:rFonts w:ascii="Times New Roman" w:cs="Times New Roman" w:eastAsia="Times New Roman" w:hAnsi="Times New Roman"/>
          <w:sz w:val="20"/>
          <w:szCs w:val="20"/>
          <w:color w:val="auto"/>
        </w:rPr>
        <w:t xml:space="preserve"> (including the Affiliated Lender Term Loan Cap, as applicable).</w:t>
      </w:r>
    </w:p>
    <w:p>
      <w:pPr>
        <w:spacing w:after="0" w:line="191" w:lineRule="exact"/>
        <w:rPr>
          <w:rFonts w:ascii="Times New Roman" w:cs="Times New Roman" w:eastAsia="Times New Roman" w:hAnsi="Times New Roman"/>
          <w:sz w:val="20"/>
          <w:szCs w:val="20"/>
          <w:color w:val="auto"/>
        </w:rPr>
      </w:pPr>
    </w:p>
    <w:p>
      <w:pPr>
        <w:jc w:val="both"/>
        <w:ind w:left="-8" w:firstLine="757"/>
        <w:spacing w:after="0" w:line="255" w:lineRule="auto"/>
        <w:tabs>
          <w:tab w:leader="none" w:pos="1190"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Facility Amendments; Use of Proceeds</w:t>
      </w:r>
      <w:r>
        <w:rPr>
          <w:rFonts w:ascii="Times New Roman" w:cs="Times New Roman" w:eastAsia="Times New Roman" w:hAnsi="Times New Roman"/>
          <w:sz w:val="19"/>
          <w:szCs w:val="19"/>
          <w:color w:val="auto"/>
        </w:rPr>
        <w:t>. Each Incremental Facility will become effective pursuant to an amendment (each, an “</w:t>
      </w:r>
      <w:r>
        <w:rPr>
          <w:rFonts w:ascii="Times New Roman" w:cs="Times New Roman" w:eastAsia="Times New Roman" w:hAnsi="Times New Roman"/>
          <w:sz w:val="19"/>
          <w:szCs w:val="19"/>
          <w:b w:val="1"/>
          <w:bCs w:val="1"/>
          <w:color w:val="auto"/>
        </w:rPr>
        <w:t>Incremental Amendment</w:t>
      </w:r>
      <w:r>
        <w:rPr>
          <w:rFonts w:ascii="Times New Roman" w:cs="Times New Roman" w:eastAsia="Times New Roman" w:hAnsi="Times New Roman"/>
          <w:sz w:val="19"/>
          <w:szCs w:val="19"/>
          <w:color w:val="auto"/>
        </w:rPr>
        <w:t xml:space="preserve">”) to this Agreement and, as appropriate, the other Loan Documents, executed by the Borrower and each Person providing such Incremental Facility and the Administrative Agent. The Administrative Agent will promptly notify each Lender as to the effectiveness of each Incremental Amendment. Incremental Amendments may, without the consent of any other Lenders, effect such amendments to this Agreement and the other Loan Documents as may be necessary or appropriate, in the reasonable opinion of the Borrower in consultation with the Administrative Agent, to effect the provisions of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to the extent practicable, to make an Incremental Loan fungible (including for tax purposes) with other Loans (subject to the limitations under </w:t>
      </w:r>
      <w:r>
        <w:rPr>
          <w:rFonts w:ascii="Times New Roman" w:cs="Times New Roman" w:eastAsia="Times New Roman" w:hAnsi="Times New Roman"/>
          <w:sz w:val="19"/>
          <w:szCs w:val="19"/>
          <w:u w:val="single" w:color="auto"/>
          <w:color w:val="auto"/>
        </w:rPr>
        <w:t>sub-clauses</w:t>
      </w:r>
    </w:p>
    <w:p>
      <w:pPr>
        <w:spacing w:after="0" w:line="1" w:lineRule="exact"/>
        <w:rPr>
          <w:rFonts w:ascii="Times New Roman" w:cs="Times New Roman" w:eastAsia="Times New Roman" w:hAnsi="Times New Roman"/>
          <w:sz w:val="19"/>
          <w:szCs w:val="19"/>
          <w:color w:val="auto"/>
        </w:rPr>
      </w:pPr>
    </w:p>
    <w:p>
      <w:pPr>
        <w:jc w:val="both"/>
        <w:ind w:left="-8" w:firstLine="8"/>
        <w:spacing w:after="0" w:line="239" w:lineRule="auto"/>
        <w:tabs>
          <w:tab w:leader="none" w:pos="279" w:val="left"/>
        </w:tabs>
        <w:numPr>
          <w:ilvl w:val="0"/>
          <w:numId w:val="1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of this Section) to the extent practicable. Without limiting the foregoing, an Incremental Amendment may (i) extend or add “call protection” to any existing tranche of Term Loans, including amendments to </w:t>
      </w:r>
      <w:r>
        <w:rPr>
          <w:rFonts w:ascii="Times New Roman" w:cs="Times New Roman" w:eastAsia="Times New Roman" w:hAnsi="Times New Roman"/>
          <w:sz w:val="20"/>
          <w:szCs w:val="20"/>
          <w:u w:val="single" w:color="auto"/>
          <w:color w:val="auto"/>
        </w:rPr>
        <w:t>Section 2.11(g)</w:t>
      </w:r>
      <w:r>
        <w:rPr>
          <w:rFonts w:ascii="Times New Roman" w:cs="Times New Roman" w:eastAsia="Times New Roman" w:hAnsi="Times New Roman"/>
          <w:sz w:val="20"/>
          <w:szCs w:val="20"/>
          <w:color w:val="auto"/>
        </w:rPr>
        <w:t xml:space="preserve">, and (ii) amend the schedule of amortization payments relating to any existing tranche of Term Loans, including amendments to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amendment shall not decrease any amortization payment to any Lender that would have otherwise been payable to such Lender prior to the effectiveness of the applicable Incremental Amendment), in the case of each clause (i) and (ii), so that such Incremental Term Loans and the applicable existing Term Loans form the same Class of Term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amendments are not adverse to the existing Term Loan Lenders (as determined in good faith by the Borrower).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Term Loans evidenced thereby.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 xml:space="preserve"> to the contrary. The Borrower may use the proceeds of the Incremental Loans for any purpose not prohibited by this Agreement.</w:t>
      </w:r>
    </w:p>
    <w:p>
      <w:pPr>
        <w:spacing w:after="0" w:line="196" w:lineRule="exact"/>
        <w:rPr>
          <w:rFonts w:ascii="Times New Roman" w:cs="Times New Roman" w:eastAsia="Times New Roman" w:hAnsi="Times New Roman"/>
          <w:sz w:val="20"/>
          <w:szCs w:val="20"/>
          <w:u w:val="single" w:color="auto"/>
          <w:color w:val="auto"/>
        </w:rPr>
      </w:pPr>
    </w:p>
    <w:p>
      <w:pPr>
        <w:jc w:val="both"/>
        <w:ind w:left="-8" w:firstLine="757"/>
        <w:spacing w:after="0" w:line="253" w:lineRule="auto"/>
        <w:tabs>
          <w:tab w:leader="none" w:pos="113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 xml:space="preserve">. The availability of Incremental Facilities under this Agreement will be subject solely to the following conditions, subject, for the avoidance of doubt,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measured on the date of the initial borrowing under such Incremental Facility (or, with respect to (x) any Incremental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310515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199" w:name="page200"/>
    <w:bookmarkEnd w:id="199"/>
    <w:p>
      <w:pPr>
        <w:jc w:val="both"/>
        <w:spacing w:after="0" w:line="253" w:lineRule="auto"/>
        <w:rPr>
          <w:sz w:val="20"/>
          <w:szCs w:val="20"/>
          <w:color w:val="auto"/>
        </w:rPr>
      </w:pPr>
      <w:r>
        <w:rPr>
          <w:rFonts w:ascii="Times New Roman" w:cs="Times New Roman" w:eastAsia="Times New Roman" w:hAnsi="Times New Roman"/>
          <w:sz w:val="20"/>
          <w:szCs w:val="20"/>
          <w:color w:val="auto"/>
        </w:rPr>
        <w:t>Revolving Facility, the date commitments with respect thereto are received and (y) any Incremental Term Facility with a delayed draw feature, at the Borrower’s option, either the date commitments with respect thereto are received or the date and amount of actual funding thereof):</w:t>
      </w:r>
    </w:p>
    <w:p>
      <w:pPr>
        <w:spacing w:after="0" w:line="172" w:lineRule="exact"/>
        <w:rPr>
          <w:sz w:val="20"/>
          <w:szCs w:val="20"/>
          <w:color w:val="auto"/>
        </w:rPr>
      </w:pPr>
    </w:p>
    <w:p>
      <w:pPr>
        <w:jc w:val="both"/>
        <w:ind w:left="760" w:firstLine="1045"/>
        <w:spacing w:after="0" w:line="250" w:lineRule="auto"/>
        <w:tabs>
          <w:tab w:leader="none" w:pos="2203"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Event of Default shall have occurred and be continuing or would result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condition set forth in this clause (i) may be waived or not required (other than with respect to Specified Events of Default) by the Persons providing such Incremental Facilities if the proceeds of the initial Borrowings under such Incremental Facilities will be used to finance, in whole or in part, a Permitted Investment; and</w:t>
      </w:r>
    </w:p>
    <w:p>
      <w:pPr>
        <w:spacing w:after="0" w:line="178" w:lineRule="exact"/>
        <w:rPr>
          <w:rFonts w:ascii="Times New Roman" w:cs="Times New Roman" w:eastAsia="Times New Roman" w:hAnsi="Times New Roman"/>
          <w:sz w:val="20"/>
          <w:szCs w:val="20"/>
          <w:color w:val="auto"/>
        </w:rPr>
      </w:pPr>
    </w:p>
    <w:p>
      <w:pPr>
        <w:jc w:val="both"/>
        <w:ind w:left="760" w:right="20" w:firstLine="1045"/>
        <w:spacing w:after="0" w:line="245" w:lineRule="auto"/>
        <w:tabs>
          <w:tab w:leader="none" w:pos="2203"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condition set forth in this clause (ii) may be waived or not required (other than with respect to the Specified Representations) by the Persons providing such Incremental Facilities if the proceeds of the initial Borrowings under such Incremental Facilities will be used to finance, in whole or in part, a Permitted Investment.</w:t>
      </w:r>
    </w:p>
    <w:p>
      <w:pPr>
        <w:spacing w:after="0" w:line="182" w:lineRule="exact"/>
        <w:rPr>
          <w:rFonts w:ascii="Times New Roman" w:cs="Times New Roman" w:eastAsia="Times New Roman" w:hAnsi="Times New Roman"/>
          <w:sz w:val="20"/>
          <w:szCs w:val="20"/>
          <w:color w:val="auto"/>
        </w:rPr>
      </w:pPr>
    </w:p>
    <w:p>
      <w:pPr>
        <w:ind w:firstLine="757"/>
        <w:spacing w:after="0" w:line="268" w:lineRule="auto"/>
        <w:tabs>
          <w:tab w:leader="none" w:pos="115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w:t>
      </w:r>
      <w:r>
        <w:rPr>
          <w:rFonts w:ascii="Times New Roman" w:cs="Times New Roman" w:eastAsia="Times New Roman" w:hAnsi="Times New Roman"/>
          <w:sz w:val="20"/>
          <w:szCs w:val="20"/>
          <w:color w:val="auto"/>
        </w:rPr>
        <w:t xml:space="preserve">. Each Incremental Amendment will set forth the amount and terms of the relevant Incremental Facility. The terms of each Incremental Facility will be as agreed between the Borrower and the Persons providing such Incremental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final maturity date of any such Incremental Term Loans will be no earlier than the Latest Maturity Date of the Initial Term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shall not apply to the incurrence of any Incremental Term Loans pursuant to the Inside Maturity Exception;</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Weighted Average Life to Maturity of any such Incremental Term Loans will be no shorter than the remaining Weighted Average Life to Maturity of the Initial Term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shall not apply to the incurrence of any Incremental Term Loans pursuant to the Inside Maturity Exception;</w:t>
      </w:r>
    </w:p>
    <w:p>
      <w:pPr>
        <w:spacing w:after="0" w:line="172" w:lineRule="exact"/>
        <w:rPr>
          <w:rFonts w:ascii="Times New Roman" w:cs="Times New Roman" w:eastAsia="Times New Roman" w:hAnsi="Times New Roman"/>
          <w:sz w:val="20"/>
          <w:szCs w:val="20"/>
          <w:color w:val="auto"/>
        </w:rPr>
      </w:pPr>
    </w:p>
    <w:p>
      <w:pPr>
        <w:jc w:val="both"/>
        <w:ind w:left="760" w:firstLine="1045"/>
        <w:spacing w:after="0" w:line="247" w:lineRule="auto"/>
        <w:tabs>
          <w:tab w:leader="none" w:pos="2203"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mandatory prepayment of such Incremental Term Loans may participate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a less than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basis in any mandatory repayments or prepayments of the Initial Term Loans, but not on a greater than</w:t>
      </w:r>
      <w:r>
        <w:rPr>
          <w:rFonts w:ascii="Times New Roman" w:cs="Times New Roman" w:eastAsia="Times New Roman" w:hAnsi="Times New Roman"/>
          <w:sz w:val="20"/>
          <w:szCs w:val="20"/>
          <w:i w:val="1"/>
          <w:iCs w:val="1"/>
          <w:color w:val="auto"/>
        </w:rPr>
        <w:t xml:space="preserve"> pro rata </w:t>
      </w:r>
      <w:r>
        <w:rPr>
          <w:rFonts w:ascii="Times New Roman" w:cs="Times New Roman" w:eastAsia="Times New Roman" w:hAnsi="Times New Roman"/>
          <w:sz w:val="20"/>
          <w:szCs w:val="20"/>
          <w:color w:val="auto"/>
        </w:rPr>
        <w:t>basis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Initial Term Loans (other than (A) any repayment of such Incremental Term Loans at maturity and (B) any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repayment of such Incremental Term Loans with the proceeds of Credit Agreement Refinancing Indebtedness with respect to a mandatory prepayment pursuant to </w:t>
      </w:r>
      <w:r>
        <w:rPr>
          <w:rFonts w:ascii="Times New Roman" w:cs="Times New Roman" w:eastAsia="Times New Roman" w:hAnsi="Times New Roman"/>
          <w:sz w:val="20"/>
          <w:szCs w:val="20"/>
          <w:u w:val="single" w:color="auto"/>
          <w:color w:val="auto"/>
        </w:rPr>
        <w:t>Section 2.07(b)(iii)(B)</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left="760" w:firstLine="1045"/>
        <w:spacing w:after="0" w:line="257" w:lineRule="auto"/>
        <w:tabs>
          <w:tab w:leader="none" w:pos="2203"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to the extent secured, such Incremental Term Facilities or Incremental Revolving Facilities, as applicable, shall not be secured by any Lien on any property or asset of the Borrower or any Guarantor that does not also secure the Term Loans or Revolving Loans, as applicable, at the time of such incurrence (except (1) customary cash collateral in favor of an agent, letter of credit issuer or similar “fronting” lender, (2) Liens on property or assets applicable only to periods after the Latest Maturity Date of the Term Loans or Revolving Loans, as applicable, at the time of incurrence and (3) any Liens on property or assets to the extent that a Lien on such property or asset is also added for the benefit of the Lenders under the Term Loans or Revolving Loans, as applicable) and (B) to the extent guaranteed, such Incremental Term Facilities or Incremental Revolving Facilities, as applicable, shall not be incurred or guaranteed by any Loan Party other than the Borrower and the Guarantors (including any Person required to be a Guarantor) (except (1) for guarantees by other Persons that are applicable only to periods after the Latest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0" w:name="page201"/>
    <w:bookmarkEnd w:id="200"/>
    <w:p>
      <w:pPr>
        <w:jc w:val="both"/>
        <w:ind w:left="3"/>
        <w:spacing w:after="0" w:line="253" w:lineRule="auto"/>
        <w:rPr>
          <w:sz w:val="20"/>
          <w:szCs w:val="20"/>
          <w:color w:val="auto"/>
        </w:rPr>
      </w:pPr>
      <w:r>
        <w:rPr>
          <w:rFonts w:ascii="Times New Roman" w:cs="Times New Roman" w:eastAsia="Times New Roman" w:hAnsi="Times New Roman"/>
          <w:sz w:val="20"/>
          <w:szCs w:val="20"/>
          <w:color w:val="auto"/>
        </w:rPr>
        <w:t>of the Term Loans or Revolving Loans, as applicable, at the time of incurrence and (2) any such Person incurring or guaranteeing such Incremental Term Facilities or Incremental Revolving Facilities, as applicable, that also guarantees the Term Loans or Revolving Loans, as applicable); and</w:t>
      </w:r>
    </w:p>
    <w:p>
      <w:pPr>
        <w:spacing w:after="0" w:line="176" w:lineRule="exact"/>
        <w:rPr>
          <w:sz w:val="20"/>
          <w:szCs w:val="20"/>
          <w:color w:val="auto"/>
        </w:rPr>
      </w:pPr>
    </w:p>
    <w:p>
      <w:pPr>
        <w:jc w:val="both"/>
        <w:ind w:left="3" w:firstLine="1045"/>
        <w:spacing w:after="0" w:line="246" w:lineRule="auto"/>
        <w:tabs>
          <w:tab w:leader="none" w:pos="1447"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set forth herein, all terms of any Incremental Revolving Facility shall be on terms and pursuant to documentation applicable to the Revolving Facility and all other terms of any Incremental Term Facility shall be on terms (including subordination terms, if applicable) and pursuant to documentation to be determined by the Borrower and the providers of the Incremental Term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operational and agency provisions contained in such documentation shall be reasonably satisfactory to the Administrative Agent and the Borrower.</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41" w:lineRule="auto"/>
        <w:tabs>
          <w:tab w:leader="none" w:pos="41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Pricing</w:t>
      </w:r>
      <w:r>
        <w:rPr>
          <w:rFonts w:ascii="Times New Roman" w:cs="Times New Roman" w:eastAsia="Times New Roman" w:hAnsi="Times New Roman"/>
          <w:sz w:val="20"/>
          <w:szCs w:val="20"/>
          <w:color w:val="auto"/>
        </w:rPr>
        <w:t xml:space="preserve">. The interest rate, fees and original issue discount for any Incremental Term Loans will be as determined by the Borrower and the Persons providing such Incremental Term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the All-In Yield applicable to any Incremental Term Loans (other than any Excluded Incremental Term Loan (as defined below)) that are incurred during the first six months following the Closing Date and are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Initial Term Loans exceeds the All-In Yield (taking into account the leverage-based pricing grid therein and any comparable leverage-based pricing grid applicable to such Incremental Term Loans) for the Initial Term Loans by more than 75 basis points, then the interest rate margins for the Initial Term Loans shall be increased to the extent necessary so that the All-In Yield for such Term Loans is equal to the All-In Yield for such Incremental Term Loans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75 basis points. “</w:t>
      </w:r>
      <w:r>
        <w:rPr>
          <w:rFonts w:ascii="Times New Roman" w:cs="Times New Roman" w:eastAsia="Times New Roman" w:hAnsi="Times New Roman"/>
          <w:sz w:val="20"/>
          <w:szCs w:val="20"/>
          <w:b w:val="1"/>
          <w:bCs w:val="1"/>
          <w:color w:val="auto"/>
        </w:rPr>
        <w:t>Excluded Incremental Term Loan</w:t>
      </w:r>
      <w:r>
        <w:rPr>
          <w:rFonts w:ascii="Times New Roman" w:cs="Times New Roman" w:eastAsia="Times New Roman" w:hAnsi="Times New Roman"/>
          <w:sz w:val="20"/>
          <w:szCs w:val="20"/>
          <w:color w:val="auto"/>
        </w:rPr>
        <w:t>” means any (i) Incremental Term Loans incurred in reliance on the Ratio Amount, (ii) Incremental Term Loans with a scheduled maturity date more than one years after the initial scheduled maturity date for the Initial Term Loans, (iii) Incremental Term Loans incurred in connection with a Permitted Investment, (iv) Incremental Term Loans in an original aggregate principal amount not to exceed the greater of (A) 50% of Closing Date EBITDA and (B) 50% of TTM Consolidated Adjusted EBITDA as of the applicable date of determination, (v) Incremental Term Loans that are not a syndicated “term loan b” facility or (vi) Incremental Term Loans that are not denominated in Dollars.</w:t>
      </w:r>
    </w:p>
    <w:p>
      <w:pPr>
        <w:spacing w:after="0" w:line="193"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to Revolving Loans</w:t>
      </w:r>
      <w:r>
        <w:rPr>
          <w:rFonts w:ascii="Times New Roman" w:cs="Times New Roman" w:eastAsia="Times New Roman" w:hAnsi="Times New Roman"/>
          <w:sz w:val="20"/>
          <w:szCs w:val="20"/>
          <w:color w:val="auto"/>
        </w:rPr>
        <w:t xml:space="preserve">. Upon each increase in the Revolving Commitments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 w:firstLine="1045"/>
        <w:spacing w:after="0" w:line="243" w:lineRule="auto"/>
        <w:tabs>
          <w:tab w:leader="none" w:pos="144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Lender immediately prior to such increase will automatically and without further act be deemed to have assigned to each lender providing a portion of such increase (each an “</w:t>
      </w:r>
      <w:r>
        <w:rPr>
          <w:rFonts w:ascii="Times New Roman" w:cs="Times New Roman" w:eastAsia="Times New Roman" w:hAnsi="Times New Roman"/>
          <w:sz w:val="20"/>
          <w:szCs w:val="20"/>
          <w:b w:val="1"/>
          <w:bCs w:val="1"/>
          <w:color w:val="auto"/>
        </w:rPr>
        <w:t>Incremental Revolving Facility Lender</w:t>
      </w:r>
      <w:r>
        <w:rPr>
          <w:rFonts w:ascii="Times New Roman" w:cs="Times New Roman" w:eastAsia="Times New Roman" w:hAnsi="Times New Roman"/>
          <w:sz w:val="20"/>
          <w:szCs w:val="20"/>
          <w:color w:val="auto"/>
        </w:rPr>
        <w:t>”), and each such Incremental Revolving Facility Lender will automatically and without further act be deemed to have assumed, a portion of such Revolving Lender’s participations hereunder in outstanding Letters of Credit and Swing Line Loans such that, after giving effect to each such deemed assignment and assumption of participations, the percentage of the aggregate outstanding (1) participations hereunder in Letters of Credit and (2) participations hereunder in Swing Line Loans held by each Revolving Lender will equal the percentage of the aggregate Revolving Commitments of all Lenders represented by such Revolving Lender’s Revolving Commitments; and</w:t>
      </w:r>
    </w:p>
    <w:p>
      <w:pPr>
        <w:spacing w:after="0" w:line="187" w:lineRule="exact"/>
        <w:rPr>
          <w:sz w:val="20"/>
          <w:szCs w:val="20"/>
          <w:color w:val="auto"/>
        </w:rPr>
      </w:pPr>
    </w:p>
    <w:p>
      <w:pPr>
        <w:jc w:val="both"/>
        <w:ind w:left="3" w:firstLine="1045"/>
        <w:spacing w:after="0" w:line="249" w:lineRule="auto"/>
        <w:tabs>
          <w:tab w:leader="none" w:pos="144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the date of such increase, there are any Revolving Loans outstanding, such Revolving Loans shall on or prior to the effectiveness of such Incremental Revolving Facility be prepaid from the proceeds of Incremental Revolving Loans made hereunder (reflecting such increase in Revolving Commitments), which prepayment shall be accompanied by accrued interest on the Revolving Loans being prepaid and any costs incurred by any Revolving Lender in accordance with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311785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01" w:name="page202"/>
    <w:bookmarkEnd w:id="201"/>
    <w:p>
      <w:pPr>
        <w:ind w:left="-8" w:firstLine="757"/>
        <w:spacing w:after="0" w:line="272" w:lineRule="auto"/>
        <w:tabs>
          <w:tab w:leader="none" w:pos="113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hereby agree that the minimum borrowing,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borrowing and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payment requirements contained elsewhere in this Agreement shall not apply to the transactions effected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752"/>
        <w:spacing w:after="0"/>
        <w:tabs>
          <w:tab w:leader="none" w:pos="2312"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u w:val="single" w:color="auto"/>
          <w:color w:val="auto"/>
        </w:rPr>
        <w:t>Refinancing Amendments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8" w:firstLine="757"/>
        <w:spacing w:after="0" w:line="253" w:lineRule="auto"/>
        <w:tabs>
          <w:tab w:leader="none" w:pos="1136"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Loans</w:t>
      </w:r>
      <w:r>
        <w:rPr>
          <w:rFonts w:ascii="Times New Roman" w:cs="Times New Roman" w:eastAsia="Times New Roman" w:hAnsi="Times New Roman"/>
          <w:sz w:val="20"/>
          <w:szCs w:val="20"/>
          <w:color w:val="auto"/>
        </w:rPr>
        <w:t>. At any time after the Closing Date, the Borrower may obtain, from any Lender or any Additional Lender, Credit Agreement Refinancing Indebtedness in respect of all or any portion of the Term Loans or Revolving Loans, in the form of Refinancing Loans or Refinancing Commitments made pursuant to a Refinancing Amendment.</w:t>
      </w:r>
    </w:p>
    <w:p>
      <w:pPr>
        <w:spacing w:after="0" w:line="176" w:lineRule="exact"/>
        <w:rPr>
          <w:rFonts w:ascii="Times New Roman" w:cs="Times New Roman" w:eastAsia="Times New Roman" w:hAnsi="Times New Roman"/>
          <w:sz w:val="20"/>
          <w:szCs w:val="20"/>
          <w:color w:val="auto"/>
        </w:rPr>
      </w:pPr>
    </w:p>
    <w:p>
      <w:pPr>
        <w:jc w:val="both"/>
        <w:ind w:left="-8" w:firstLine="757"/>
        <w:spacing w:after="0" w:line="245" w:lineRule="auto"/>
        <w:tabs>
          <w:tab w:leader="none" w:pos="115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Amendments</w:t>
      </w:r>
      <w:r>
        <w:rPr>
          <w:rFonts w:ascii="Times New Roman" w:cs="Times New Roman" w:eastAsia="Times New Roman" w:hAnsi="Times New Roman"/>
          <w:sz w:val="20"/>
          <w:szCs w:val="20"/>
          <w:color w:val="auto"/>
        </w:rPr>
        <w:t>. The effectiveness of any Refinancing Amendment will be subject only to the satisfaction on the date thereof of such conditions as may be requested by the providers of applicable Refinancing Loans.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incurred pursuant thereto (including any amendments necessary to treat the Term Loans or Revolving Loans subject thereto as Refinancing Term Loans or Refinancing Revolving Loans, respectively).</w:t>
      </w:r>
    </w:p>
    <w:p>
      <w:pPr>
        <w:spacing w:after="0" w:line="182" w:lineRule="exact"/>
        <w:rPr>
          <w:rFonts w:ascii="Times New Roman" w:cs="Times New Roman" w:eastAsia="Times New Roman" w:hAnsi="Times New Roman"/>
          <w:sz w:val="20"/>
          <w:szCs w:val="20"/>
          <w:color w:val="auto"/>
        </w:rPr>
      </w:pPr>
    </w:p>
    <w:p>
      <w:pPr>
        <w:jc w:val="both"/>
        <w:ind w:left="-8" w:firstLine="757"/>
        <w:spacing w:after="0" w:line="249" w:lineRule="auto"/>
        <w:tabs>
          <w:tab w:leader="none" w:pos="1163"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Any Refinancing Amendment may, without the consent of any Person other than the Administrative Agent, the Borrower and the Persons providing the applicable Refinancing Loans,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supersedes any provisions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to the contrary.</w:t>
      </w:r>
    </w:p>
    <w:p>
      <w:pPr>
        <w:spacing w:after="0" w:line="178" w:lineRule="exact"/>
        <w:rPr>
          <w:rFonts w:ascii="Times New Roman" w:cs="Times New Roman" w:eastAsia="Times New Roman" w:hAnsi="Times New Roman"/>
          <w:sz w:val="20"/>
          <w:szCs w:val="20"/>
          <w:color w:val="auto"/>
        </w:rPr>
      </w:pPr>
    </w:p>
    <w:p>
      <w:pPr>
        <w:jc w:val="both"/>
        <w:ind w:left="-8" w:firstLine="757"/>
        <w:spacing w:after="0" w:line="259" w:lineRule="auto"/>
        <w:tabs>
          <w:tab w:leader="none" w:pos="1163"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Providers of Refinancing Loans</w:t>
      </w:r>
      <w:r>
        <w:rPr>
          <w:rFonts w:ascii="Times New Roman" w:cs="Times New Roman" w:eastAsia="Times New Roman" w:hAnsi="Times New Roman"/>
          <w:sz w:val="19"/>
          <w:szCs w:val="19"/>
          <w:color w:val="auto"/>
        </w:rPr>
        <w:t xml:space="preserve">. Refinancing Loans may be provided by any existing Lender (it being understood that no existing Lender shall have an obligation to make all or any portion of any Refinancing Loan) or by any Additional Lender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11.07(h)</w:t>
      </w:r>
      <w:r>
        <w:rPr>
          <w:rFonts w:ascii="Times New Roman" w:cs="Times New Roman" w:eastAsia="Times New Roman" w:hAnsi="Times New Roman"/>
          <w:sz w:val="19"/>
          <w:szCs w:val="19"/>
          <w:color w:val="auto"/>
        </w:rPr>
        <w:t>). The lenders providing the Refinancing Loans will be reasonably acceptable to the (i) Borrower, (ii) the Administrative Agent and</w:t>
      </w:r>
    </w:p>
    <w:p>
      <w:pPr>
        <w:spacing w:after="0" w:line="2" w:lineRule="exact"/>
        <w:rPr>
          <w:rFonts w:ascii="Times New Roman" w:cs="Times New Roman" w:eastAsia="Times New Roman" w:hAnsi="Times New Roman"/>
          <w:sz w:val="19"/>
          <w:szCs w:val="19"/>
          <w:color w:val="auto"/>
        </w:rPr>
      </w:pPr>
    </w:p>
    <w:p>
      <w:pPr>
        <w:jc w:val="both"/>
        <w:ind w:left="-8" w:firstLine="8"/>
        <w:spacing w:after="0" w:line="242" w:lineRule="auto"/>
        <w:tabs>
          <w:tab w:leader="none" w:pos="34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with respect to any Refinancing Revolving Loans, each Issuing Bank (except that, in the case of clauses (ii) and (iii), only to the extent such Person otherwise would have a consent right to an assignment of such loans or commitments to such lender, such consent not to be unreasonably withheld, conditioned or delayed).</w:t>
      </w:r>
    </w:p>
    <w:p>
      <w:pPr>
        <w:spacing w:after="0" w:line="186" w:lineRule="exact"/>
        <w:rPr>
          <w:sz w:val="20"/>
          <w:szCs w:val="20"/>
          <w:color w:val="auto"/>
        </w:rPr>
      </w:pPr>
    </w:p>
    <w:p>
      <w:pPr>
        <w:ind w:left="752"/>
        <w:spacing w:after="0"/>
        <w:tabs>
          <w:tab w:leader="none" w:pos="2312"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19"/>
          <w:szCs w:val="19"/>
          <w:u w:val="single" w:color="auto"/>
          <w:color w:val="auto"/>
        </w:rPr>
        <w:t>Extensions of Loans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8" w:firstLine="757"/>
        <w:spacing w:after="0" w:line="242" w:lineRule="auto"/>
        <w:tabs>
          <w:tab w:leader="none" w:pos="113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Offers</w:t>
      </w:r>
      <w:r>
        <w:rPr>
          <w:rFonts w:ascii="Times New Roman" w:cs="Times New Roman" w:eastAsia="Times New Roman" w:hAnsi="Times New Roman"/>
          <w:sz w:val="20"/>
          <w:szCs w:val="20"/>
          <w:color w:val="auto"/>
        </w:rPr>
        <w:t>. Pursuant to one or more offers (each, an “</w:t>
      </w:r>
      <w:r>
        <w:rPr>
          <w:rFonts w:ascii="Times New Roman" w:cs="Times New Roman" w:eastAsia="Times New Roman" w:hAnsi="Times New Roman"/>
          <w:sz w:val="20"/>
          <w:szCs w:val="20"/>
          <w:b w:val="1"/>
          <w:bCs w:val="1"/>
          <w:color w:val="auto"/>
        </w:rPr>
        <w:t>Extension Offer</w:t>
      </w:r>
      <w:r>
        <w:rPr>
          <w:rFonts w:ascii="Times New Roman" w:cs="Times New Roman" w:eastAsia="Times New Roman" w:hAnsi="Times New Roman"/>
          <w:sz w:val="20"/>
          <w:szCs w:val="20"/>
          <w:color w:val="auto"/>
        </w:rPr>
        <w:t>”) made from time to time by the Borrower to all Lenders holding Loans and/or Commitments of a particular Class with a like Maturity Date, the Borrower may extend such Maturity Date and otherwise modify the terms of such Loans and/or Commitments pursuant to the terms set forth in an Extension Offer (each, an “</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Each Extension Offer will specify the minimum amount of Loans and/or Commitments with respect to which an Extension Offer may be accepted, which (x) with respect to Loans and/or Commitments denominated in Dollars, will be an integral multiple of $1,000,000 and an aggregate principal amount that is not less than $5,000,000, or (y) with respect to Loans and/or Commitments denominated in any Alternative Currency, will be an integral multiple of the Dollar Amount of $1,000,000 and an aggregate principal amount that is not less than the Dollar Amount of $5,000,000 or, in each case, if less, (i) the aggregate principal amount of such Class of Loans outstanding or (ii) such lesser minimum amount as is approved by the Administrative Agent, such consent not to be unreasonably withheld, conditioned or delayed. Extension Offers will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all Lenders holding Loans and/or Commitments of a particular Class with a like Maturity Date. If the aggregate outstanding principal amount of such Loans (calculated on the face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319405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2" w:right="339" w:bottom="1440" w:gutter="0" w:footer="0" w:header="0"/>
        </w:sectPr>
      </w:pPr>
    </w:p>
    <w:bookmarkStart w:id="202" w:name="page203"/>
    <w:bookmarkEnd w:id="202"/>
    <w:p>
      <w:pPr>
        <w:jc w:val="both"/>
        <w:spacing w:after="0" w:line="244" w:lineRule="auto"/>
        <w:rPr>
          <w:sz w:val="20"/>
          <w:szCs w:val="20"/>
          <w:color w:val="auto"/>
        </w:rPr>
      </w:pPr>
      <w:r>
        <w:rPr>
          <w:rFonts w:ascii="Times New Roman" w:cs="Times New Roman" w:eastAsia="Times New Roman" w:hAnsi="Times New Roman"/>
          <w:sz w:val="20"/>
          <w:szCs w:val="20"/>
          <w:color w:val="auto"/>
        </w:rPr>
        <w:t>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including a condition that a minimum amount of Loans and/or Commitments of any or all applicable tranches be tendered.</w:t>
      </w:r>
    </w:p>
    <w:p>
      <w:pPr>
        <w:spacing w:after="0" w:line="184" w:lineRule="exact"/>
        <w:rPr>
          <w:sz w:val="20"/>
          <w:szCs w:val="20"/>
          <w:color w:val="auto"/>
        </w:rPr>
      </w:pPr>
    </w:p>
    <w:p>
      <w:pPr>
        <w:jc w:val="both"/>
        <w:ind w:firstLine="757"/>
        <w:spacing w:after="0" w:line="244" w:lineRule="auto"/>
        <w:tabs>
          <w:tab w:leader="none" w:pos="11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Amendments</w:t>
      </w:r>
      <w:r>
        <w:rPr>
          <w:rFonts w:ascii="Times New Roman" w:cs="Times New Roman" w:eastAsia="Times New Roman" w:hAnsi="Times New Roman"/>
          <w:sz w:val="20"/>
          <w:szCs w:val="20"/>
          <w:color w:val="auto"/>
        </w:rPr>
        <w:t>. The Lenders hereby irrevocably authorize the Administrative Agent to enter into amendments to this Agreement and the other Loan Documents (an “</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as may be necessary or appropriate in order to establish new tranches in respect of Extended Loans and Extended Commitments and such amendments as permitted by clause (c) below as may be necessary or appropriate in the reasonable opinion of the Borrower, in consultation with the Administrative Agent, in connection with the establishment of such new tranches of Loans.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 xml:space="preserve"> to the contrary. Except as otherwise set forth in an Extension Offer, there will be no conditions to the effectiveness of an Extension Amendment. Extensions will not constitute a voluntary or mandatory payment or prepayment for purposes of this Agreement.</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Extension Offers and Extension Amendments</w:t>
      </w:r>
      <w:r>
        <w:rPr>
          <w:rFonts w:ascii="Times New Roman" w:cs="Times New Roman" w:eastAsia="Times New Roman" w:hAnsi="Times New Roman"/>
          <w:sz w:val="20"/>
          <w:szCs w:val="20"/>
          <w:color w:val="auto"/>
        </w:rPr>
        <w:t xml:space="preserve">. The terms of any Extended Loans and Extended Commitments will be set forth in an Extension Offer and as agreed between the Borrower and the Extending Lenders accepting such Extension Offer;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6"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such Extended Loans and Extended Commitments will be no earlier than the Latest Maturity Date applicable to the Loans and/or Commitments subject to such Extension Offer;</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Extended Loans that are Term Loans will be no shorter than the remaining Weighted Average Life to Maturity of the Term Loans subject to such Extension Offer;</w:t>
      </w:r>
    </w:p>
    <w:p>
      <w:pPr>
        <w:spacing w:after="0" w:line="156" w:lineRule="exact"/>
        <w:rPr>
          <w:rFonts w:ascii="Times New Roman" w:cs="Times New Roman" w:eastAsia="Times New Roman" w:hAnsi="Times New Roman"/>
          <w:sz w:val="20"/>
          <w:szCs w:val="20"/>
          <w:color w:val="auto"/>
        </w:rPr>
      </w:pPr>
    </w:p>
    <w:p>
      <w:pPr>
        <w:jc w:val="both"/>
        <w:ind w:left="760" w:firstLine="1045"/>
        <w:spacing w:after="0" w:line="255" w:lineRule="auto"/>
        <w:tabs>
          <w:tab w:leader="none" w:pos="2203"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Extended Loans that are Term Loans may participate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a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(but not greater than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in any mandatory repayments or prepayments of Term Loans other than any repayment of such Extended Loans at maturity or with the proceeds of Credit Agreement Refinancing Indebtedness; and</w:t>
      </w:r>
    </w:p>
    <w:p>
      <w:pPr>
        <w:spacing w:after="0" w:line="174" w:lineRule="exact"/>
        <w:rPr>
          <w:rFonts w:ascii="Times New Roman" w:cs="Times New Roman" w:eastAsia="Times New Roman" w:hAnsi="Times New Roman"/>
          <w:sz w:val="20"/>
          <w:szCs w:val="20"/>
          <w:color w:val="auto"/>
        </w:rPr>
      </w:pPr>
    </w:p>
    <w:p>
      <w:pPr>
        <w:jc w:val="both"/>
        <w:ind w:left="760" w:firstLine="1045"/>
        <w:spacing w:after="0" w:line="242" w:lineRule="auto"/>
        <w:tabs>
          <w:tab w:leader="none" w:pos="2203"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and events of default applicable to the Extended Loans and/or Extended Commitments are (A) substantially identical to, or, taken as a whole, no more favorable to the lenders or holders providing such Extended Loans and/or Extended Commitments than, those applicable to the Loans and/or Commitments subject to such Extension Offer, as determined in good faith by a Responsible Officer of the Borrower in its reasonable judgment (except (1) for covenants applicable only to periods after the Latest Maturity Date of the Term Loans at the time of incurrence and (2) any term or condition to the extent such term or condition is also added for the benefit of the Lenders under the Term Loans) or (B) solely to the extent that any terms and conditions applicable to any such Extended Loans and/or Extended Commitments are not the same as, or substantially similar to, those then applicable to the Term Loans, shall otherwise reflect customary market terms and conditions at the time of such incurrence, including with respect to high yield debt securities to the extent applicable, as determined in good faith by a Responsible Officer of the Borrower in its reasonable judgment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certificate of a Responsible Officer delivered to the Administrative Agent at least four Business Days (or such shorter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3" w:name="page204"/>
    <w:bookmarkEnd w:id="203"/>
    <w:p>
      <w:pPr>
        <w:jc w:val="both"/>
        <w:ind w:left="760"/>
        <w:spacing w:after="0" w:line="256" w:lineRule="auto"/>
        <w:rPr>
          <w:sz w:val="20"/>
          <w:szCs w:val="20"/>
          <w:color w:val="auto"/>
        </w:rPr>
      </w:pPr>
      <w:r>
        <w:rPr>
          <w:rFonts w:ascii="Times New Roman" w:cs="Times New Roman" w:eastAsia="Times New Roman" w:hAnsi="Times New Roman"/>
          <w:sz w:val="19"/>
          <w:szCs w:val="19"/>
          <w:color w:val="auto"/>
        </w:rPr>
        <w:t xml:space="preserve">as may be agreed by the Administrative Agent) prior to the incurrence of such Extended Loans and/or Extended Commitments together with a reasonably detailed description of the material covenants and events of default of such Indebtedness or drafts of the documentation relating thereto, stating that the Borrower has determined in good faith that such terms and conditions satisfy the requirement of this clause (iv) shall be conclusive evidence that such material covenants and events of default satisfy such requirement unless the Administrative Agent notifies the Borrower within such four Business Day (or shorter) period that it disagrees with such determination (including a description of the basis upon which it disagrees));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clause (iii) will not apply to (w) terms addressed in the preceding clauses (i) through (iii), (x) interest rate, rate floors, fees, funding discounts and other pricing terms, (y) redemption, prepayment or other premiums, and (z) optional prepayment or redemption terms;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further </w:t>
      </w:r>
      <w:r>
        <w:rPr>
          <w:rFonts w:ascii="Times New Roman" w:cs="Times New Roman" w:eastAsia="Times New Roman" w:hAnsi="Times New Roman"/>
          <w:sz w:val="19"/>
          <w:szCs w:val="19"/>
          <w:color w:val="auto"/>
        </w:rPr>
        <w:t>that the Borrower will promptly deliver to the Administrative Agent final copies of the definitive credit documentation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relating to such Indebtedness (unless the Borrower is bound by a confidentiality obligation with respect thereto, in which case the Borrower will deliver a reasonably detailed description of the material terms and conditions of such Indebtedness in lieu thereof).</w:t>
      </w:r>
    </w:p>
    <w:p>
      <w:pPr>
        <w:spacing w:after="0" w:line="17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Any Extended Loans will constitute a separate tranche of Term Loans and/or Revolving Loans from the Term Loans and/or Revolving Loans held by Lenders that did not accept the applicable Extension Offer.</w:t>
      </w:r>
    </w:p>
    <w:p>
      <w:pPr>
        <w:spacing w:after="0" w:line="161" w:lineRule="exact"/>
        <w:rPr>
          <w:sz w:val="20"/>
          <w:szCs w:val="20"/>
          <w:color w:val="auto"/>
        </w:rPr>
      </w:pPr>
    </w:p>
    <w:p>
      <w:pPr>
        <w:ind w:firstLine="757"/>
        <w:spacing w:after="0" w:line="268" w:lineRule="auto"/>
        <w:tabs>
          <w:tab w:leader="none" w:pos="11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Revolving Commitments</w:t>
      </w:r>
      <w:r>
        <w:rPr>
          <w:rFonts w:ascii="Times New Roman" w:cs="Times New Roman" w:eastAsia="Times New Roman" w:hAnsi="Times New Roman"/>
          <w:sz w:val="20"/>
          <w:szCs w:val="20"/>
          <w:color w:val="auto"/>
        </w:rPr>
        <w:t>. In the case of any Extension of Revolving Commitments and/or Revolving Loans, the following shall apply:</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borrowings and all prepayments of Revolving Loans shall continue to be made on a ratable basis among all Revolving Lenders, based on the relative amounts of their Revolving Commitments, until the repayment of the Revolving Loans attributable to the non-extended Revolving Commitments on the relevant Maturity Date;</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allocation of the participation exposure with respect to any then-existing or subsequently issued or made Letter of Credit or Swing Line Loan as between the Revolving Commitments of such new tranche and the remaining Revolving Commitments shall be made on a ratable basis in accordance with the relative amounts thereof until the Maturity Date relating to such non-extended Revolving Commitments has occurred;</w:t>
      </w:r>
    </w:p>
    <w:p>
      <w:pPr>
        <w:spacing w:after="0" w:line="178" w:lineRule="exact"/>
        <w:rPr>
          <w:rFonts w:ascii="Times New Roman" w:cs="Times New Roman" w:eastAsia="Times New Roman" w:hAnsi="Times New Roman"/>
          <w:sz w:val="20"/>
          <w:szCs w:val="20"/>
          <w:color w:val="auto"/>
        </w:rPr>
      </w:pPr>
    </w:p>
    <w:p>
      <w:pPr>
        <w:ind w:left="760" w:firstLine="1045"/>
        <w:spacing w:after="0" w:line="245" w:lineRule="auto"/>
        <w:tabs>
          <w:tab w:leader="none" w:pos="2203"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termination of extended Revolving Commitments and no repayment of extended Revolving Loans accompanied by a corresponding permanent reduction in extended Revolving Commitments shall be permitted unless such termination or repayment (and corresponding reduction) is accompanied by at least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termination or permanent repayment (and corresponding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permanent reduction), as applicable, of each other tranche of Revolving Loans and Revolving Commitments (or each other tranche of Revolving Commitments and Revolving Loans shall have otherwise been terminated and repaid in full);</w:t>
      </w:r>
    </w:p>
    <w:p>
      <w:pPr>
        <w:spacing w:after="0" w:line="182"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Date with respect to the Revolving Commitments may not be extended without the prior written consent of each Issuing Bank and the Swing Line Lender; and</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no time shall there be more than five different tranches of Revolving Commitments.</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If the Total Utilization of Revolving Commitments exceeds the Revolving Commitment as a result of the occurrence of the Maturity Date with respect to any tranche of Revolving Commitments while an extended tranche of Revolving Commitments remains outstanding, the Borrower shall make such payments as are necessary in order to eliminate such excess on such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4" w:name="page205"/>
    <w:bookmarkEnd w:id="204"/>
    <w:p>
      <w:pPr>
        <w:jc w:val="both"/>
        <w:ind w:left="-757" w:firstLine="757"/>
        <w:spacing w:after="0" w:line="244" w:lineRule="auto"/>
        <w:tabs>
          <w:tab w:leader="none" w:pos="38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of any Lender or any other Person will be required to effectuate any Extension, other than the consent of the Administrative Agent (such consent not to be unreasonably withheld, delayed or conditioned), the Borrower and the applicable Extending Lender. The transactions contemplated by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(including, for 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will not apply to any of the transactions effected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757" w:right="20" w:firstLine="757"/>
        <w:spacing w:after="0" w:line="295" w:lineRule="auto"/>
        <w:tabs>
          <w:tab w:leader="none" w:pos="388"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37" w:lineRule="exact"/>
        <w:rPr>
          <w:rFonts w:ascii="Times New Roman" w:cs="Times New Roman" w:eastAsia="Times New Roman" w:hAnsi="Times New Roman"/>
          <w:sz w:val="19"/>
          <w:szCs w:val="19"/>
          <w:color w:val="auto"/>
        </w:rPr>
      </w:pPr>
    </w:p>
    <w:p>
      <w:pPr>
        <w:jc w:val="both"/>
        <w:ind w:left="3" w:firstLine="1045"/>
        <w:spacing w:after="0"/>
        <w:tabs>
          <w:tab w:leader="none" w:pos="1501"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each Issuing Bank and the Swing 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each Issuing Bank’s Fronting Exposure with respect to such Defaulting Lender with respect to outstanding Letters of Credit (in an amount equal to 103% of the maximum face amount of all outstanding Letters of Credit) or the Swing Line Lender’s Fronting Exposure with respect to such Defaulting Lender in accordance with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the Borrower may request (so long as no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Cash Collateral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 respect to Loans under this Agreement and (B) Cash Collateralize each Issuing Bank’s (in an amount equal to 103% of the maximum face amount of all outstanding Letters of Credit) or the Swing Line Lender’s future Fronting Exposure with respect to such Defaulting Lender with respect to future Letters of Credit or Swing Line Loans, as applicable, issued under this Agreement, in accordance with </w:t>
      </w:r>
      <w:r>
        <w:rPr>
          <w:rFonts w:ascii="Times New Roman" w:cs="Times New Roman" w:eastAsia="Times New Roman" w:hAnsi="Times New Roman"/>
          <w:sz w:val="20"/>
          <w:szCs w:val="20"/>
          <w:u w:val="single" w:color="auto"/>
          <w:color w:val="auto"/>
        </w:rPr>
        <w:t>Section 2.19(d)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the payment of any amounts owing to the Lenders, the Issuing Banks or the Swing Line Lender as a result of any judgment of a court of competent jurisdiction obtained by any Lender, any Issuing Bank or the Swing 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(1) such payment is a payment of the principal amount of any Loans or Reimbursement Obligations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in the case of Delayed Draw Commitments and Delayed Draw Term Loans,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were satisfied or waived, such payment shall be applied solely to pay the Loans of, and Reimbursement Obligations owed to,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323215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05" w:name="page206"/>
    <w:bookmarkEnd w:id="205"/>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 xml:space="preserve">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Reimbursement Obligations owed to, such Defaulting Lender until such time as all Loans and funded and unfunded participations in Letters of Credit and Swing Line Loans are held by the Lenders pro rata in accordance with the applicable Commitments without giving effect to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2.19(a)(i)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7" w:lineRule="exact"/>
        <w:rPr>
          <w:sz w:val="20"/>
          <w:szCs w:val="20"/>
          <w:color w:val="auto"/>
        </w:rPr>
      </w:pPr>
    </w:p>
    <w:p>
      <w:pPr>
        <w:ind w:left="1443" w:hanging="395"/>
        <w:spacing w:after="0"/>
        <w:tabs>
          <w:tab w:leader="none" w:pos="144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43" w:firstLine="754"/>
        <w:spacing w:after="0" w:line="245" w:lineRule="auto"/>
        <w:tabs>
          <w:tab w:leader="none" w:pos="1887"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pursuant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for any period during which that Lender is a Defaulting Lender (and the Borrower shall not be required to pay any such fee that otherwise would have been required to have been paid to that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Defaulting Lender shall be entitled to receive fees pursuant to </w:t>
      </w:r>
      <w:r>
        <w:rPr>
          <w:rFonts w:ascii="Times New Roman" w:cs="Times New Roman" w:eastAsia="Times New Roman" w:hAnsi="Times New Roman"/>
          <w:sz w:val="20"/>
          <w:szCs w:val="20"/>
          <w:u w:val="single" w:color="auto"/>
          <w:color w:val="auto"/>
        </w:rPr>
        <w:t>Section 2.11(b)(ii)</w:t>
      </w:r>
      <w:r>
        <w:rPr>
          <w:rFonts w:ascii="Times New Roman" w:cs="Times New Roman" w:eastAsia="Times New Roman" w:hAnsi="Times New Roman"/>
          <w:sz w:val="20"/>
          <w:szCs w:val="20"/>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left="743" w:firstLine="754"/>
        <w:spacing w:after="0" w:line="245" w:lineRule="auto"/>
        <w:tabs>
          <w:tab w:leader="none" w:pos="1887" w:val="left"/>
        </w:tabs>
        <w:numPr>
          <w:ilvl w:val="2"/>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fees not required to be paid to any Defaulting Lender pursuant to clause (A) above, the Borrower shall (1) pay to each Non-Defaulting Lender that portion of any such fee otherwise payable to such Defaulting Lender with respect to such Defaulting Lender’s participation in Letters of Credit or Swing Line Loans that has been reallocated to such Non-Defaulting Lender pursuant to clause (iii) below, (2) pay to each Issuing Bank the amount of any such fee otherwise payable to such Defaulting Lender to the extent allocable to such Issuing Bank’s Fronting Exposure to such Defaulting Lender, and (3) not be required to pay the remaining amount of any such fee.</w:t>
      </w:r>
    </w:p>
    <w:p>
      <w:pPr>
        <w:spacing w:after="0" w:line="182" w:lineRule="exact"/>
        <w:rPr>
          <w:rFonts w:ascii="Times New Roman" w:cs="Times New Roman" w:eastAsia="Times New Roman" w:hAnsi="Times New Roman"/>
          <w:sz w:val="20"/>
          <w:szCs w:val="20"/>
          <w:color w:val="auto"/>
        </w:rPr>
      </w:pPr>
    </w:p>
    <w:p>
      <w:pPr>
        <w:jc w:val="both"/>
        <w:ind w:left="3" w:firstLine="1045"/>
        <w:spacing w:after="0" w:line="242" w:lineRule="auto"/>
        <w:tabs>
          <w:tab w:leader="none" w:pos="1487"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Participations to Reduce Fronting Exposure</w:t>
      </w:r>
      <w:r>
        <w:rPr>
          <w:rFonts w:ascii="Times New Roman" w:cs="Times New Roman" w:eastAsia="Times New Roman" w:hAnsi="Times New Roman"/>
          <w:sz w:val="20"/>
          <w:szCs w:val="20"/>
          <w:color w:val="auto"/>
        </w:rPr>
        <w:t xml:space="preserve">. All or any part of such Defaulting Lender’s participation in Letters of Credit and Swing Line Loans shall be reallocated among the Non-Defaulting Lenders in accordance with their respective Pro Rata Shares (calculated without regard to such Defaulting Lender’s Commitment) but only to the extent that (A)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20"/>
          <w:szCs w:val="20"/>
          <w:u w:val="single" w:color="auto"/>
          <w:color w:val="auto"/>
        </w:rPr>
        <w:t>Section 11.25</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left="3" w:firstLine="1045"/>
        <w:spacing w:after="0" w:line="249" w:lineRule="auto"/>
        <w:tabs>
          <w:tab w:leader="none" w:pos="146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If the reallocation described in clause (iii) above cannot, or can only partially, be effected, the Borrower shall, without prejudice to any right or remedy available to it hereunder or under law, Cash Collateralize Issuing Bank’s Fronting Exposure (in an amount equal to 103% of the maximum face amount of all outstanding Letters of Credit) in accordance with the procedures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757" w:firstLine="757"/>
        <w:spacing w:after="0" w:line="268" w:lineRule="auto"/>
        <w:tabs>
          <w:tab w:leader="none" w:pos="38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If the Borrower, the Administrative Agent and the Swing Line Lender and each Issuing Bank agree in writing that a Lender is no longer a Defaulting Lender,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2" w:right="339" w:bottom="1440" w:gutter="0" w:footer="0" w:header="0"/>
        </w:sectPr>
      </w:pPr>
    </w:p>
    <w:bookmarkStart w:id="206" w:name="page207"/>
    <w:bookmarkEnd w:id="20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 applicable Commitments (without giving effect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92" w:lineRule="exact"/>
        <w:rPr>
          <w:sz w:val="20"/>
          <w:szCs w:val="20"/>
          <w:color w:val="auto"/>
        </w:rPr>
      </w:pPr>
    </w:p>
    <w:p>
      <w:pPr>
        <w:jc w:val="both"/>
        <w:ind w:firstLine="757"/>
        <w:spacing w:after="0" w:line="249" w:lineRule="auto"/>
        <w:tabs>
          <w:tab w:leader="none" w:pos="11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Revolving Lender is a Defaulting Lender, (i) the Swing Line Lender shall not be required to fund any Swing Line Loans unless it is satisfied that it will have no Fronting Exposure after giving effect to such Swing Line Loan and (ii) no Issuing Bank shall be required to issue, extend or amend any Letter of Credit unless it is satisfied that it will have no Fronting Exposure after giving effect thereto.</w:t>
      </w:r>
    </w:p>
    <w:p>
      <w:pPr>
        <w:spacing w:after="0" w:line="178" w:lineRule="exact"/>
        <w:rPr>
          <w:rFonts w:ascii="Times New Roman" w:cs="Times New Roman" w:eastAsia="Times New Roman" w:hAnsi="Times New Roman"/>
          <w:sz w:val="20"/>
          <w:szCs w:val="20"/>
          <w:color w:val="auto"/>
        </w:rPr>
      </w:pPr>
    </w:p>
    <w:p>
      <w:pPr>
        <w:jc w:val="both"/>
        <w:ind w:firstLine="757"/>
        <w:spacing w:after="0" w:line="245" w:lineRule="auto"/>
        <w:tabs>
          <w:tab w:leader="none" w:pos="117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At any time that there shall exist a Defaulting Lender and </w:t>
      </w:r>
      <w:r>
        <w:rPr>
          <w:rFonts w:ascii="Times New Roman" w:cs="Times New Roman" w:eastAsia="Times New Roman" w:hAnsi="Times New Roman"/>
          <w:sz w:val="20"/>
          <w:szCs w:val="20"/>
          <w:u w:val="single" w:color="auto"/>
          <w:color w:val="auto"/>
        </w:rPr>
        <w:t>Section 2.19(a)(iv)</w:t>
      </w:r>
      <w:r>
        <w:rPr>
          <w:rFonts w:ascii="Times New Roman" w:cs="Times New Roman" w:eastAsia="Times New Roman" w:hAnsi="Times New Roman"/>
          <w:sz w:val="20"/>
          <w:szCs w:val="20"/>
          <w:color w:val="auto"/>
        </w:rPr>
        <w:t xml:space="preserve"> is applicable, within one Business Day following the written request of the Administrative Agent, any Issuing Bank (with a copy to the Administrative Agent) or the Swing Line Lender (with a copy to the Administrative Agent), the Borrower shall Cash Collateralize the applicable Issuing Bank’s Fronting Exposure or the Swing Line Lender’s Fronting Exposure, as the case may be, with respect to such Defaulting Lender (determined after giving effect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and any Cash Collateral provided by such Defaulting Lender) in an amount not less than the Minimum Collateral Amount.</w:t>
      </w:r>
    </w:p>
    <w:p>
      <w:pPr>
        <w:spacing w:after="0" w:line="182" w:lineRule="exact"/>
        <w:rPr>
          <w:rFonts w:ascii="Times New Roman" w:cs="Times New Roman" w:eastAsia="Times New Roman" w:hAnsi="Times New Roman"/>
          <w:sz w:val="20"/>
          <w:szCs w:val="20"/>
          <w:color w:val="auto"/>
        </w:rPr>
      </w:pPr>
    </w:p>
    <w:p>
      <w:pPr>
        <w:jc w:val="both"/>
        <w:ind w:left="760" w:firstLine="1045"/>
        <w:spacing w:after="0" w:line="242" w:lineRule="auto"/>
        <w:tabs>
          <w:tab w:leader="none" w:pos="2203"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The Borrower, and to the extent provided by any Defaulting Lender, such Defaulting Lender, hereby grants to the Administrative Agent, for the benefit of the Issuing Banks and the Lenders (including the Swing Line Lender), and agrees to maintain, a first priority security interest in all such Cash Collateral as security for the Defaulting Lender’s obligation to fund participations in respect of Letters of Credit and Swing Line Loans, to be applied pursuant to clause (ii) below. If at any time the Administrative Agent determines that the Cash Collateral is subject to any right or claim of any Person other than the Administrative Agent, the Issuing Banks or the Lenders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1" w:lineRule="exact"/>
        <w:rPr>
          <w:rFonts w:ascii="Times New Roman" w:cs="Times New Roman" w:eastAsia="Times New Roman" w:hAnsi="Times New Roman"/>
          <w:sz w:val="20"/>
          <w:szCs w:val="20"/>
          <w:color w:val="auto"/>
        </w:rPr>
      </w:pPr>
    </w:p>
    <w:p>
      <w:pPr>
        <w:jc w:val="both"/>
        <w:ind w:left="760" w:firstLine="1045"/>
        <w:spacing w:after="0" w:line="243" w:lineRule="auto"/>
        <w:tabs>
          <w:tab w:leader="none" w:pos="2203"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(A) Cash Collateral provided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 and (B) Cash Collateral provided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in respect of Swing Line Loans shall be applied to the satisfaction of the Defaulting Lender’s obligations to fund participations in respect of Swing 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7" w:name="page208"/>
    <w:bookmarkEnd w:id="207"/>
    <w:p>
      <w:pPr>
        <w:jc w:val="both"/>
        <w:ind w:left="3" w:firstLine="1045"/>
        <w:spacing w:after="0" w:line="242" w:lineRule="auto"/>
        <w:tabs>
          <w:tab w:leader="none" w:pos="1447"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any Issuing Bank’s or the Swing Line Lender’s Fronting Exposure shall no longer be required to be held as Cash Collateral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following (A) the elimination of the applicable Fronting Exposure (including by the termination of Defaulting Lender status of the applicable Lender) or (B) the determination by the Administrative Agent, the applicable Issuing Bank or the Swing Line Lender, as the case may be, that there exists excess Cash Collateral;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subject to the other provisions of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Person providing Cash Collateral and the applicable Issuing Bank or the Swing Line Lender, as the case may be, may agree that the Cash Collateral shall be held to support future anticipated Fronting Exposure or other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further </w:t>
      </w:r>
      <w:r>
        <w:rPr>
          <w:rFonts w:ascii="Times New Roman" w:cs="Times New Roman" w:eastAsia="Times New Roman" w:hAnsi="Times New Roman"/>
          <w:sz w:val="20"/>
          <w:szCs w:val="20"/>
          <w:color w:val="auto"/>
        </w:rPr>
        <w:t>that to the extent that such Cash Collateral was provided by the Borrower, such Cash Collateral shall remain subject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security interest granted pursuant to the Loan Documents.</w:t>
      </w:r>
    </w:p>
    <w:p>
      <w:pPr>
        <w:spacing w:after="0" w:line="191" w:lineRule="exact"/>
        <w:rPr>
          <w:rFonts w:ascii="Times New Roman" w:cs="Times New Roman" w:eastAsia="Times New Roman" w:hAnsi="Times New Roman"/>
          <w:sz w:val="20"/>
          <w:szCs w:val="20"/>
          <w:color w:val="auto"/>
        </w:rPr>
      </w:pPr>
    </w:p>
    <w:p>
      <w:pPr>
        <w:ind w:left="-757" w:firstLine="757"/>
        <w:spacing w:after="0" w:line="268" w:lineRule="auto"/>
        <w:tabs>
          <w:tab w:leader="none" w:pos="40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Hedge Banks</w:t>
      </w:r>
      <w:r>
        <w:rPr>
          <w:rFonts w:ascii="Times New Roman" w:cs="Times New Roman" w:eastAsia="Times New Roman" w:hAnsi="Times New Roman"/>
          <w:sz w:val="20"/>
          <w:szCs w:val="20"/>
          <w:color w:val="auto"/>
        </w:rPr>
        <w:t>. So long as any Lender is a Defaulting Lender, such Lender shall not be a Hedge Bank with respect to any Secured Hedge Agreement entered into while such Lender was a Defaulting Lender.</w:t>
      </w:r>
    </w:p>
    <w:p>
      <w:pPr>
        <w:spacing w:after="0" w:line="161"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19"/>
          <w:szCs w:val="19"/>
          <w:u w:val="single" w:color="auto"/>
          <w:color w:val="auto"/>
        </w:rPr>
        <w:t>Currency Equivalents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57" w:firstLine="757"/>
        <w:spacing w:after="0" w:line="246" w:lineRule="auto"/>
        <w:tabs>
          <w:tab w:leader="none" w:pos="38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determine the Dollar Amount of each Loan denominated in an Alternative Currency and Letter of Credit Obligation in respect of Letters of Credit denominated in an Alternative Currency (i) as of the first day of each Interest Period applicable thereto, (ii) as of the end of each fiscal quarter of the Borrower and (iii) at any time while a Default or Event of Default has occurred and is continuing, and shall promptly notify the Borrower of each Dollar Amount so determined by it. Each such determination shall be based on the Exchange Rate as of such date.</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45" w:lineRule="auto"/>
        <w:tabs>
          <w:tab w:leader="none" w:pos="38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such determination of a Dollar Amount, the sum of the aggregate outstanding amount of the Revolving Loans denominated in Alternative Currencies and the Letter of Credit Obligations denominated in Alternative Currencies exceeds the aggregate Dollar Amount of Revolving Commitments then in effect, the Borrower shall, within five Business Days of receipt of notice thereof from the Administrative Agent setting forth such calculation in reasonable detail, prepay the applicable Revolving Loans denominated in Alternative Currencies under the Revolving Facility or take other action as the Administrative Agent, in its discretion, may direct (including to Cash Collateralize the applicable Letter of Credit Obligations) to the extent necessary to eliminate any such excess.</w:t>
      </w:r>
    </w:p>
    <w:p>
      <w:pPr>
        <w:spacing w:after="0" w:line="183"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57" w:firstLine="757"/>
        <w:spacing w:after="0" w:line="246" w:lineRule="auto"/>
        <w:tabs>
          <w:tab w:leader="none" w:pos="38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the purpose of obtaining judgment in any court, it is necessary to convert a sum owing hereunder in one currency into another currency, each party hereto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45" w:lineRule="auto"/>
        <w:tabs>
          <w:tab w:leader="none" w:pos="38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Borrower in respect of any sum due to any party hereto or any holder of the obligations owing hereunder (the “</w:t>
      </w:r>
      <w:r>
        <w:rPr>
          <w:rFonts w:ascii="Times New Roman" w:cs="Times New Roman" w:eastAsia="Times New Roman" w:hAnsi="Times New Roman"/>
          <w:sz w:val="20"/>
          <w:szCs w:val="20"/>
          <w:b w:val="1"/>
          <w:bCs w:val="1"/>
          <w:color w:val="auto"/>
        </w:rPr>
        <w:t>Applicable Creditor</w:t>
      </w:r>
      <w:r>
        <w:rPr>
          <w:rFonts w:ascii="Times New Roman" w:cs="Times New Roman" w:eastAsia="Times New Roman" w:hAnsi="Times New Roman"/>
          <w:sz w:val="20"/>
          <w:szCs w:val="20"/>
          <w:color w:val="auto"/>
        </w:rPr>
        <w:t>”) shall, notwithstanding any judgment in a currency (the “</w:t>
      </w:r>
      <w:r>
        <w:rPr>
          <w:rFonts w:ascii="Times New Roman" w:cs="Times New Roman" w:eastAsia="Times New Roman" w:hAnsi="Times New Roman"/>
          <w:sz w:val="20"/>
          <w:szCs w:val="20"/>
          <w:b w:val="1"/>
          <w:bCs w:val="1"/>
          <w:color w:val="auto"/>
        </w:rPr>
        <w:t>Judgment Currency</w:t>
      </w:r>
      <w:r>
        <w:rPr>
          <w:rFonts w:ascii="Times New Roman" w:cs="Times New Roman" w:eastAsia="Times New Roman" w:hAnsi="Times New Roman"/>
          <w:sz w:val="20"/>
          <w:szCs w:val="20"/>
          <w:color w:val="auto"/>
        </w:rPr>
        <w:t>”) other than the currency in which such sum is stated to be due hereunder (the “</w:t>
      </w:r>
      <w:r>
        <w:rPr>
          <w:rFonts w:ascii="Times New Roman" w:cs="Times New Roman" w:eastAsia="Times New Roman" w:hAnsi="Times New Roman"/>
          <w:sz w:val="20"/>
          <w:szCs w:val="20"/>
          <w:b w:val="1"/>
          <w:b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314325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08" w:name="page209"/>
    <w:bookmarkEnd w:id="208"/>
    <w:p>
      <w:pPr>
        <w:jc w:val="both"/>
        <w:spacing w:after="0" w:line="253" w:lineRule="auto"/>
        <w:rPr>
          <w:sz w:val="20"/>
          <w:szCs w:val="20"/>
          <w:color w:val="auto"/>
        </w:rPr>
      </w:pPr>
      <w:r>
        <w:rPr>
          <w:rFonts w:ascii="Times New Roman" w:cs="Times New Roman" w:eastAsia="Times New Roman" w:hAnsi="Times New Roman"/>
          <w:sz w:val="20"/>
          <w:szCs w:val="20"/>
          <w:color w:val="auto"/>
        </w:rPr>
        <w:t>so purchased is less than the sum originally due to the Applicable Creditor in the Agreement Currency, the Borrower as a separate obligation and notwithstanding any such judgment, agrees to indemnify the Applicable Creditor against such loss. The obligations of the Borrower contained in this Section shall survive the termination of this Agreement and the payment of all other amounts owing hereunder.</w:t>
      </w:r>
    </w:p>
    <w:p>
      <w:pPr>
        <w:spacing w:after="0" w:line="176"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2.22</w:t>
      </w:r>
      <w:r>
        <w:rPr>
          <w:sz w:val="20"/>
          <w:szCs w:val="20"/>
          <w:color w:val="auto"/>
        </w:rPr>
        <w:tab/>
      </w:r>
      <w:r>
        <w:rPr>
          <w:rFonts w:ascii="Times New Roman" w:cs="Times New Roman" w:eastAsia="Times New Roman" w:hAnsi="Times New Roman"/>
          <w:sz w:val="19"/>
          <w:szCs w:val="19"/>
          <w:u w:val="single" w:color="auto"/>
          <w:color w:val="auto"/>
        </w:rPr>
        <w:t>Discontinuance of ICE LIBOR</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57" w:lineRule="auto"/>
        <w:tabs>
          <w:tab w:leader="none" w:pos="1144"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of this Agreement or any other Loan Document to the contrary, regardless of whether ICE LIBOR is operational, reported, published on a synthetic basis or otherwise available in the market as of the Amendment No. 4 Effective Date, on and after the Amendment No. 4 Effective Date (a) no Eurocurrency Rate Loans denominated in Dollars shall be available, requested or made hereunder, (b) any request to convert an existing Loan denominated in Dollars to a Eurocurrency Rate Loan shall be ineffective and</w:t>
      </w:r>
    </w:p>
    <w:p>
      <w:pPr>
        <w:spacing w:after="0" w:line="3" w:lineRule="exact"/>
        <w:rPr>
          <w:rFonts w:ascii="Times New Roman" w:cs="Times New Roman" w:eastAsia="Times New Roman" w:hAnsi="Times New Roman"/>
          <w:sz w:val="19"/>
          <w:szCs w:val="19"/>
          <w:color w:val="auto"/>
        </w:rPr>
      </w:pPr>
    </w:p>
    <w:p>
      <w:pPr>
        <w:ind w:firstLine="8"/>
        <w:spacing w:after="0" w:line="245" w:lineRule="auto"/>
        <w:tabs>
          <w:tab w:leader="none" w:pos="287"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for a new Eurocurrency Rate Loan denominated in Dollars, or to continue, renew, extend, reinstate or increase an existing Eurocurrency Rate Loan denominated in Dollars as a Eurocurrency Rate Loan, shall be ineffective.</w:t>
      </w:r>
    </w:p>
    <w:p>
      <w:pPr>
        <w:spacing w:after="0" w:line="182" w:lineRule="exact"/>
        <w:rPr>
          <w:rFonts w:ascii="Times New Roman" w:cs="Times New Roman" w:eastAsia="Times New Roman" w:hAnsi="Times New Roman"/>
          <w:sz w:val="20"/>
          <w:szCs w:val="20"/>
          <w:color w:val="auto"/>
        </w:rPr>
      </w:pPr>
    </w:p>
    <w:p>
      <w:pPr>
        <w:jc w:val="both"/>
        <w:ind w:firstLine="757"/>
        <w:spacing w:after="0" w:line="257" w:lineRule="auto"/>
        <w:tabs>
          <w:tab w:leader="none" w:pos="1144"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From and after the Amendment No. 4 Effective Date, any Eurocurrency Rate Loans that are outstanding immediately prior to the Amendment No. 4 Effective Date (the “</w:t>
      </w:r>
      <w:r>
        <w:rPr>
          <w:rFonts w:ascii="Times New Roman" w:cs="Times New Roman" w:eastAsia="Times New Roman" w:hAnsi="Times New Roman"/>
          <w:sz w:val="19"/>
          <w:szCs w:val="19"/>
          <w:b w:val="1"/>
          <w:bCs w:val="1"/>
          <w:color w:val="auto"/>
        </w:rPr>
        <w:t>Existing Eurocurrency Rate Loans</w:t>
      </w:r>
      <w:r>
        <w:rPr>
          <w:rFonts w:ascii="Times New Roman" w:cs="Times New Roman" w:eastAsia="Times New Roman" w:hAnsi="Times New Roman"/>
          <w:sz w:val="19"/>
          <w:szCs w:val="19"/>
          <w:color w:val="auto"/>
        </w:rPr>
        <w:t xml:space="preserve">”) shall continue to bear interest at the Eurocurrency Rate until the end of the then-current Interest Period applicable to such Existing Eurocurrency Rate Loans and (ii)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2.02(b)</w:t>
      </w:r>
      <w:r>
        <w:rPr>
          <w:rFonts w:ascii="Times New Roman" w:cs="Times New Roman" w:eastAsia="Times New Roman" w:hAnsi="Times New Roman"/>
          <w:sz w:val="19"/>
          <w:szCs w:val="19"/>
          <w:color w:val="auto"/>
        </w:rPr>
        <w:t xml:space="preserve">, the Borrower shall deliver to the Administrative Agent a Committed Loan Notice prior to the end of such current Interest Period requesting a conversion of the Existing Eurocurrency Rate Loans to either SOFR Loans or Base Rate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(x) if the Borrower fails to specify a Type of Loan in such Committed Loan Notice or fails to give a timely notice requesting such conversion, then the Existing Eurocurrency Rate Loans shall be automatically converted to Base Rate Loans effective as of the last day of the Interest Period then in effect with respect to the Existing Eurocurrency Rate Loans and (y) if the Borrower requests a conversion to SOFR Loans in such Committed Loan Notice but fails to specify an Interest Period, it will be deemed to have specified an Interest Period of one month.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Taxes, Increased Costs Protection and Illegality</w:t>
      </w:r>
    </w:p>
    <w:p>
      <w:pPr>
        <w:spacing w:after="0" w:line="19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3.01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firstLine="757"/>
        <w:spacing w:after="0" w:line="241" w:lineRule="auto"/>
        <w:tabs>
          <w:tab w:leader="none" w:pos="114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Law, any and all payments by the Borrower or any Guarantor to or for the account of any Agent, any Lender or Issuing Bank under any Loan Document shall be made free and clear of and without deduction for any and all present or future taxes, duties, levies, imposts, deductions, assessments, fees, withholdings or similar charges imposed by any Governmental Authority, and all liabilities (including additions to tax, penalties and interest) with respect thereto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The following shall be “</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xml:space="preserve">”: in the case of each Agent, each Lender and Issuing Bank, (i) Taxes imposed on or measured by net income (however denominated, and including branch profits and similar Taxes), and franchise or similar Taxes, in each case, that are (A) imposed by the jurisdiction under the laws of which it is organized or in which its principal office is located or, in the case of any Lender, in which its applicable Lending Office is located, or (B) Other Connection Taxes, (ii) any U.S. federal Tax that is (or would be) required to be withheld with respect to amounts payable hereunder in respect of an Eligible Assignee (pursuant to an assignment under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on the date it becomes an assignee to the extent such Tax is in excess of the Tax that would have been applicable had such assigning Lender not assigned its interest arising under any Loan Document (unless such assignment is at the express written request of the Borrower), (iii) U.S. federal withholding Taxes imposed on amounts payable to or for the account of a Lender, Agent or Issuing Bank with respect to an applicable interest in a Loan or Commitment pursuant to a Law in effect on the date on which (A) such Lender, Agent or Issuing Bank acquires such interest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9" w:name="page210"/>
    <w:bookmarkEnd w:id="209"/>
    <w:p>
      <w:pPr>
        <w:jc w:val="both"/>
        <w:spacing w:after="0"/>
        <w:rPr>
          <w:sz w:val="20"/>
          <w:szCs w:val="20"/>
          <w:color w:val="auto"/>
        </w:rPr>
      </w:pPr>
      <w:r>
        <w:rPr>
          <w:rFonts w:ascii="Times New Roman" w:cs="Times New Roman" w:eastAsia="Times New Roman" w:hAnsi="Times New Roman"/>
          <w:sz w:val="20"/>
          <w:szCs w:val="20"/>
          <w:color w:val="auto"/>
        </w:rPr>
        <w:t xml:space="preserve">Loan or Commitment (other than pursuant to an assignment request by the Borrower under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or (B) such Lender changes its Lending Office (other than at the written request of the Borrower to change such Lending Office), except in each case to the extent that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amounts with respect to such Taxes were payable to such Lender’s, Agent’s or Issuing Bank’s assignor immediately before such Lender, Agent or Issuing Bank became a party hereto, or to such Lender immediately before it changed its Lending Office, (iv) any U.S. federal withholding Taxes imposed as a result of the failure of any Agent, Lender or Issuing Bank to comply with the provisions of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3.01(d)</w:t>
      </w:r>
      <w:r>
        <w:rPr>
          <w:rFonts w:ascii="Times New Roman" w:cs="Times New Roman" w:eastAsia="Times New Roman" w:hAnsi="Times New Roman"/>
          <w:sz w:val="20"/>
          <w:szCs w:val="20"/>
          <w:color w:val="auto"/>
        </w:rPr>
        <w:t xml:space="preserve"> (in the case of any Foreign Lender, as defined below) or the provisions of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(in the case of any U.S. Lender, as defined below), and (v) any Taxes imposed on any amount payable to or for the account of any Agent, Lender or Issuing Bank as a result of the failure of such recipient to satisfy the applicable requirements under FATCA to establish that such payment is exempt from withholding under FATCA. If an applicable Withholding Agent is required to deduct any Taxes or Other Taxes (as defined below) from or in respect of any sum payable under any Loan Document to any Agent, any Lender or Issuing Bank, (i) except in the case of Excluded Taxes, the sum payable shall be increased as necessary so that after making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each of such Agent, such Lender or Issuing Bank receives an amount equal to the sum it would have received had no such deductions been made, (ii) the applicable Withholding Agent shall make such deductions, (iii) the applicable Withholding Agent shall pay the full amount deducted to the relevant taxing authority, and (iv) within thirty days after the date of any such payment by the Borrower or any Guarantor (or, if receipts or evidence are not available within thirty days, as soon as practicable thereafter),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 If the Borrower or Guarantor fails to pay any Taxes or Other Taxes when due to the appropriate taxing authority, then the Borrower or applicable Guarantor shall indemnify such Agent, such Lender and such Issuing Bank for any incremental Taxes that may become payable by such Agent, such Lender or such Issuing Bank arising out of such failure.</w:t>
      </w:r>
    </w:p>
    <w:p>
      <w:pPr>
        <w:spacing w:after="0" w:line="200" w:lineRule="exact"/>
        <w:rPr>
          <w:sz w:val="20"/>
          <w:szCs w:val="20"/>
          <w:color w:val="auto"/>
        </w:rPr>
      </w:pPr>
    </w:p>
    <w:p>
      <w:pPr>
        <w:jc w:val="both"/>
        <w:ind w:firstLine="757"/>
        <w:spacing w:after="0" w:line="254" w:lineRule="auto"/>
        <w:tabs>
          <w:tab w:leader="none" w:pos="1144"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it is legally able to do so, each Agent, Lender or Issuing Bank (including an Eligible Assignee to which a Lender assigns its interest in accordance with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unless such Eligible Assignee is already a Lender hereunder) that is not a “United States person” within the meaning of Section 7701(a)(30) of the Code (each, a “</w:t>
      </w:r>
      <w:r>
        <w:rPr>
          <w:rFonts w:ascii="Times New Roman" w:cs="Times New Roman" w:eastAsia="Times New Roman" w:hAnsi="Times New Roman"/>
          <w:sz w:val="19"/>
          <w:szCs w:val="19"/>
          <w:b w:val="1"/>
          <w:bCs w:val="1"/>
          <w:color w:val="auto"/>
        </w:rPr>
        <w:t>Foreign Lender</w:t>
      </w:r>
      <w:r>
        <w:rPr>
          <w:rFonts w:ascii="Times New Roman" w:cs="Times New Roman" w:eastAsia="Times New Roman" w:hAnsi="Times New Roman"/>
          <w:sz w:val="19"/>
          <w:szCs w:val="19"/>
          <w:color w:val="auto"/>
        </w:rPr>
        <w:t>”)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signed copies of whichever of the following is applicable: (i) IRS Form W-8BEN or Form W-8BEN-E certifying that it is entitled to benefits under an income tax treaty to which the United States is a party; (ii) IRS Form W-8ECI certifying that the income receivable pursuant to any Loan Document is effectively connected with the conduct of a trade or business in the United States; (iii) if the Foreign Lender is not (A) a bank described in Section 881(c)</w:t>
      </w:r>
    </w:p>
    <w:p>
      <w:pPr>
        <w:spacing w:after="0" w:line="6" w:lineRule="exact"/>
        <w:rPr>
          <w:rFonts w:ascii="Times New Roman" w:cs="Times New Roman" w:eastAsia="Times New Roman" w:hAnsi="Times New Roman"/>
          <w:sz w:val="19"/>
          <w:szCs w:val="19"/>
          <w:color w:val="auto"/>
        </w:rPr>
      </w:pPr>
    </w:p>
    <w:p>
      <w:pPr>
        <w:jc w:val="both"/>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(3)(A) of the Code, (B) a 10-percent shareholder of the Borrower described in Section 871(h)(3)(B) of the Code, or (C) a controlled foreign corporation related to the Borrower within the meaning of Section 864(d) of the Code, a certificate to that effect in substantially the form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color w:val="auto"/>
        </w:rPr>
        <w:t>Non-Bank Certificate</w:t>
      </w:r>
      <w:r>
        <w:rPr>
          <w:rFonts w:ascii="Times New Roman" w:cs="Times New Roman" w:eastAsia="Times New Roman" w:hAnsi="Times New Roman"/>
          <w:sz w:val="20"/>
          <w:szCs w:val="20"/>
          <w:color w:val="auto"/>
        </w:rPr>
        <w:t>”) and an IRS Form W-8BEN or Form W-8BEN-E, certifying that the Foreign Lender is not a United States person; (iv) to the extent a Foreign Lender is not the beneficial owner for U.S. federal income tax purposes, IRS Form W-8IMY (or any successor forms) of the Foreign Lender, accompanied by, as and to the extent applicable, an IRS Form W-8BEN, Form W-8BEN-E, Form W-8ECI, Non-Bank Certificate, Form W-9, Form W-8IMY (or other successor forms) and any other required supporting information from each beneficial owner (it being understood that a Foreign Lender need not provide certificates or supporting documentation from beneficial owners if (A) the Foreign Lender is a “qualified intermediary” or “withholding foreign partnership” for U.S. federal income tax purposes and (B) such Foreign Lender is as a result able to establish, and does establish, that payments to such Foreign Lender are, to the extent applicable,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0" w:name="page211"/>
    <w:bookmarkEnd w:id="210"/>
    <w:p>
      <w:pPr>
        <w:jc w:val="both"/>
        <w:spacing w:after="0" w:line="246" w:lineRule="auto"/>
        <w:rPr>
          <w:sz w:val="20"/>
          <w:szCs w:val="20"/>
          <w:color w:val="auto"/>
        </w:rPr>
      </w:pPr>
      <w:r>
        <w:rPr>
          <w:rFonts w:ascii="Times New Roman" w:cs="Times New Roman" w:eastAsia="Times New Roman" w:hAnsi="Times New Roman"/>
          <w:sz w:val="20"/>
          <w:szCs w:val="20"/>
          <w:color w:val="auto"/>
        </w:rPr>
        <w:t>an exemption from or, if an exemption is not available, a reduction in the rate of, U.S. federal withholding taxes without providing such certificates or supporting documentation); or (v)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3" w:lineRule="exact"/>
        <w:rPr>
          <w:sz w:val="20"/>
          <w:szCs w:val="20"/>
          <w:color w:val="auto"/>
        </w:rPr>
      </w:pPr>
    </w:p>
    <w:p>
      <w:pPr>
        <w:jc w:val="both"/>
        <w:ind w:firstLine="757"/>
        <w:spacing w:after="0" w:line="242" w:lineRule="auto"/>
        <w:tabs>
          <w:tab w:leader="none" w:pos="1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each such Foreign Lender shall, to the extent it is legally entitled to do so, (i) promptly submit to the Borrower and the Administrative Agent two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(1) on or before the date that such Foreign Lender’s most recently delivered form, certificate or other evidence expires or becomes obsolete or inaccurate in any material respect, (2) after the occurrence of a change in the Foreign Lender’s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the Foreign Lender’s circumstances that would modify or render invalid any claimed exemption or reduction. This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shall not apply to any reporting requirements under FATCA.</w:t>
      </w:r>
    </w:p>
    <w:p>
      <w:pPr>
        <w:spacing w:after="0" w:line="189"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Foreign Lender has complied with such Foreign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Section 3.01(d)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91"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Agent, Lender or Issuing Bank that is a “United States person” (within the meaning of Section 7701(a)(30) of the Code) (each, a “</w:t>
      </w:r>
      <w:r>
        <w:rPr>
          <w:rFonts w:ascii="Times New Roman" w:cs="Times New Roman" w:eastAsia="Times New Roman" w:hAnsi="Times New Roman"/>
          <w:sz w:val="20"/>
          <w:szCs w:val="20"/>
          <w:b w:val="1"/>
          <w:bCs w:val="1"/>
          <w:color w:val="auto"/>
        </w:rPr>
        <w:t>U.S. Lender</w:t>
      </w:r>
      <w:r>
        <w:rPr>
          <w:rFonts w:ascii="Times New Roman" w:cs="Times New Roman" w:eastAsia="Times New Roman" w:hAnsi="Times New Roman"/>
          <w:sz w:val="20"/>
          <w:szCs w:val="20"/>
          <w:color w:val="auto"/>
        </w:rPr>
        <w:t>”) agrees to complete and deliver to the Borrower and the Administrative Agent two copies of accurate, complete and signed IRS Form W-9 or 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any and all present or future stamp, court or documentary taxes and any other excise (in the nature of a documentary or similar tax), property, intangible, filing or mortgage recording taxes or charges or similar levies imposed by any Governmental Authority that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are Other Connection Taxes imposed in connection with an Assignment and Assumption, grant of a participation, transfer or assignment to or designation of a new applicable Lending Office or other office for receiving payments under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1" w:name="page212"/>
    <w:bookmarkEnd w:id="211"/>
    <w:p>
      <w:pPr>
        <w:spacing w:after="0" w:line="268" w:lineRule="auto"/>
        <w:rPr>
          <w:sz w:val="20"/>
          <w:szCs w:val="20"/>
          <w:color w:val="auto"/>
        </w:rPr>
      </w:pPr>
      <w:r>
        <w:rPr>
          <w:rFonts w:ascii="Times New Roman" w:cs="Times New Roman" w:eastAsia="Times New Roman" w:hAnsi="Times New Roman"/>
          <w:sz w:val="20"/>
          <w:szCs w:val="20"/>
          <w:color w:val="auto"/>
        </w:rPr>
        <w:t xml:space="preserve">Document, except to the extent that any such change is requested in writing by the Borrower (all such non-excluded taxes described in this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being hereinafter referred to as “</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57"/>
        <w:spacing w:after="0" w:line="244" w:lineRule="auto"/>
        <w:tabs>
          <w:tab w:leader="none" w:pos="11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Taxes or Other Taxes are directly asserted against any Agent, Lender or Issuing Bank with respect to any payment received by such Agent or Lender in respect of any Loan Document, such Agent, Lender or Issuing Bank may pay such Taxes or Other Taxes and the Borrower will promptly indemnify and hold harmless such Agent, Lender or Issuing Bank for the full amount of such Taxes (other than Excluded Taxes) and Other Taxes (and any Taxes (other than Excluded Taxes) and Other Taxes imposed on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any reasonable expenses arising therefrom or with respect thereto, whether or not such Taxes or Other Taxes were correctly or legally imposed or asserted. Payments under this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shall be made within ten days after the date the Borrower receives written demand for payment from such Agent, Lender or Issuing Bank.</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w:t>
      </w:r>
    </w:p>
    <w:p>
      <w:pPr>
        <w:spacing w:after="0" w:line="178" w:lineRule="exact"/>
        <w:rPr>
          <w:rFonts w:ascii="Times New Roman" w:cs="Times New Roman" w:eastAsia="Times New Roman" w:hAnsi="Times New Roman"/>
          <w:sz w:val="20"/>
          <w:szCs w:val="20"/>
          <w:color w:val="auto"/>
        </w:rPr>
      </w:pPr>
    </w:p>
    <w:p>
      <w:pPr>
        <w:jc w:val="both"/>
        <w:ind w:firstLine="757"/>
        <w:spacing w:after="0"/>
        <w:tabs>
          <w:tab w:leader="none" w:pos="11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Agent, any Lender or Issuing Bank determines, in its sole discretion, exercised in good faith, that it has received a refund in respect of any Taxes or Other Taxes as to which it has been indemnified by the Borrower or any Guarantor, as the case may be, or with respect to which the Borrower or any Guarantor, as the case may be,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promptly pay to the indemnifying party an amount equal to such refund (but only to the extent of indemnity payments made, or additional amounts paid, by the Borrower or any Guarantor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or Other Taxes giving rise to such refund), net of all reasonable out-of-pocket expenses incurred by such Agent, such Lender or Issuing Bank and without interest (other than any interest paid by the relevant Governmental Authority with respect to such refund),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or applicable Guarantor, as the case may be, upon the request of such Agent, such Lender or Issuing Bank, agrees to repay the amount paid over to the Borrower or applicable Guarantor, as the case may be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to such Agent, such Lender or Issuing Bank in the event such Agent, such Lender or Issuing Bank is required to repay such refund to such Governmental Authority. Notwithstanding anything to the contrary in this paragraph (i), in no event will such Agent, Lender or Issuing Bank be required to pay any amount to the Borrower or applicable Guarantor pursuant to this paragraph (i) the payment of which would place such Agent, Lender or Issuing Bank in a less favorable net after-tax position than the indemnified party would have been in if the Tax or Other Tax subject to indemnification and giving rise to such refund had not been deducted, withheld or otherwise imposed and the indemnification payments or additional amounts with respect to such Tax or Other Tax had never been paid. Such Agent, such Lender or Issuing Bank, as the case may be, shall provide the Borrower upon request with a copy of any notice of assessment or other evidence reasonably available of the requirement to repay such refund received from the relevant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such Agent or Issuing Bank may delete any information therein that such Lender, such Agent or Issuing Bank deems confidential or not relevant to such refund in its reasonable discretion). This subsection shall not be construed to require any Agent, any Lender or Issuing Bank to make available its tax returns (or any other information relating to its taxes that it reasonably deems confidential) to the Borrower, any Guarantor or any other Person.</w:t>
      </w:r>
    </w:p>
    <w:p>
      <w:pPr>
        <w:spacing w:after="0" w:line="20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upon the occurrence of any event giving rise to the operation of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with respect to such Lender, it will, if requested by the Borrower in writing, use commercially reasonable efforts (subject to legal and regulatory restrictions) to mitigate the effect of any such event, including by designating another Lending Office for any Loan affected by such event and by completing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2" w:name="page213"/>
    <w:bookmarkEnd w:id="212"/>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and delivering or filing any tax-related forms that such Lender is legally able to deliver and that would reduce or eliminate any amount of Taxes or Other Taxes required to be deducted or withheld or paid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efforts are made at the Borrower’s expense and are on terms that, in the reasonable judgment of such Lender, do not cause such Lender or any of its Lending Offices to suffer any economic, legal or regulatory disadvantage,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3.01(j)</w:t>
      </w:r>
      <w:r>
        <w:rPr>
          <w:rFonts w:ascii="Times New Roman" w:cs="Times New Roman" w:eastAsia="Times New Roman" w:hAnsi="Times New Roman"/>
          <w:sz w:val="20"/>
          <w:szCs w:val="20"/>
          <w:color w:val="auto"/>
        </w:rPr>
        <w:t xml:space="preserve"> shall affect or postpone any of the Obligations of the Borrower or the rights of such Lender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right="20" w:firstLine="757"/>
        <w:spacing w:after="0" w:line="253" w:lineRule="auto"/>
        <w:tabs>
          <w:tab w:leader="none" w:pos="114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Agreement, the Borrower and the Administrative Agent may deduct and withhold any taxes required by any Laws (including, for the avoidance of doubt, FATCA) to be deducted and withheld from any payment under any of the Loan Documents, subject to the provisions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Agent or Lender, as applicable, shall severally indemnify the Administrative Agent, within ten days after demand therefor, for (i) any Taxes attributable to such Agent or Lender (but only to the extent that the Borrower has not already indemnified the Administrative Agent for such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11.07(e)</w:t>
      </w:r>
      <w:r>
        <w:rPr>
          <w:rFonts w:ascii="Times New Roman" w:cs="Times New Roman" w:eastAsia="Times New Roman" w:hAnsi="Times New Roman"/>
          <w:sz w:val="20"/>
          <w:szCs w:val="20"/>
          <w:color w:val="auto"/>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3.01(l)</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termination of this Agreement and the payment of the Loans and all other amounts payable hereunder and any assignment of rights by, or replacement of, any Lender.</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If any Lender reasonably determines that any Law has made it unlawful, or that any Governmental Authority has asserted that it is unlawful, for any Lender or its applicable Lending Office to make, maintain or fund Loans whose interest is determined by reference to the Eurocurrency Rate or SOFR, or to determine or charge interest rates based upon the Eurocurrency Rate or SOFR, or, in the case of the Eurocurrency Rate, any Governmental Authority has imposed material restrictions on the authority of such Lender to purchase or sell, or to take deposits of, Dollars or any Alternative Currency in the London interbank market, then, on notice thereof by such Lender to the Borrower through the Administrative Agent, (i) any obligation of such Lender to make or continue Eurocurrency Rate Loans or SOFR Loans, as applicable, or to convert Base Rate Loans to Eurocurrency Rate Loans or SOFR Loans, as applicable, shall be suspended, and (ii) if such notice asserts the illegality of such Lender making or maintaining Base Rate Loans the interest rate on which is determined by reference to the Adjusted Eurocurrency Rate or Adjusted Term SOFR component of the Base Rate, the interest rate on which Base Rate Loans of such Lender shall, if necessary to avoid such illegality, be determined by the Administrative Agent without reference to the Adjusted Eurocurrency Rate or Adjusted Term SOFR, as applicable, component of the Base Rate, in each case until such Lender notifies the Administrative Agent and the Borrower that the circumstances giving rise to such determination no longer exist. Upon receipt of such notice, (A) with respect to Borrowings denominated in Dollars, the Borrower may revoke any pending request for a Borrowing of, conversion to or continuation of Eurocurrency Rate Loans or SOFR Loans, as applicable, and shall, upon demand from such Lender (with a copy to the Administrative Agent), prepay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3" w:name="page214"/>
    <w:bookmarkEnd w:id="213"/>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or, if applicable, convert all Eurocurrency Rate Loans or SOFR Loans, as applicable, of such Lender to Base Rate Loans (the interest rate on which Base Rate Loans of such Lender shall, if necessary to avoid such illegality, be determined by the Administrative Agent without reference to the Adjusted Eurocurrency Rate or Adjusted Term SOFR component of the Base Rate), either on the last day of the Interest Period therefor, if such Lender may lawfully continue to maintain such Eurocurrency Rate Loans or SOFR Loans, as applicable, to such day, or immediately, if such Lender may not lawfully continue to maintain such Eurocurrency Rate Loans or SOFR Loans, as applicable, (B) with respect to Borrowings denominated in an Alternative Currency, the Borrower may revoke any pending request for a Borrowing of, conversion to or continuation of Eurocurrency Rate Loans and shall, upon demand from such Lender (with a copy to the Administrative Agent), prepay or, if applicable, convert all Eurocurrency Rate Loans of such Lender to a Loan bearing interest at an alternative rate mutually acceptable to the Borrower and the applicable Lenders, either on the last day of the Interest Period therefor, if such Lender may lawfully continue to maintain such Eurocurrency Rate Loans to such day, or immediately, if such Lender may not lawfully continue to maintain such Eurocurrency Rate Loans;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Borrower and the applicable Lenders cannot agree within a reasonable time on an alternative rate for such Loans, the Borrower may, at its discretion, either (x) prepay such Loans or (y)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Margin or (C) if such notice asserts the illegality of such Lender determining or charging interest rates based upon the Adjusted Eurocurrency Rate or Adjusted Term SOFR component of the Base Rate with respect to any Base Rate Loans, the Administrative Agent shall during the period of such suspension compute the Base Rate applicable to such Lender without reference to the Adjusted Eurocurrency Rate or Adjusted Term SOFR, as applicable, component thereof until the Administrative Agent is advised in writing by such Lender that it is no longer illegal for such Lender to determine or charge interest rates based upon the Eurocurrency Rate or SOFR, as applicable. Upon any such prepayment or conversion, the Borrower shall also pay accrued interest on the amount so prepaid or converted.</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 xml:space="preserve"> If the Required Lenders reasonably determine that for any reason in connection with any request for a Eurocurrency Rate Loan or SOFR Loan or a conversion to or continuation thereof that (a) in the case of Eurocurrency Rate Loans, deposits in the applicable Alternative Currency are not being offered to banks in the London interbank eurodollar market for the applicable amount and Interest Period of such Eurocurrency Rate Loan, (b) adequate and reasonable means do not exist (i) for determining the Adjusted Eurocurrency Rate for any requested Interest Period with respect to a proposed Eurocurrency Rate Loan, (ii) Adjusted Term SOFR for any requested Interest Period with respect to a proposed SOFR Loan or (iii) in connection with an existing or proposed Base Rate Loan or (c) (i) the Eurocurrency Rate for any requested Interest Period with respect to a proposed Eurocurrency Rate Loan or (ii) SOFR for any requested Interest Period with respect to a proposed SOFR Loan, in each case, does not adequately and fairly reflect the cost to such Lenders of funding such Loan, the Administrative Agent will promptly so notify the Borrower and each Lender. Thereafter, (i) the obligation of the Lenders to make or maintain Eurocurrency Rate Loans or SOFR Loans, as applicable, shall be suspended, and (ii) in the event of a determination described in the preceding sentence with respect to the Adjusted Eurocurrency Rate or Adjusted Term SOFR component of the Base Rate, as applicable, the utilization of the Adjusted Eurocurrency Rate or Adjusted Term SOFR component, as applicable, in determining the Base Rate shall be suspended, in each case until the Administrative Agent (upon the instruction of the Required Lenders) revokes such notice. Upon receipt of such notice, (i) with respect Borrowings denominated in Dollars, the Borrower may revoke any pending request for a Borrowing of, conversion to or continuation of Eurocurrency Rate Loans or SOFR Loans, as applicable, or, failing that, will be deemed to have converted such request into a request for a Borrowing of Base Rate Loans in the amount specified therein and (ii) with respect to Borrowings denominated in an Alternative Currency, the Borrower may revoke any pending request for a Borrowing of, conversion to or continuation of Eurocurrency Rate Loans and shall convert all such Eurocurrency Rate Loans of such Lender to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-906780</wp:posOffset>
            </wp:positionV>
            <wp:extent cx="311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4" w:name="page215"/>
    <w:bookmarkEnd w:id="214"/>
    <w:p>
      <w:pPr>
        <w:jc w:val="both"/>
        <w:spacing w:after="0" w:line="246" w:lineRule="auto"/>
        <w:rPr>
          <w:sz w:val="20"/>
          <w:szCs w:val="20"/>
          <w:color w:val="auto"/>
        </w:rPr>
      </w:pPr>
      <w:r>
        <w:rPr>
          <w:rFonts w:ascii="Times New Roman" w:cs="Times New Roman" w:eastAsia="Times New Roman" w:hAnsi="Times New Roman"/>
          <w:sz w:val="20"/>
          <w:szCs w:val="20"/>
          <w:color w:val="auto"/>
        </w:rPr>
        <w:t>bearing interest at an alternative rate mutually acceptable to the Borrower and the applicable Lenders; provided, however, that if the Borrower and the applicable Lenders cannot agree within a reasonable time on an alternative rate for such Loans, the Borrower may, at its discretion, either (x) prepay such Loans or (y)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Margin.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238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20"/>
          <w:szCs w:val="20"/>
          <w:u w:val="single" w:color="auto"/>
          <w:color w:val="auto"/>
        </w:rPr>
        <w:t>Increased Cost and Reduced Return; Capital Adequacy; Reserves on Eurocurrency Rate Loans and SOFR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1160" w:hanging="403"/>
        <w:spacing w:after="0"/>
        <w:tabs>
          <w:tab w:leader="none" w:pos="11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any Issuing Bank or the Swing Line Lender;</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44" w:lineRule="auto"/>
        <w:tabs>
          <w:tab w:leader="none" w:pos="2203"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Lender, any Issuing Bank or the Swing Line Lender to any tax of any kind whatsoever with respect to this Agreement, any Letter of Credit, any participation in a Letter of Credit or any Eurocurrency Rate Loan or SOFR Loan made by it, or change the basis of taxation of payments to such Lender, Issuing Bank, or Swing Line Lender, as applicable, in respect thereof (except, in each case, for (A) Taxes with respect to which the Borrower is obligated to pay additional amounts or indemnity payments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(B) any taxes and other amounts described in clauses (ii) through (v) of the second sentence of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that are imposed with respect to payments to or for the account of any Agent, any Lender, any Issuing Bank or the Swing Line Lender under any Loan Document, (C) Connection Income Taxes, and (D) Other Taxes); or</w:t>
      </w:r>
    </w:p>
    <w:p>
      <w:pPr>
        <w:spacing w:after="0" w:line="183"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Issuing Bank or the Swing Line Lender or the London interbank market any other condition, cost or expense affecting this Agreement, any Letter of Credit, any participation in a Letter of Credit or Eurocurrency Rate Loans or SOFR Loans made by such Lender or any Issuing Bank or the Swing Line Lender (other than with respect to Taxes) that is not otherwise accounted for in the definition of the Adjusted Eurocurrency Rate or Adjusted Term SOFR, as applicable, or this clause (a);</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such Issuing Bank or the Swing Line Lender of making or maintaining any Loan the interest on which is determined by reference to the Eurocurrency Rate or SOFR or, in the case of a Change in Law with respect to Taxes, making or maintaining any Loan (or of maintaining its obligation to make any such Loan), or to increase the cost to such Lender, such Issuing Bank or such other Lender of participating in, issuing or maintaining any Letter of Credit (or of maintaining its obligation to participate in or to issue any Letter of Credit, or to reduce the amount of any sum received or receivable by such Lender or such Issuing Bank (whether of principal, interest or any other amount)) then, from time to time within ten days after demand by such Lender or such Issuing Bank setting forth in reasonable detail such increased costs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Issuing Bank or Swing Line Lender shall request that the Borrower pay any additional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5" w:name="page216"/>
    <w:bookmarkEnd w:id="215"/>
    <w:p>
      <w:pPr>
        <w:spacing w:after="0" w:line="268" w:lineRule="auto"/>
        <w:rPr>
          <w:sz w:val="20"/>
          <w:szCs w:val="20"/>
          <w:color w:val="auto"/>
        </w:rPr>
      </w:pP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unless it shall concurrently make similar requests to other borrowers similarly situated and affected by such Change in Law and from whom such Lender, Issuing Bank or Swing Line Lender is entitled to seek similar amounts.</w:t>
      </w:r>
    </w:p>
    <w:p>
      <w:pPr>
        <w:spacing w:after="0" w:line="161" w:lineRule="exact"/>
        <w:rPr>
          <w:sz w:val="20"/>
          <w:szCs w:val="20"/>
          <w:color w:val="auto"/>
        </w:rPr>
      </w:pPr>
    </w:p>
    <w:p>
      <w:pPr>
        <w:jc w:val="both"/>
        <w:ind w:firstLine="757"/>
        <w:spacing w:after="0" w:line="241" w:lineRule="auto"/>
        <w:tabs>
          <w:tab w:leader="none" w:pos="11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Issuing Bank reasonably determines that any Change in Law 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 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demand of such Lender or such Issuing Bank setting forth in reasonable detail the charge and the calculation of such reduced rate of return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an Issuing Bank setting forth the amount or amounts necessary to compensate such Lender or such Issuing Bank or their respective holding company, as the case may be, as specified in subsection (a) or (b)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as the case may be, the amount shown as due on any such certificate within ten days after receipt thereof.</w:t>
      </w:r>
    </w:p>
    <w:p>
      <w:pPr>
        <w:spacing w:after="0" w:line="178" w:lineRule="exact"/>
        <w:rPr>
          <w:rFonts w:ascii="Times New Roman" w:cs="Times New Roman" w:eastAsia="Times New Roman" w:hAnsi="Times New Roman"/>
          <w:sz w:val="20"/>
          <w:szCs w:val="20"/>
          <w:color w:val="auto"/>
        </w:rPr>
      </w:pPr>
    </w:p>
    <w:p>
      <w:pPr>
        <w:jc w:val="both"/>
        <w:ind w:firstLine="757"/>
        <w:spacing w:after="0" w:line="243" w:lineRule="auto"/>
        <w:tabs>
          <w:tab w:leader="none" w:pos="115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any Issuing Bank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such Issuing Bank’s right to demand such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required to compensate a Lender or an Issuing Bank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for any increased costs incurred or reductions suffered more than one hundred and eighty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6"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Reserves on Eurocurrency Rate Loans and SOFR Loans</w:t>
      </w:r>
      <w:r>
        <w:rPr>
          <w:rFonts w:ascii="Times New Roman" w:cs="Times New Roman" w:eastAsia="Times New Roman" w:hAnsi="Times New Roman"/>
          <w:sz w:val="20"/>
          <w:szCs w:val="20"/>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or SOFR funds and deposits, additional interest on the unpaid principal amount of each Eurocurrency Rate Loan and each SOFR Loan, as applicable, equal to the actual costs of such reserves allocated to such Loan by such Lender (as determined by such lender in good faith, which determination shall be conclusive), which shall be due and payable on each date on which interest is payable on such Loan made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7"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Funding Losses</w:t>
      </w:r>
      <w:r>
        <w:rPr>
          <w:rFonts w:ascii="Times New Roman" w:cs="Times New Roman" w:eastAsia="Times New Roman" w:hAnsi="Times New Roman"/>
          <w:sz w:val="20"/>
          <w:szCs w:val="20"/>
          <w:color w:val="auto"/>
        </w:rPr>
        <w:t>. Upon written demand of any Lender (with a copy to the Administrative Agent) from time to time, which demand shall set forth in reasonable detail the basis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6" w:name="page217"/>
    <w:bookmarkEnd w:id="216"/>
    <w:p>
      <w:pPr>
        <w:jc w:val="both"/>
        <w:spacing w:after="0" w:line="273" w:lineRule="auto"/>
        <w:rPr>
          <w:sz w:val="20"/>
          <w:szCs w:val="20"/>
          <w:color w:val="auto"/>
        </w:rPr>
      </w:pPr>
      <w:r>
        <w:rPr>
          <w:rFonts w:ascii="Times New Roman" w:cs="Times New Roman" w:eastAsia="Times New Roman" w:hAnsi="Times New Roman"/>
          <w:sz w:val="19"/>
          <w:szCs w:val="19"/>
          <w:color w:val="auto"/>
        </w:rPr>
        <w:t>requesting such amount (provided that such calculation will not in an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spacing w:after="0" w:line="158" w:lineRule="exact"/>
        <w:rPr>
          <w:sz w:val="20"/>
          <w:szCs w:val="20"/>
          <w:color w:val="auto"/>
        </w:rPr>
      </w:pPr>
    </w:p>
    <w:p>
      <w:pPr>
        <w:ind w:firstLine="757"/>
        <w:spacing w:after="0" w:line="268" w:lineRule="auto"/>
        <w:tabs>
          <w:tab w:leader="none" w:pos="1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Eurocurrency Rate Loan or SOFR Loan on a day prior to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Notwithstanding the foregoing, no Lender may make any demand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(i) with respect to the “floor” specified in the parenthetical in the first sentence of the definition of Adjusted Eurocurrency Rate, (ii) the Floor with respect to SOFR Loans or (iii) in connection with any prepayment of interest on Term Loans.</w:t>
      </w:r>
    </w:p>
    <w:p>
      <w:pPr>
        <w:spacing w:after="0" w:line="18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9"/>
          <w:szCs w:val="19"/>
          <w:u w:val="single" w:color="auto"/>
          <w:color w:val="auto"/>
        </w:rPr>
        <w:t>Matters Applicable to All Requests for Compensation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3" w:lineRule="auto"/>
        <w:tabs>
          <w:tab w:leader="none" w:pos="117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the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to any unreimbursed cost or expense and would not otherwise be disadvantageous to such Lender in any material economic, legal or regulatory respect.</w:t>
      </w:r>
    </w:p>
    <w:p>
      <w:pPr>
        <w:spacing w:after="0" w:line="186"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Suspension of Lender Obligations</w:t>
      </w:r>
      <w:r>
        <w:rPr>
          <w:rFonts w:ascii="Times New Roman" w:cs="Times New Roman" w:eastAsia="Times New Roman" w:hAnsi="Times New Roman"/>
          <w:sz w:val="20"/>
          <w:szCs w:val="20"/>
          <w:color w:val="auto"/>
        </w:rPr>
        <w:t xml:space="preserve">. If any Lender requests compensation by the Borrower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the Borrower may, by notice to such Lender (with a copy to the Administrative Agent), suspend the obligation of such Lender to make or continue Eurocurrency Rate Loans or SOFR Loans, as applicable, from one Interest Period to another Interest Period, or to convert Base Rate Loans into Eurocurrency Rate Loans or SOFR Loans, as applicable, until the event or condition giving rise to such request ceases to be in effect (in which case the provisions of </w:t>
      </w:r>
      <w:r>
        <w:rPr>
          <w:rFonts w:ascii="Times New Roman" w:cs="Times New Roman" w:eastAsia="Times New Roman" w:hAnsi="Times New Roman"/>
          <w:sz w:val="20"/>
          <w:szCs w:val="20"/>
          <w:u w:val="single" w:color="auto"/>
          <w:color w:val="auto"/>
        </w:rPr>
        <w:t>Section 3.06(c)</w:t>
      </w:r>
      <w:r>
        <w:rPr>
          <w:rFonts w:ascii="Times New Roman" w:cs="Times New Roman" w:eastAsia="Times New Roman" w:hAnsi="Times New Roman"/>
          <w:sz w:val="20"/>
          <w:szCs w:val="20"/>
          <w:color w:val="auto"/>
        </w:rPr>
        <w:t xml:space="preserve"> shall be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suspension shall not affect the right of such Lender to receive the compensation so requested.</w:t>
      </w:r>
    </w:p>
    <w:p>
      <w:pPr>
        <w:spacing w:after="0" w:line="182" w:lineRule="exact"/>
        <w:rPr>
          <w:rFonts w:ascii="Times New Roman" w:cs="Times New Roman" w:eastAsia="Times New Roman" w:hAnsi="Times New Roman"/>
          <w:sz w:val="20"/>
          <w:szCs w:val="20"/>
          <w:color w:val="auto"/>
        </w:rPr>
      </w:pPr>
    </w:p>
    <w:p>
      <w:pPr>
        <w:jc w:val="both"/>
        <w:ind w:firstLine="757"/>
        <w:spacing w:after="0" w:line="245" w:lineRule="auto"/>
        <w:tabs>
          <w:tab w:leader="none" w:pos="115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of Eurocurrency Rate Loans and SOFR Loans</w:t>
      </w:r>
      <w:r>
        <w:rPr>
          <w:rFonts w:ascii="Times New Roman" w:cs="Times New Roman" w:eastAsia="Times New Roman" w:hAnsi="Times New Roman"/>
          <w:sz w:val="20"/>
          <w:szCs w:val="20"/>
          <w:color w:val="auto"/>
        </w:rPr>
        <w:t xml:space="preserve">. If any Lender gives notice to the Borrower (with a copy to the Administrative Agent) that the circumstances specified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hereof that gave rise to the conversion of such Lender’s Eurocurrency Rate Loans or SOFR Loans, as applicable, no longer exist (which such Lender agrees to do promptly upon such circumstances ceasing to exist) at a time when Eurocurrency Rate Loans or SOFR Loans, as applicable, made by other Lenders are outstanding, such Lender’s Base Rate Loans shall be automatically converted, on the first day(s) of the next succeeding Interest Period(s) for such outstanding Eurocurrency Rate Loans or SOFR Loans,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7" w:name="page218"/>
    <w:bookmarkEnd w:id="217"/>
    <w:p>
      <w:pPr>
        <w:jc w:val="both"/>
        <w:spacing w:after="0" w:line="253" w:lineRule="auto"/>
        <w:rPr>
          <w:sz w:val="20"/>
          <w:szCs w:val="20"/>
          <w:color w:val="auto"/>
        </w:rPr>
      </w:pPr>
      <w:r>
        <w:rPr>
          <w:rFonts w:ascii="Times New Roman" w:cs="Times New Roman" w:eastAsia="Times New Roman" w:hAnsi="Times New Roman"/>
          <w:sz w:val="20"/>
          <w:szCs w:val="20"/>
          <w:color w:val="auto"/>
        </w:rPr>
        <w:t>applicable, to the extent necessary so that, after giving effect thereto, all Loans of a given Class held by the Lenders of such Class holding Eurocurrency Rate Loans or SOFR Loans, as applicable, and by such Lender are held pro rata (as to principal amounts, interest rate basis, and Interest Periods) in accordance with their respective Pro Rata Shares.</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Replacement of Lenders Under Certain Circumstances</w:t>
      </w:r>
      <w:r>
        <w:rPr>
          <w:rFonts w:ascii="Times New Roman" w:cs="Times New Roman" w:eastAsia="Times New Roman" w:hAnsi="Times New Roman"/>
          <w:sz w:val="19"/>
          <w:szCs w:val="19"/>
          <w:color w:val="auto"/>
        </w:rPr>
        <w:t xml:space="preserve">. If (i) any Lender requests compensation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or ceases to make Eurocurrency Rate Loans or SOFR Loans as a result of any condition described in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(ii) the Borrower is required to pay any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and such Lender has declined or is unable to designate a different Lending Office in accordance with </w:t>
      </w:r>
      <w:r>
        <w:rPr>
          <w:rFonts w:ascii="Times New Roman" w:cs="Times New Roman" w:eastAsia="Times New Roman" w:hAnsi="Times New Roman"/>
          <w:sz w:val="19"/>
          <w:szCs w:val="19"/>
          <w:u w:val="single" w:color="auto"/>
          <w:color w:val="auto"/>
        </w:rPr>
        <w:t>Section 3.01(j)</w:t>
      </w:r>
      <w:r>
        <w:rPr>
          <w:rFonts w:ascii="Times New Roman" w:cs="Times New Roman" w:eastAsia="Times New Roman" w:hAnsi="Times New Roman"/>
          <w:sz w:val="19"/>
          <w:szCs w:val="19"/>
          <w:color w:val="auto"/>
        </w:rPr>
        <w:t>,</w:t>
      </w:r>
    </w:p>
    <w:p>
      <w:pPr>
        <w:spacing w:after="0" w:line="3" w:lineRule="exact"/>
        <w:rPr>
          <w:sz w:val="20"/>
          <w:szCs w:val="20"/>
          <w:color w:val="auto"/>
        </w:rPr>
      </w:pPr>
    </w:p>
    <w:p>
      <w:pPr>
        <w:jc w:val="both"/>
        <w:ind w:firstLine="8"/>
        <w:spacing w:after="0"/>
        <w:tabs>
          <w:tab w:leader="none" w:pos="37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 Non-Consenting Lender, (iv) any Lender does not accept an Extension Offer, (v) (A) any Lender shall become and continue to be a Defaulting Lender and (B) such Defaulting Lender shall fail to cure the default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within five Business Days after the Borrower’s request that it cure such default, (vi) any Lender becomes a Disqualified Lender or (vii)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all of its interests, rights and obligations under this Agreement and the related Loan Documents to one or more Eligible Assignees that shall assume such obligations (any of which assignee may be another Lender, if a 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7"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specified in </w:t>
      </w:r>
      <w:r>
        <w:rPr>
          <w:rFonts w:ascii="Times New Roman" w:cs="Times New Roman" w:eastAsia="Times New Roman" w:hAnsi="Times New Roman"/>
          <w:sz w:val="20"/>
          <w:szCs w:val="20"/>
          <w:u w:val="single" w:color="auto"/>
          <w:color w:val="auto"/>
        </w:rPr>
        <w:t>Section 11.07(b)(iv)</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participations in Letters of Credit and Swing Line Loans, accrued interest thereon, accrued fees and all other amounts payable to it hereunder and under the other Loan Documents (including any amounts payable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78"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being replaced pursuant to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shall (i) execute and deliver an Assignment and Assumption with respect to such Lender’s Commitment and outstanding Loans and participations in Letters of Credit or Swing Line Loans, and (ii) deliver any Notes evidencing such Loans to the Borrower or Administrative Agent (or a lost or destroyed note indemnity in lieu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w:t>
      </w:r>
    </w:p>
    <w:p>
      <w:pPr>
        <w:spacing w:after="0" w:line="182"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60"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such assignment resulting from a Lender being a Non-Consenting Lender, the Eligible Assignee shall consent, at the time of such assignment, to each matter in respect of which such Lender being replaced was a Non-Consenting Lender;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8" w:name="page219"/>
    <w:bookmarkEnd w:id="218"/>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19"/>
          <w:szCs w:val="19"/>
          <w:color w:val="auto"/>
        </w:rPr>
        <w:t>such assignment does not conflict with applicable Laws.</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or all the Lenders or all affected Lenders with respect to a certain Class or Classes of the Loans and (iii) the Required Lenders, Required Revolving Lenders or Required Facility Lenders, as applicable, have agreed to such consent, waiver or amendment, then any Lender who does not agree to such consent, waiver or amendment shall be deemed a “</w:t>
      </w:r>
      <w:r>
        <w:rPr>
          <w:rFonts w:ascii="Times New Roman" w:cs="Times New Roman" w:eastAsia="Times New Roman" w:hAnsi="Times New Roman"/>
          <w:sz w:val="20"/>
          <w:szCs w:val="20"/>
          <w:b w:val="1"/>
          <w:bCs w:val="1"/>
          <w:color w:val="auto"/>
        </w:rPr>
        <w:t>Non-Consenting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and resignation of the Administrative Agent or the Collateral Agent.</w:t>
      </w:r>
    </w:p>
    <w:p>
      <w:pPr>
        <w:spacing w:after="0" w:line="161"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3.09</w:t>
      </w:r>
      <w:r>
        <w:rPr>
          <w:sz w:val="20"/>
          <w:szCs w:val="20"/>
          <w:color w:val="auto"/>
        </w:rPr>
        <w:tab/>
      </w:r>
      <w:r>
        <w:rPr>
          <w:rFonts w:ascii="Times New Roman" w:cs="Times New Roman" w:eastAsia="Times New Roman" w:hAnsi="Times New Roman"/>
          <w:sz w:val="19"/>
          <w:szCs w:val="19"/>
          <w:u w:val="single" w:color="auto"/>
          <w:color w:val="auto"/>
        </w:rPr>
        <w:t>Revolving Facility Benchmark Replacement Setting</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solely with respect to the Revolving Facility:</w:t>
      </w:r>
    </w:p>
    <w:p>
      <w:pPr>
        <w:spacing w:after="0" w:line="215" w:lineRule="exact"/>
        <w:rPr>
          <w:sz w:val="20"/>
          <w:szCs w:val="20"/>
          <w:color w:val="auto"/>
        </w:rPr>
      </w:pPr>
    </w:p>
    <w:p>
      <w:pPr>
        <w:ind w:left="1160" w:hanging="403"/>
        <w:spacing w:after="0"/>
        <w:tabs>
          <w:tab w:leader="none" w:pos="11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5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Replacing Benchmarks</w:t>
      </w:r>
      <w:r>
        <w:rPr>
          <w:rFonts w:ascii="Times New Roman" w:cs="Times New Roman" w:eastAsia="Times New Roman" w:hAnsi="Times New Roman"/>
          <w:sz w:val="20"/>
          <w:szCs w:val="20"/>
          <w:color w:val="auto"/>
        </w:rPr>
        <w:t>. Upon the occurrence of a Benchmark Transition Event, the applicable Benchmark Replacement will replace the applicable then-current Benchmark for all purposes hereunder and under any Loan Document in respect of any Benchmark setting at or after 5:00 p.m. on the fifth (5th) Business Day after the date notice of such Benchmark Replacement is provided to the Revolving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Revolving Lenders. At any time that the administrator of such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Revolving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9" w:name="page220"/>
    <w:bookmarkEnd w:id="219"/>
    <w:p>
      <w:pPr>
        <w:spacing w:after="0" w:line="268" w:lineRule="auto"/>
        <w:rPr>
          <w:sz w:val="20"/>
          <w:szCs w:val="20"/>
          <w:color w:val="auto"/>
        </w:rPr>
      </w:pPr>
      <w:r>
        <w:rPr>
          <w:rFonts w:ascii="Times New Roman" w:cs="Times New Roman" w:eastAsia="Times New Roman" w:hAnsi="Times New Roman"/>
          <w:sz w:val="20"/>
          <w:szCs w:val="20"/>
          <w:color w:val="auto"/>
        </w:rPr>
        <w:t>Loans. During the period referenced in the foregoing sentence, the component of Base Rate based upon such Benchmark will not be used in any determination of Base Rate, if applicable.</w:t>
      </w:r>
    </w:p>
    <w:p>
      <w:pPr>
        <w:spacing w:after="0" w:line="161" w:lineRule="exact"/>
        <w:rPr>
          <w:sz w:val="20"/>
          <w:szCs w:val="20"/>
          <w:color w:val="auto"/>
        </w:rPr>
      </w:pPr>
    </w:p>
    <w:p>
      <w:pPr>
        <w:jc w:val="both"/>
        <w:ind w:firstLine="757"/>
        <w:spacing w:after="0" w:line="246" w:lineRule="auto"/>
        <w:tabs>
          <w:tab w:leader="none" w:pos="115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implementation and administration of a Benchmark Replacement,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the Borrower and the Revolving Lenders of (i) the implementation of any Benchmark Replacement and (ii) the effectiveness of any Benchmark Replacement Conforming Changes. Any determination, decision or election that may be made by the Administrative Agent or, if applicable, any Revolving Lender (or group of Revolving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w:t>
      </w:r>
    </w:p>
    <w:p>
      <w:pPr>
        <w:spacing w:after="0" w:line="183" w:lineRule="exact"/>
        <w:rPr>
          <w:rFonts w:ascii="Times New Roman" w:cs="Times New Roman" w:eastAsia="Times New Roman" w:hAnsi="Times New Roman"/>
          <w:sz w:val="20"/>
          <w:szCs w:val="20"/>
          <w:color w:val="auto"/>
        </w:rPr>
      </w:pPr>
    </w:p>
    <w:p>
      <w:pPr>
        <w:jc w:val="both"/>
        <w:ind w:firstLine="757"/>
        <w:spacing w:after="0" w:line="266" w:lineRule="auto"/>
        <w:tabs>
          <w:tab w:leader="none" w:pos="1185"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At any time (including in connection with the implementation of a Benchmark Replacement), (i) if the applicable then-current Benchmark is a term rate (including Term SOFR),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164"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xml:space="preserve">” means, for any Available Tenor, for purposes of clause (b) of this Section, 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syndicated credit facilities denominated in the Applicable Currency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Benchmark Replacement would be less than the Floor, the Benchmark Replacement will be deemed to be the Floor for the purposes of this Agreement and the other Loan Documents.</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Conforming Changes</w:t>
      </w:r>
      <w:r>
        <w:rPr>
          <w:rFonts w:ascii="Times New Roman" w:cs="Times New Roman" w:eastAsia="Times New Roman" w:hAnsi="Times New Roman"/>
          <w:sz w:val="20"/>
          <w:szCs w:val="20"/>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(in consultation with the Borrower) that no market practice for the administration of such Benchmark Replacement exists, in such other manner of administration 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0" w:name="page221"/>
    <w:bookmarkEnd w:id="220"/>
    <w:p>
      <w:pPr>
        <w:jc w:val="both"/>
        <w:spacing w:after="0" w:line="268" w:lineRule="auto"/>
        <w:rPr>
          <w:sz w:val="20"/>
          <w:szCs w:val="20"/>
          <w:color w:val="auto"/>
        </w:rPr>
      </w:pPr>
      <w:r>
        <w:rPr>
          <w:rFonts w:ascii="Times New Roman" w:cs="Times New Roman" w:eastAsia="Times New Roman" w:hAnsi="Times New Roman"/>
          <w:sz w:val="20"/>
          <w:szCs w:val="20"/>
          <w:color w:val="auto"/>
        </w:rPr>
        <w:t>decides (in consultation with the Borrower) is reasonably necessary in connection with the administration of this Agreement and the other Loan Documents).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Borrowings</w:t>
      </w:r>
    </w:p>
    <w:p>
      <w:pPr>
        <w:spacing w:after="0" w:line="19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4.01</w:t>
      </w:r>
      <w:r>
        <w:rPr>
          <w:sz w:val="20"/>
          <w:szCs w:val="20"/>
          <w:color w:val="auto"/>
        </w:rPr>
        <w:tab/>
      </w:r>
      <w:r>
        <w:rPr>
          <w:rFonts w:ascii="Times New Roman" w:cs="Times New Roman" w:eastAsia="Times New Roman" w:hAnsi="Times New Roman"/>
          <w:sz w:val="19"/>
          <w:szCs w:val="19"/>
          <w:u w:val="single" w:color="auto"/>
          <w:color w:val="auto"/>
        </w:rPr>
        <w:t>Conditions to Initial Borrowing</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The obligation of each Lender to extend credit to the Borrower and of each Issuing Bank to issue Letters of Credit hereunder on the Closing Date is subject to the satisfaction, or due waiver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of each of the following conditions precedent, except as otherwise agreed between the Borrower and the Lenders:</w:t>
      </w:r>
    </w:p>
    <w:p>
      <w:pPr>
        <w:spacing w:after="0" w:line="176" w:lineRule="exact"/>
        <w:rPr>
          <w:sz w:val="20"/>
          <w:szCs w:val="20"/>
          <w:color w:val="auto"/>
        </w:rPr>
      </w:pPr>
    </w:p>
    <w:p>
      <w:pPr>
        <w:ind w:right="20" w:firstLine="757"/>
        <w:spacing w:after="0" w:line="268" w:lineRule="auto"/>
        <w:tabs>
          <w:tab w:leader="none" w:pos="11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the following, each of which shall be originals, facsimiles or copies in .pdf format unless otherwise specified:</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Committed Loan Notice duly executed by the Borrower delivered at least one Business Day prior to the Closing Date but which may be conditioned on the consummation of the Transactions;</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duly executed by the Borrower and Holdings;</w:t>
      </w:r>
    </w:p>
    <w:p>
      <w:pPr>
        <w:spacing w:after="0" w:line="214"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Guaranty and the Security Agreement, in each case, duly executed by the Borrower and each other Loan Party, together with:</w:t>
      </w:r>
    </w:p>
    <w:p>
      <w:pPr>
        <w:spacing w:after="0" w:line="160"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if any, representing the Pledged Equity of the Borrower and its Subsidiaries and constituting Collateral, in each case, accompanied by undated stock powers executed in blank;</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Perfection Certificate duly executed by the Borrower on behalf of the Loan Parties; and to the extent required under the Collateral Documents, evidence that all other actions, recordings and filings required shall have been taken, completed or otherwise provided thereunder;</w:t>
      </w:r>
    </w:p>
    <w:p>
      <w:pPr>
        <w:spacing w:after="0" w:line="176" w:lineRule="exact"/>
        <w:rPr>
          <w:rFonts w:ascii="Times New Roman" w:cs="Times New Roman" w:eastAsia="Times New Roman" w:hAnsi="Times New Roman"/>
          <w:sz w:val="20"/>
          <w:szCs w:val="20"/>
          <w:color w:val="auto"/>
        </w:rPr>
      </w:pPr>
    </w:p>
    <w:p>
      <w:pPr>
        <w:ind w:left="1500" w:firstLine="754"/>
        <w:spacing w:after="0" w:line="268" w:lineRule="auto"/>
        <w:tabs>
          <w:tab w:leader="none" w:pos="2644"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statements in proper form for filing with authorization to file all Uniform Commercial Code financing statements in the jurisdiction of organization of each Loan Party.</w:t>
      </w:r>
    </w:p>
    <w:p>
      <w:pPr>
        <w:spacing w:after="0" w:line="160" w:lineRule="exact"/>
        <w:rPr>
          <w:rFonts w:ascii="Times New Roman" w:cs="Times New Roman" w:eastAsia="Times New Roman" w:hAnsi="Times New Roman"/>
          <w:sz w:val="20"/>
          <w:szCs w:val="20"/>
          <w:color w:val="auto"/>
        </w:rPr>
      </w:pPr>
    </w:p>
    <w:p>
      <w:pPr>
        <w:ind w:left="760" w:right="80" w:firstLine="1045"/>
        <w:spacing w:after="0" w:line="268" w:lineRule="auto"/>
        <w:tabs>
          <w:tab w:leader="none" w:pos="2203"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 Intercreditor Agreement duly executed by the Second Lien Collateral Agent and an acknowledgement thereof duly executed by the Loan Parties;</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certificates of good standing from the applicable secretary of state of the state of organization of the Borrower and each other Loan Party, resolutions or other action, incumbency certificates and/or other certificates of Responsible Officers of the Borrower and each other Loan Party, evidencing the identity, authority and capacity of each Responsible Officer thereof authorized to act as a Responsible Officer in connection with this Agreement and the other Loan Documents to which it is a party or is to be a party on the Closing Date and, in the case of the Borrower, including certification by a Responsible Officer of the Borrower that the conditions specified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below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1" w:name="page222"/>
    <w:bookmarkEnd w:id="221"/>
    <w:p>
      <w:pPr>
        <w:jc w:val="both"/>
        <w:ind w:left="760" w:firstLine="1045"/>
        <w:spacing w:after="0" w:line="253" w:lineRule="auto"/>
        <w:tabs>
          <w:tab w:leader="none" w:pos="225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from the following special counsel to the Loan Parties (or certain of the Loan Parties): (A) Latham &amp; Watkins LLP, with respect to matters of New York law and certain aspects of California and Delaware law, and (B) Miller, Pitt, Feldman &amp; McAnally P.C., with respect to matters of Arizona law;</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from the chief financial officer or other officer with equivalent duties of the Borrower as to the Solvency (after giving effect to the Transactions on the Closing Date) of the Borrower substantially in the form attached hereto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599"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 recent Lien, tax and judgment search in each jurisdiction reasonably requested by the Administrative Agent with respect to the Loan Parties; certified copies of the Second Lien Credit Agreement, Second Lien Security Agreement and Second Lien Guaranty comprising part of the Second Lien Credit Documents.</w:t>
      </w:r>
    </w:p>
    <w:p>
      <w:pPr>
        <w:spacing w:after="0" w:line="176"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required to be paid hereunder on the Closing Date (and all fees and expenses required to be paid under the Engagement Letter and Agency Fee Letter on the Closing Date) and, with respect to expenses and legal fees, to the extent invoiced in reasonable detail at least two Business Days before the Closing Date (except as otherwise reasonably agreed to by the Borrower) shall have been paid in full in cash, it being agreed that such fees and expenses may be paid with the proceeds of the initial funding of one or more of the Facilities.</w:t>
      </w:r>
    </w:p>
    <w:p>
      <w:pPr>
        <w:spacing w:after="0" w:line="183"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from the Borrower that prior to or substantially simultaneously with the initial Borrowing on the Closing Date, the Closing Date Refinancing, and the funding of the Second Lien Initial Term Loans shall have been or will be consummated.</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shall have received (a) at least three Business Days prior to the Closing Date all documentation and other information about the Loan Parties reasonably requested in writing by them at least ten Business Days prior to the Closing Date in order to comply with applicable “know your customer” and anti-money laundering rules and regulations, including the USA PATRIOT Act, that in each case has been requested in writing at least ten Business Days prior to the Closing Date, and (b) at least two Business Days prior to the Closing Date, a Beneficial Ownership Certification.</w:t>
      </w:r>
    </w:p>
    <w:p>
      <w:pPr>
        <w:spacing w:after="0" w:line="183"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shall be true and correct in all material respects on and as of the date of the Closing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any representation and warranty that is qualified as to “materiality,” “Material Adverse Effect” or similar language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10.03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or funded Loans hereunder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2" w:name="page223"/>
    <w:bookmarkEnd w:id="222"/>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Conditions to All Borrowings After the Closing Date</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2.16(f)</w:t>
      </w:r>
      <w:r>
        <w:rPr>
          <w:rFonts w:ascii="Times New Roman" w:cs="Times New Roman" w:eastAsia="Times New Roman" w:hAnsi="Times New Roman"/>
          <w:sz w:val="20"/>
          <w:szCs w:val="20"/>
          <w:color w:val="auto"/>
        </w:rPr>
        <w:t xml:space="preserve"> with respect to Incremental Loans or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with respect to Delayed Draw Term Loans, the obligation of each Lender to honor a Committed Loan Notice, of each Issuing Bank to issue, amend, renew or extend any Letter of Credit and of the Swing Line Lender to make Swing Line Loans, in each case, after the Closing Date, is subject to the following conditions precedent:</w:t>
      </w:r>
    </w:p>
    <w:p>
      <w:pPr>
        <w:spacing w:after="0" w:line="178" w:lineRule="exact"/>
        <w:rPr>
          <w:sz w:val="20"/>
          <w:szCs w:val="20"/>
          <w:color w:val="auto"/>
        </w:rPr>
      </w:pPr>
    </w:p>
    <w:p>
      <w:pPr>
        <w:jc w:val="both"/>
        <w:ind w:firstLine="757"/>
        <w:spacing w:after="0" w:line="245" w:lineRule="auto"/>
        <w:tabs>
          <w:tab w:leader="none" w:pos="11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shall be true and correct in all material respects on and as of the date of such Borrowing or issuance, amendment, renewal or extension of any Letter of Credit;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2"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Administrative Agent shall have received a Committed Loan Notice in accordance with the requirements hereof and, if applicable, the applicable Issuing Bank shall have received an Issuance Notice in accordance with the requirements hereof or the Swing Line Lender shall have received a Swing Line Loan Request in accordance with the requirements hereof.</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1.08(f)</w:t>
      </w:r>
      <w:r>
        <w:rPr>
          <w:rFonts w:ascii="Times New Roman" w:cs="Times New Roman" w:eastAsia="Times New Roman" w:hAnsi="Times New Roman"/>
          <w:sz w:val="20"/>
          <w:szCs w:val="20"/>
          <w:color w:val="auto"/>
        </w:rPr>
        <w:t xml:space="preserve">, each Committed Loan Notice (other than a Committed Loan Notice requesting only a conversion of Loans to another Type or a continuation of Eurocurrency Rate Loans or SOFR Loans) and each Issuance Notice submitted by the Borrower shall be deemed to be a representation and warranty that the condition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has been satisfied on and as of the date of the applicable Borrowing or issuance, amendment, renewal or extension of a Letter of Credit.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4.03 </w:t>
      </w:r>
      <w:r>
        <w:rPr>
          <w:rFonts w:ascii="Times New Roman" w:cs="Times New Roman" w:eastAsia="Times New Roman" w:hAnsi="Times New Roman"/>
          <w:sz w:val="20"/>
          <w:szCs w:val="20"/>
          <w:u w:val="single" w:color="auto"/>
          <w:color w:val="auto"/>
        </w:rPr>
        <w:t>Conditions to All Borrowings of Delayed Draw Term Loans</w:t>
      </w:r>
      <w:r>
        <w:rPr>
          <w:rFonts w:ascii="Times New Roman" w:cs="Times New Roman" w:eastAsia="Times New Roman" w:hAnsi="Times New Roman"/>
          <w:sz w:val="20"/>
          <w:szCs w:val="20"/>
          <w:color w:val="auto"/>
        </w:rPr>
        <w:t>. The obligation of each Lender to honor a Committed Loan Notice with respect to a Borrowing of Delayed Draw Term Loans after the Closing Date is subject to the following conditions precedent:</w:t>
      </w:r>
    </w:p>
    <w:p>
      <w:pPr>
        <w:spacing w:after="0" w:line="176" w:lineRule="exact"/>
        <w:rPr>
          <w:sz w:val="20"/>
          <w:szCs w:val="20"/>
          <w:color w:val="auto"/>
        </w:rPr>
      </w:pPr>
    </w:p>
    <w:p>
      <w:pPr>
        <w:ind w:firstLine="757"/>
        <w:spacing w:after="0" w:line="268" w:lineRule="auto"/>
        <w:tabs>
          <w:tab w:leader="none" w:pos="11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applicable Delayed Draw Term Loans are to be funded to finance a substantially simultaneous closing of a Permitted Investment and related fees and expenses:</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Specified Representations shall be true and correct in all material respects on and as of the date of such Borrowing;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 and</w:t>
      </w:r>
    </w:p>
    <w:p>
      <w:pPr>
        <w:spacing w:after="0" w:line="183"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of such Borrowing, no Specified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3" w:name="page224"/>
    <w:bookmarkEnd w:id="223"/>
    <w:p>
      <w:pPr>
        <w:ind w:right="40" w:firstLine="757"/>
        <w:spacing w:after="0" w:line="268" w:lineRule="auto"/>
        <w:tabs>
          <w:tab w:leader="none" w:pos="114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applicable Delayed Draw Term Loans are to be funded for any purpose other than to finance a substantially simultaneous closing of a Permitted Investment and related fees and expenses:</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Borrower and each other Loan Party contained in Article V or any other Loan Document shall be true and correct in all material respects on and as of the date of such Borrowing;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and</w:t>
      </w:r>
    </w:p>
    <w:p>
      <w:pPr>
        <w:spacing w:after="0" w:line="182"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of such Borrowing, no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Committed Loan Notice in accordance with the requirements hereof.</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or caused to be paid (or shall pay or cause to be paid substantially concurrently with such Borrowing of Delayed Draw Term Loans) all accrued and unpaid Delayed Draw Ticking Fees and Delayed Draw Upfront Fees with respect to the Delayed Draw Commitments being funded in such Borrowing, together with any fees and expenses due upon such Borrowing.</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1.08(f)</w:t>
      </w:r>
      <w:r>
        <w:rPr>
          <w:rFonts w:ascii="Times New Roman" w:cs="Times New Roman" w:eastAsia="Times New Roman" w:hAnsi="Times New Roman"/>
          <w:sz w:val="20"/>
          <w:szCs w:val="20"/>
          <w:color w:val="auto"/>
        </w:rPr>
        <w:t xml:space="preserve">, each Committed Loan Notice (other than a Committed Loan Notice requesting only a conversion of Loans to another Type or a continuation of Eurocurrency Rate Loans or SOFR Loans) and each Issuance Notice submitted by the Borrower shall be deemed to be a representation and warranty that the condition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in the case of Delayed Draw Commitments and Delayed Draw Term Loans, </w:t>
      </w:r>
      <w:r>
        <w:rPr>
          <w:rFonts w:ascii="Times New Roman" w:cs="Times New Roman" w:eastAsia="Times New Roman" w:hAnsi="Times New Roman"/>
          <w:sz w:val="20"/>
          <w:szCs w:val="20"/>
          <w:u w:val="single" w:color="auto"/>
          <w:color w:val="auto"/>
        </w:rPr>
        <w:t>Section 4.03(a)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has been satisfied on and as of the date of the applicable Borrowing or issuance, amendment, renewal or extension of a Letter of Credit.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19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The Borrower represents and warrants each of the following to the Lenders, the Issuing Banks, the Administrative Agent and the Collateral Agent, in each case, to the extent and, unless otherwise specifically agreed by the Borrower, only on the dates required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4.03</w:t>
      </w:r>
      <w:r>
        <w:rPr>
          <w:rFonts w:ascii="Times New Roman" w:cs="Times New Roman" w:eastAsia="Times New Roman" w:hAnsi="Times New Roman"/>
          <w:sz w:val="20"/>
          <w:szCs w:val="20"/>
          <w:color w:val="auto"/>
        </w:rPr>
        <w:t>, as applicable.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Existence, Qualification and Power; Compliance with Laws</w:t>
      </w:r>
      <w:r>
        <w:rPr>
          <w:rFonts w:ascii="Times New Roman" w:cs="Times New Roman" w:eastAsia="Times New Roman" w:hAnsi="Times New Roman"/>
          <w:sz w:val="20"/>
          <w:szCs w:val="20"/>
          <w:color w:val="auto"/>
        </w:rPr>
        <w:t>. Each Loan Party and each of its respective Restricted Subsidiaries that is a Material Subsidiary,</w:t>
      </w:r>
    </w:p>
    <w:p>
      <w:pPr>
        <w:spacing w:after="0" w:line="161" w:lineRule="exact"/>
        <w:rPr>
          <w:sz w:val="20"/>
          <w:szCs w:val="20"/>
          <w:color w:val="auto"/>
        </w:rPr>
      </w:pPr>
    </w:p>
    <w:p>
      <w:pPr>
        <w:ind w:right="60" w:firstLine="757"/>
        <w:spacing w:after="0" w:line="268" w:lineRule="auto"/>
        <w:tabs>
          <w:tab w:leader="none" w:pos="11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Person duly organized or formed, validly existing and in good standing under the Laws of the jurisdiction of its incorporation or organization (to the extent such concept exists in such jurisdiction);</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all corporate or other organizational power and authority to (i) own its assets and carry on its business as currently conducted and (ii) in the case of the Loan Parties, execute, deliver and perform its obligations under the Loan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4" w:name="page225"/>
    <w:bookmarkEnd w:id="224"/>
    <w:p>
      <w:pPr>
        <w:ind w:right="60" w:firstLine="757"/>
        <w:spacing w:after="0" w:line="268" w:lineRule="auto"/>
        <w:tabs>
          <w:tab w:leader="none" w:pos="114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duly qualified and in good standing (to the extent such concept exists in such jurisdiction) under the Laws of each jurisdiction where its ownership, lease or operation of properties or the conduct of its business requires such qualification;</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compliance with all applicable Laws, writs, injunctions and orders; and</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all requisite governmental licenses, authorizations, consents and approvals to operate its business as currently conducted;</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 xml:space="preserve">except in each case referred to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to the extent that failure to do so would not reasonably be expected to have, individually or in the aggregate, a Material Adverse Effect.</w:t>
      </w:r>
    </w:p>
    <w:p>
      <w:pPr>
        <w:spacing w:after="0" w:line="161"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19"/>
          <w:szCs w:val="19"/>
          <w:u w:val="single" w:color="auto"/>
          <w:color w:val="auto"/>
        </w:rPr>
        <w:t>Authorization; No Contravention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right="40" w:firstLine="757"/>
        <w:spacing w:after="0" w:line="268" w:lineRule="auto"/>
        <w:tabs>
          <w:tab w:leader="none" w:pos="114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it is a party has been duly authorized by all necessary corporate or other organizational action.</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delivery and performance by each Loan Party of each Loan Document to which such Loan Party is a party nor the consummation of the Transactions will,</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the terms of any of its Organization Documents;</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result in any breach or contravention of, or the creation of any Lien upon any of the property or assets of such Loan Party or any of the Restricted Subsidiaries (other than as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under, (A) any Contractual Obligation relating to Indebtedness to which such Loan Party is a party or affecting such Loan Party or the properties of such Loan Party or any of its Subsidiaries or (B) any order, injunction, writ or decree of any Governmental Authority or any arbitral award to which such Loan Party or its property is subject;</w:t>
      </w:r>
    </w:p>
    <w:p>
      <w:pPr>
        <w:spacing w:after="0" w:line="183"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 any applicable Law; or</w:t>
      </w:r>
    </w:p>
    <w:p>
      <w:pPr>
        <w:spacing w:after="0" w:line="214" w:lineRule="exact"/>
        <w:rPr>
          <w:rFonts w:ascii="Times New Roman" w:cs="Times New Roman" w:eastAsia="Times New Roman" w:hAnsi="Times New Roman"/>
          <w:sz w:val="20"/>
          <w:szCs w:val="20"/>
          <w:color w:val="auto"/>
        </w:rPr>
      </w:pPr>
    </w:p>
    <w:p>
      <w:pPr>
        <w:jc w:val="both"/>
        <w:ind w:left="760" w:right="20" w:firstLine="1045"/>
        <w:spacing w:after="0" w:line="253" w:lineRule="auto"/>
        <w:tabs>
          <w:tab w:leader="none" w:pos="2203"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any approval of stockholders, members or partners or any approval or consent of any Person under any Contractual Obligation relating to Indebtedness of Holdings or any of its Restricted Subsidiaries, except for such approvals or consents which will be obtained on or before the Closing Date;</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 xml:space="preserve">except with respect to any breach, contravention or violation (but not creation of Liens) referred to in </w:t>
      </w:r>
      <w:r>
        <w:rPr>
          <w:rFonts w:ascii="Times New Roman" w:cs="Times New Roman" w:eastAsia="Times New Roman" w:hAnsi="Times New Roman"/>
          <w:sz w:val="20"/>
          <w:szCs w:val="20"/>
          <w:u w:val="single" w:color="auto"/>
          <w:color w:val="auto"/>
        </w:rPr>
        <w:t>clauses (ii),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to the extent that such breach, contravention or violation would not reasonably be expected to have, individually or in the aggregate, a Material Adverse Effect.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w:t>
      </w:r>
    </w:p>
    <w:p>
      <w:pPr>
        <w:spacing w:after="0" w:line="176" w:lineRule="exact"/>
        <w:rPr>
          <w:sz w:val="20"/>
          <w:szCs w:val="20"/>
          <w:color w:val="auto"/>
        </w:rPr>
      </w:pPr>
    </w:p>
    <w:p>
      <w:pPr>
        <w:ind w:left="1160" w:hanging="403"/>
        <w:spacing w:after="0"/>
        <w:tabs>
          <w:tab w:leader="none" w:pos="11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 necessary to perfect the Liens on the Collateral granted by the Loan Parties in favor of the Secured Parties;</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5" w:name="page226"/>
    <w:bookmarkEnd w:id="225"/>
    <w:p>
      <w:pPr>
        <w:ind w:right="20" w:firstLine="757"/>
        <w:spacing w:after="0" w:line="268" w:lineRule="auto"/>
        <w:tabs>
          <w:tab w:leader="none" w:pos="1144"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approvals, consents, exemptions, authorizations or other actions, notices or filings, the failure of which to obtain or make would not reasonably be expected to have, individually or in the aggregate, a Material Adverse Effect.</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Debtor Relief Laws and by general principles of equity and principles of good faith and fair dealing.</w:t>
      </w:r>
    </w:p>
    <w:p>
      <w:pPr>
        <w:spacing w:after="0" w:line="17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5.05</w:t>
      </w:r>
      <w:r>
        <w:rPr>
          <w:sz w:val="20"/>
          <w:szCs w:val="20"/>
          <w:color w:val="auto"/>
        </w:rPr>
        <w:tab/>
      </w:r>
      <w:r>
        <w:rPr>
          <w:rFonts w:ascii="Times New Roman" w:cs="Times New Roman" w:eastAsia="Times New Roman" w:hAnsi="Times New Roman"/>
          <w:sz w:val="19"/>
          <w:szCs w:val="19"/>
          <w:u w:val="single" w:color="auto"/>
          <w:color w:val="auto"/>
        </w:rPr>
        <w:t>Financial Statements; No Material Adverse Effect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spacing w:after="0" w:line="178"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2018, there has been no event or circumstance, either individually or in the aggregate, that has had or would reasonably be expected to have a Material Adverse Effect.</w:t>
      </w:r>
    </w:p>
    <w:p>
      <w:pPr>
        <w:spacing w:after="0" w:line="160"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the Sponsor, (iii) no assurance can be given that any particular forecasts will be realized and (iv) actual results may differ and such differences may be material.</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Schedule 5.06</w:t>
      </w:r>
      <w:r>
        <w:rPr>
          <w:rFonts w:ascii="Times New Roman" w:cs="Times New Roman" w:eastAsia="Times New Roman" w:hAnsi="Times New Roman"/>
          <w:sz w:val="20"/>
          <w:szCs w:val="20"/>
          <w:color w:val="auto"/>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would reasonably be expected to have, individually or in the aggregate, a Material Adverse Effect.</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5.07</w:t>
      </w:r>
      <w:r>
        <w:rPr>
          <w:rFonts w:ascii="Times New Roman" w:cs="Times New Roman" w:eastAsia="Times New Roman" w:hAnsi="Times New Roman"/>
          <w:sz w:val="20"/>
          <w:szCs w:val="20"/>
          <w:color w:val="auto"/>
        </w:rPr>
        <w:t xml:space="preserve"> or except as would not reasonably be expected to have, individually or in the aggregate, a Material Adverse Effect: (a) there are no strikes or other labor disputes against any of the Borrower or its Restricted Subsidiaries pending or, to the knowledge of the Borrower, threatened and (b) hours worked by and payment made based on hours worked to employees of each of the Borrower or its Restricted Subsidiaries have not been in material violation of the Fair Labor Standards Act or any other applicable Laws dealing with wage and hour matters.</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Ownership of Property; Liens</w:t>
      </w:r>
      <w:r>
        <w:rPr>
          <w:rFonts w:ascii="Times New Roman" w:cs="Times New Roman" w:eastAsia="Times New Roman" w:hAnsi="Times New Roman"/>
          <w:sz w:val="20"/>
          <w:szCs w:val="20"/>
          <w:color w:val="auto"/>
        </w:rPr>
        <w:t xml:space="preserve">. Each Loan Party and each of its respective Restricted Subsidiaries has good and valid record title in fee simple to, or valid leasehold interests in, or easements or other limited property interests in, all real property necessary in the ordinary conduct of its business, free and clear of all Liens except for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and except where the failure to have such title or other interest would not reasonably be expected to have, individually or in the aggregate, a Material Adverse Effect. As of the Closing Date, </w:t>
      </w:r>
      <w:r>
        <w:rPr>
          <w:rFonts w:ascii="Times New Roman" w:cs="Times New Roman" w:eastAsia="Times New Roman" w:hAnsi="Times New Roman"/>
          <w:sz w:val="20"/>
          <w:szCs w:val="20"/>
          <w:u w:val="single" w:color="auto"/>
          <w:color w:val="auto"/>
        </w:rPr>
        <w:t>Schedule 5.08</w:t>
      </w:r>
      <w:r>
        <w:rPr>
          <w:rFonts w:ascii="Times New Roman" w:cs="Times New Roman" w:eastAsia="Times New Roman" w:hAnsi="Times New Roman"/>
          <w:sz w:val="20"/>
          <w:szCs w:val="20"/>
          <w:color w:val="auto"/>
        </w:rPr>
        <w:t xml:space="preserve"> sets forth all Material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6" w:name="page227"/>
    <w:bookmarkEnd w:id="226"/>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5.09</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6" w:lineRule="auto"/>
        <w:tabs>
          <w:tab w:leader="none" w:pos="114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have, individually or in the aggregate, a Material Adverse Effect, (i) the Loan Parties and their respective Restricted Subsidiaries are in compliance with all applicable Environmental Laws (including having obtained all Environmental Permits) and (ii) none of the Loan Parties nor any of their respective Restricted Subsidiaries is subject to any pending, or to the knowledge of the Loan Parties, threatened Environmental Claim or any other Environmental Liability or is aware of any basis for any Environmental Liability.</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Loan Parties nor any of their respective Restricted Subsidiaries has used, released, treated, stored, transported or disposed of Hazardous Materials, at or from any currently or formerly owned or operated real estate or facility relating to its business, in a manner that would reasonably be expected to have, individually or in the aggregate, a Material Adverse Effect.</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Except as would not, either individually or in the aggregate, reasonably be expected to result in a Material Adverse Effect, the Borrower and its Restricted Subsidiaries have timely filed all foreign, U.S. federal and state, and other tax returns and reports required to be filed, and have timely paid all foreign, U.S. federal and state, and other taxes, assessments, fees and other governmental charges (including satisfying their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w:t>
      </w:r>
    </w:p>
    <w:p>
      <w:pPr>
        <w:spacing w:after="0" w:line="18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5.11</w:t>
      </w:r>
      <w:r>
        <w:rPr>
          <w:sz w:val="20"/>
          <w:szCs w:val="20"/>
          <w:color w:val="auto"/>
        </w:rPr>
        <w:tab/>
      </w:r>
      <w:r>
        <w:rPr>
          <w:rFonts w:ascii="Times New Roman" w:cs="Times New Roman" w:eastAsia="Times New Roman" w:hAnsi="Times New Roman"/>
          <w:sz w:val="19"/>
          <w:szCs w:val="19"/>
          <w:u w:val="single" w:color="auto"/>
          <w:color w:val="auto"/>
        </w:rPr>
        <w:t>ERISA Compliance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right="20" w:firstLine="757"/>
        <w:spacing w:after="0" w:line="295" w:lineRule="auto"/>
        <w:tabs>
          <w:tab w:leader="none" w:pos="114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in </w:t>
      </w:r>
      <w:r>
        <w:rPr>
          <w:rFonts w:ascii="Times New Roman" w:cs="Times New Roman" w:eastAsia="Times New Roman" w:hAnsi="Times New Roman"/>
          <w:sz w:val="19"/>
          <w:szCs w:val="19"/>
          <w:u w:val="single" w:color="auto"/>
          <w:color w:val="auto"/>
        </w:rPr>
        <w:t>Schedule 5.11(a)</w:t>
      </w:r>
      <w:r>
        <w:rPr>
          <w:rFonts w:ascii="Times New Roman" w:cs="Times New Roman" w:eastAsia="Times New Roman" w:hAnsi="Times New Roman"/>
          <w:sz w:val="19"/>
          <w:szCs w:val="19"/>
          <w:color w:val="auto"/>
        </w:rPr>
        <w:t xml:space="preserve"> or as would not, either individually or in the aggregate, reasonably be expected to result in a Material Adverse Effect, each Plan is in compliance with the applicable provisions of ERISA, the Code and other federal or state Laws.</w:t>
      </w:r>
    </w:p>
    <w:p>
      <w:pPr>
        <w:spacing w:after="0" w:line="137" w:lineRule="exact"/>
        <w:rPr>
          <w:rFonts w:ascii="Times New Roman" w:cs="Times New Roman" w:eastAsia="Times New Roman" w:hAnsi="Times New Roman"/>
          <w:sz w:val="19"/>
          <w:szCs w:val="19"/>
          <w:color w:val="auto"/>
        </w:rPr>
      </w:pPr>
    </w:p>
    <w:p>
      <w:pPr>
        <w:ind w:right="20" w:firstLine="757"/>
        <w:spacing w:after="0" w:line="268" w:lineRule="auto"/>
        <w:tabs>
          <w:tab w:leader="none" w:pos="114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5.11(b)</w:t>
      </w:r>
      <w:r>
        <w:rPr>
          <w:rFonts w:ascii="Times New Roman" w:cs="Times New Roman" w:eastAsia="Times New Roman" w:hAnsi="Times New Roman"/>
          <w:sz w:val="20"/>
          <w:szCs w:val="20"/>
          <w:color w:val="auto"/>
        </w:rPr>
        <w:t xml:space="preserve"> or, with respect to each of the below clauses of this </w:t>
      </w:r>
      <w:r>
        <w:rPr>
          <w:rFonts w:ascii="Times New Roman" w:cs="Times New Roman" w:eastAsia="Times New Roman" w:hAnsi="Times New Roman"/>
          <w:sz w:val="20"/>
          <w:szCs w:val="20"/>
          <w:u w:val="single" w:color="auto"/>
          <w:color w:val="auto"/>
        </w:rPr>
        <w:t>Section 5.11(b)</w:t>
      </w:r>
      <w:r>
        <w:rPr>
          <w:rFonts w:ascii="Times New Roman" w:cs="Times New Roman" w:eastAsia="Times New Roman" w:hAnsi="Times New Roman"/>
          <w:sz w:val="20"/>
          <w:szCs w:val="20"/>
          <w:color w:val="auto"/>
        </w:rPr>
        <w:t>, as would not reasonably be expected, individually or in the aggregate, to result in a Material Adverse Effect,</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ERISA Event has occurred within the one-year period prior to the date on which this representation is made or</w:t>
      </w:r>
    </w:p>
    <w:p>
      <w:pPr>
        <w:spacing w:after="0" w:line="32"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deemed made;</w:t>
      </w:r>
    </w:p>
    <w:p>
      <w:pPr>
        <w:spacing w:after="0" w:line="192" w:lineRule="exact"/>
        <w:rPr>
          <w:rFonts w:ascii="Times New Roman" w:cs="Times New Roman" w:eastAsia="Times New Roman" w:hAnsi="Times New Roman"/>
          <w:sz w:val="19"/>
          <w:szCs w:val="19"/>
          <w:color w:val="auto"/>
        </w:rPr>
      </w:pPr>
    </w:p>
    <w:p>
      <w:pPr>
        <w:ind w:left="760" w:right="20" w:firstLine="1045"/>
        <w:spacing w:after="0" w:line="268" w:lineRule="auto"/>
        <w:tabs>
          <w:tab w:leader="none" w:pos="2203"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Pension Plan has failed to satisfy the minimum funding standards (within the meaning of Section 412 of the Code or Section 302 of ERISA) applicable to such Pension Plan;</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Subsidiary Guarantor nor any of their respective ERISA Affiliates has incurred, or reasonably expects to incur, any liability (and no event has occurred which, with the giving of notice under Section 4219 of ERISA, would result in such liability) under Sections 4201 et seq. of ERISA with respect to a Multiemployer Plan;</w:t>
      </w:r>
    </w:p>
    <w:p>
      <w:pPr>
        <w:spacing w:after="0" w:line="176"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Subsidiary Guarantor nor any of their respective ERISA Affiliates has engaged in a transaction that is subject to Sections 4069 or 4212(c) of ERISA; and</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Subsidiary Guarantor nor any ERISA Affiliate has been notified by the sponsor of a Multiemployer Plan that such Multiemployer Plan is insolvent (within the meaning of Section 4245 of ERISA) or has been determined to be in “endangered”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7" w:name="page228"/>
    <w:bookmarkEnd w:id="227"/>
    <w:p>
      <w:pPr>
        <w:ind w:left="760"/>
        <w:spacing w:after="0" w:line="268" w:lineRule="auto"/>
        <w:rPr>
          <w:sz w:val="20"/>
          <w:szCs w:val="20"/>
          <w:color w:val="auto"/>
        </w:rPr>
      </w:pPr>
      <w:r>
        <w:rPr>
          <w:rFonts w:ascii="Times New Roman" w:cs="Times New Roman" w:eastAsia="Times New Roman" w:hAnsi="Times New Roman"/>
          <w:sz w:val="20"/>
          <w:szCs w:val="20"/>
          <w:color w:val="auto"/>
        </w:rPr>
        <w:t>“critical” status (within the meaning of Section 432 of the Code or Section 305 of ERISA) and no such Multiemployer Plan is expected to be insolvent or in endangered or critical status.</w:t>
      </w:r>
    </w:p>
    <w:p>
      <w:pPr>
        <w:spacing w:after="0" w:line="16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As of the Closing Date, all of the outstanding Equity Interests in the Borrower and its Subsidiaries have been validly issued and are fully paid and (if applicable) non-assessable, and all Equity Interests owned by Holdings (in the Borrower), and by the Borrower or any Subsidiary Guarantor in any of their respective Subsidiaries are owned free and clear of all Liens of any Person except (a) those Liens created under the Collateral Documents and (b) any Lien that is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As of the Closing Date,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xml:space="preserve"> (i) sets forth the name and jurisdiction of each Subsidiary, (ii) sets forth the ownership interest of Holdings,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spacing w:after="0" w:line="18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5.13</w:t>
      </w:r>
      <w:r>
        <w:rPr>
          <w:sz w:val="20"/>
          <w:szCs w:val="20"/>
          <w:color w:val="auto"/>
        </w:rPr>
        <w:tab/>
      </w:r>
      <w:r>
        <w:rPr>
          <w:rFonts w:ascii="Times New Roman" w:cs="Times New Roman" w:eastAsia="Times New Roman" w:hAnsi="Times New Roman"/>
          <w:sz w:val="19"/>
          <w:szCs w:val="19"/>
          <w:u w:val="single" w:color="auto"/>
          <w:color w:val="auto"/>
        </w:rPr>
        <w:t>Margin Regulations; Investment Company Act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issuance of, or drawings under, any Letter of Credit will be used for any purpose that violates Regulation U.</w:t>
      </w:r>
    </w:p>
    <w:p>
      <w:pPr>
        <w:spacing w:after="0" w:line="1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Guarantor is an “investment company” under the Investment Company Act of 1940.</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As of the Closing Date, none of the written information and written data heretofore or contemporaneously furnished in writing by or on behalf of the Borrower or any Subsidiary Guarantor to any Agent or any Lender on or prior to the Closing Date in connection with the transactions contemplated hereby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such written information and written data shall not include projections,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financial estimates, forecasts and forward-looking information or information of a general economic or general industry nature.</w:t>
      </w:r>
    </w:p>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Intellectual Property; Licenses, Etc.</w:t>
      </w:r>
      <w:r>
        <w:rPr>
          <w:rFonts w:ascii="Times New Roman" w:cs="Times New Roman" w:eastAsia="Times New Roman" w:hAnsi="Times New Roman"/>
          <w:sz w:val="20"/>
          <w:szCs w:val="20"/>
          <w:color w:val="auto"/>
        </w:rPr>
        <w:t xml:space="preserve"> The Borrower and the Restricted Subsidiaries own or have a valid right to use, all the Intellectual Property necessary for the operation of their respective businesses as currently conducted, except where the failure to have any such rights, either individually or in the aggregate, would not reasonably be expected to have a Material Adverse Effect. To the knowledge of the Borrower, the operation of the respective businesses of the Borrower or any of its Restricted Subsidiaries as currently conducted does not infringe upon, misuse, misappropriate or violate any intellectual property rights held by any Person except for such infringements, misuses, misappropriations or violations individually or in the aggregate, that would not reasonably be expected to have a Material Adverse Effect. No claim or litigation regarding any Intellectual Property owned by the Borrower or any of its Restricted Subsidiaries is pending or, to the knowledge of the Borrower, threatened against the Borrower or any Restricted Subsidiary, that, either individually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8" w:name="page229"/>
    <w:bookmarkEnd w:id="228"/>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On the Closing Date after giving effect to the Transactions and on date of funding of any Delayed Draw Term Loans, the Borrower and its Subsidiaries, on a consolidated basis, are Solvent.</w:t>
      </w:r>
    </w:p>
    <w:p>
      <w:pPr>
        <w:spacing w:after="0" w:line="161"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5.17</w:t>
      </w:r>
      <w:r>
        <w:rPr>
          <w:sz w:val="20"/>
          <w:szCs w:val="20"/>
          <w:color w:val="auto"/>
        </w:rPr>
        <w:tab/>
      </w:r>
      <w:r>
        <w:rPr>
          <w:rFonts w:ascii="Times New Roman" w:cs="Times New Roman" w:eastAsia="Times New Roman" w:hAnsi="Times New Roman"/>
          <w:sz w:val="19"/>
          <w:szCs w:val="19"/>
          <w:u w:val="single" w:color="auto"/>
          <w:color w:val="auto"/>
        </w:rPr>
        <w:t>USA PATRIOT Act, FCPA and OFAC</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of Holdings, the Borrower and its Subsidiaries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USA PATRIOT Act and other similar anti-money laundering rules and regulations.</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the Borrower and its Subsidiaries, and their respective officers, directors and employees, and to the Borrower’s knowledge, their respective agents, affiliates and representatives, have conducted their businesses in compliance in all material respects with the FCPA, the UK Bribery Act 2010 and other similar anti-corruption legislation in other jurisdictions, and Holdings, the Borrower and its Subsidiaries have instituted and maintained policies and procedures appropriate for Holdings, the Borrower and its Subsidiaries’ business designed to promote and achieve compliance with such laws. The Borrower will not directly or, to its knowledge, indirectly use the proceeds of the Loans or Letters of Credit in violation of the FCPA, the UK Bribery Act 2010 or other similar anti-corruption legislation in other jurisdictions.</w:t>
      </w:r>
    </w:p>
    <w:p>
      <w:pPr>
        <w:spacing w:after="0" w:line="183"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Borrower or any of its Subsidiaries, nor, to the knowledge of Holdings, the Borrower or any of its Subsidiaries, any director, officer, agent, employee or Affiliate or representative thereof, is an individual or entity that is, or is owned or controlled by any individual or entity that is, (a) the subject or target of any Sanctions, (b) included on OFAC’s List of Specially Designated Nationals, HMT’s Consolidated List of Financial Sanctions Targets and the Investment Ban List or any other Sanctions list, or (c) located, organized or resident in a Designated Jurisdiction. The Borrower will not directly or, to its knowledge, indirectly use the proceeds of the Loans or Letters of Credit or otherwise knowingly make available such proceeds to any Person, for the purpose of financing the activities of any Person that, at the time of such financing, is (a) the subject or target of any Sanctions, (b) included on OFAC’s List of Specially Designated Nationals, HMT’s Consolidated List of Financial Sanctions Targets and the Investment Ban List or any other Sanctions list, or (c) located, organized or resident in a Designated Jurisdiction.</w:t>
      </w:r>
    </w:p>
    <w:p>
      <w:pPr>
        <w:spacing w:after="0" w:line="19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 xml:space="preserve">SECTION 5.18 </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xml:space="preserv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 required to be delivered pursuant to the applicable Collateral Documents), are effective to create in favor of the Collateral Agent for the benefit of the Secured Parties a legal, valid and enforceable perfected Lien (subject to Liens permitted by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on all right, title and interest of Holdings, the Borrower and the applicable Subsidiary Guarantors, respectively, in the Collateral described therein.</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5.19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has used the proceeds of the Loans (including the Swing Line Loans) and the Letters of Credit issued hereunder only in compliance (and not in contravention of) applicable Laws and each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193"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So long as the Termination Conditions have not been satisfied, the Borrower shall, and shall (except in the case of the covenants set forth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of the Restricted Subsidiaries to:</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Deliver to the Administrative Agent for prompt further distribution by the Administrative Agent to each Lender each of the following:</w:t>
      </w:r>
    </w:p>
    <w:p>
      <w:pPr>
        <w:spacing w:after="0" w:line="161" w:lineRule="exact"/>
        <w:rPr>
          <w:sz w:val="20"/>
          <w:szCs w:val="20"/>
          <w:color w:val="auto"/>
        </w:rPr>
      </w:pPr>
    </w:p>
    <w:p>
      <w:pPr>
        <w:jc w:val="both"/>
        <w:ind w:firstLine="757"/>
        <w:spacing w:after="0" w:line="241" w:lineRule="auto"/>
        <w:tabs>
          <w:tab w:leader="none" w:pos="114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Annual Financial Statements</w:t>
      </w:r>
      <w:r>
        <w:rPr>
          <w:rFonts w:ascii="Times New Roman" w:cs="Times New Roman" w:eastAsia="Times New Roman" w:hAnsi="Times New Roman"/>
          <w:sz w:val="20"/>
          <w:szCs w:val="20"/>
          <w:color w:val="auto"/>
        </w:rPr>
        <w:t>. As soon as available, but in any event within one hundred twenty days after the end of each fiscal year of the Borrower (commencing with the first fiscal year ending after the Closing Date), a consolidated balance sheet of the Borrower and its Subsidiaries as at the end of such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independent registered public accounting firm of nationally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or (iii) activities, operations, financial results or liabilities of any Person other than the Loan Parties and their Restricted Subsidiaries).</w:t>
      </w:r>
    </w:p>
    <w:p>
      <w:pPr>
        <w:spacing w:after="0" w:line="195"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available, but in any event within sixty days after the end of each of the first three fiscal quarters of each fiscal year of the Borrower (commencing with the fiscal quarter ended March 31, 2019), (i) a condensed consolidated balance sheet of the Borrower and its Subsidiaries as at the end of such fiscal quarter, (ii) the related condensed consolidated statements of comprehensive income (loss) for such fiscal quarter and for the portion of the fiscal year then ended and (iii) the related condensed consolidated statements of cash flows for the portion of the fiscal year then ended, setting forth, in each case of clauses (ii) and (iii),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normal year-end adjustments and the absence of footnotes.</w:t>
      </w:r>
    </w:p>
    <w:p>
      <w:pPr>
        <w:spacing w:after="0" w:line="191" w:lineRule="exact"/>
        <w:rPr>
          <w:rFonts w:ascii="Times New Roman" w:cs="Times New Roman" w:eastAsia="Times New Roman" w:hAnsi="Times New Roman"/>
          <w:sz w:val="20"/>
          <w:szCs w:val="20"/>
          <w:color w:val="auto"/>
        </w:rPr>
      </w:pPr>
    </w:p>
    <w:p>
      <w:pPr>
        <w:jc w:val="both"/>
        <w:ind w:firstLine="757"/>
        <w:spacing w:after="0" w:line="243" w:lineRule="auto"/>
        <w:tabs>
          <w:tab w:leader="none" w:pos="1171"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Budget; Projections</w:t>
      </w:r>
      <w:r>
        <w:rPr>
          <w:rFonts w:ascii="Times New Roman" w:cs="Times New Roman" w:eastAsia="Times New Roman" w:hAnsi="Times New Roman"/>
          <w:sz w:val="20"/>
          <w:szCs w:val="20"/>
          <w:color w:val="auto"/>
        </w:rPr>
        <w:t>. Prior to the consummation of a Qualifying IPO, within ninety days after the end of each fiscal year (commencing with the first fiscal year ending after the Closing Date), a consolidated budget for the following fiscal year on a quarterly basis as customarily prepared by management of the Borrower for its internal use and setting forth the material underlying assumptions based on which such consolidated budget was prepared (including any projected consolidated balance sheet of the Borrower and its Restricted Subsidiaries as of the end of the following fiscal year and the related condensed consolidated statements of projected operations or income (loss) and projected cash flow, in each case, to the extent prepared by management of the Borrower and included in such consolidated budget, which projected financial statements shall be prepared in good faith on the basis of assumptions believed to be reasonable at the time of preparation of such projected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0" w:name="page231"/>
    <w:bookmarkEnd w:id="230"/>
    <w:p>
      <w:pPr>
        <w:jc w:val="both"/>
        <w:ind w:firstLine="757"/>
        <w:spacing w:after="0" w:line="253" w:lineRule="auto"/>
        <w:tabs>
          <w:tab w:leader="none" w:pos="1171"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Subsidiaries</w:t>
      </w:r>
      <w:r>
        <w:rPr>
          <w:rFonts w:ascii="Times New Roman" w:cs="Times New Roman" w:eastAsia="Times New Roman" w:hAnsi="Times New Roman"/>
          <w:sz w:val="20"/>
          <w:szCs w:val="20"/>
          <w:color w:val="auto"/>
        </w:rPr>
        <w:t xml:space="preserve">. Simultaneously with the delivery of each set of consolidated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xml:space="preserve"> above, such supplemental financial information (which need not be audited) as is necessary to eliminate the accounts of Unrestricted Subsidiaries (if any) from such consolidated financial statements.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paragraphs (a) and (b) of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may be satisfied with respect to financial information of the Borrower and its Subsidiaries by furnishing (i) the applicable financial statements of any direct or indirect parent of the Borrower that directly or indirectly holds all of the Equity Interests of the Borrower or (ii) the Borrower’s or such entity’s Form 10-K or 10-Q, as applicable,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each of clauses (i) and (ii), (A) to the extent such information relates to a parent of the Borrower, such information is accompanied by supplemental financial information (which need not be audited) that explains in reasonable detail the differences between the information relating to the Borrower (or such parent), on the one hand, and the information relating to the Borrower and the Restricted Subsidiaries on a standalone basis, on the other hand and (B) to the extent such information is in lieu of information required to be provided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such materials are accompanied by a report and opinion of the Borrower’s auditor on the Closing Date, any other independent registered public accounting firm of nationally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(other than any such statement, qualification or exception resulting from or relating to (i) an actual or anticipated breach of a Financial Covenant, (ii) an upcoming maturity date or (iii) activities, operations, financial results or liabilities of any Person other than the Loan Parties and their Restricted Subsidiaries) or any qualification or exception as to the scope of such audit.</w:t>
      </w:r>
    </w:p>
    <w:p>
      <w:pPr>
        <w:spacing w:after="0" w:line="19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Any financial statements required to be delivered pursuant to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shall not be required to contain purchase accounting adjustments to the extent it is not practicable to include any such adjustments in such financial statements.</w:t>
      </w:r>
    </w:p>
    <w:p>
      <w:pPr>
        <w:spacing w:after="0" w:line="161" w:lineRule="exact"/>
        <w:rPr>
          <w:sz w:val="20"/>
          <w:szCs w:val="20"/>
          <w:color w:val="auto"/>
        </w:rPr>
      </w:pPr>
    </w:p>
    <w:p>
      <w:pPr>
        <w:ind w:left="760"/>
        <w:spacing w:after="0"/>
        <w:tabs>
          <w:tab w:leader="none" w:pos="2380" w:val="left"/>
        </w:tabs>
        <w:rPr>
          <w:sz w:val="20"/>
          <w:szCs w:val="20"/>
          <w:color w:val="auto"/>
        </w:rPr>
      </w:pPr>
      <w:r>
        <w:rPr>
          <w:rFonts w:ascii="Times New Roman" w:cs="Times New Roman" w:eastAsia="Times New Roman" w:hAnsi="Times New Roman"/>
          <w:sz w:val="20"/>
          <w:szCs w:val="20"/>
          <w:color w:val="auto"/>
        </w:rPr>
        <w:t>SECTION 6.02</w:t>
      </w:r>
      <w:r>
        <w:rPr>
          <w:sz w:val="20"/>
          <w:szCs w:val="20"/>
          <w:color w:val="auto"/>
        </w:rPr>
        <w:tab/>
      </w:r>
      <w:r>
        <w:rPr>
          <w:rFonts w:ascii="Times New Roman" w:cs="Times New Roman" w:eastAsia="Times New Roman" w:hAnsi="Times New Roman"/>
          <w:sz w:val="20"/>
          <w:szCs w:val="20"/>
          <w:u w:val="single" w:color="auto"/>
          <w:color w:val="auto"/>
        </w:rPr>
        <w:t>Certificates; Other Information</w:t>
      </w:r>
      <w:r>
        <w:rPr>
          <w:rFonts w:ascii="Times New Roman" w:cs="Times New Roman" w:eastAsia="Times New Roman" w:hAnsi="Times New Roman"/>
          <w:sz w:val="20"/>
          <w:szCs w:val="20"/>
          <w:color w:val="auto"/>
        </w:rPr>
        <w:t>. Deliver to the Administrative Agent for prompt further distribution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to each Lender each of the following:</w:t>
      </w:r>
    </w:p>
    <w:p>
      <w:pPr>
        <w:spacing w:after="0" w:line="193" w:lineRule="exact"/>
        <w:rPr>
          <w:sz w:val="20"/>
          <w:szCs w:val="20"/>
          <w:color w:val="auto"/>
        </w:rPr>
      </w:pPr>
    </w:p>
    <w:p>
      <w:pPr>
        <w:jc w:val="both"/>
        <w:ind w:firstLine="757"/>
        <w:spacing w:after="0" w:line="249" w:lineRule="auto"/>
        <w:tabs>
          <w:tab w:leader="none" w:pos="114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No later than five days after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xml:space="preserve">, a duly completed Compliance Certificate;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Compliance Certificate demonstrates a Financial Covenant Event of Default, a notice of an intent to cure (a “</w:t>
      </w:r>
      <w:r>
        <w:rPr>
          <w:rFonts w:ascii="Times New Roman" w:cs="Times New Roman" w:eastAsia="Times New Roman" w:hAnsi="Times New Roman"/>
          <w:sz w:val="20"/>
          <w:szCs w:val="20"/>
          <w:b w:val="1"/>
          <w:bCs w:val="1"/>
          <w:color w:val="auto"/>
        </w:rPr>
        <w:t>Notice of Intent to Cure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may be delivered along with or prior to delivery of such Compliance Certificate to the extent permitted thereunder.</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15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Filings</w:t>
      </w:r>
      <w:r>
        <w:rPr>
          <w:rFonts w:ascii="Times New Roman" w:cs="Times New Roman" w:eastAsia="Times New Roman" w:hAnsi="Times New Roman"/>
          <w:sz w:val="20"/>
          <w:szCs w:val="20"/>
          <w:color w:val="auto"/>
        </w:rPr>
        <w:t xml:space="preserve">. Promptly after the same are publicly available, copies of all annual, regular, periodic and special reports, proxy statements and registration statements which Holdings or the Borrower or any Restricted Subsidiary files with the SEC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the obligations in this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may be satisfied by as such information being publicly available on the SEC’s EDGAR website.</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171"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Subsidiaries</w:t>
      </w:r>
      <w:r>
        <w:rPr>
          <w:rFonts w:ascii="Times New Roman" w:cs="Times New Roman" w:eastAsia="Times New Roman" w:hAnsi="Times New Roman"/>
          <w:sz w:val="20"/>
          <w:szCs w:val="20"/>
          <w:color w:val="auto"/>
        </w:rPr>
        <w:t>. Together with the delivery of a Compliance Certificate with respect to the financial statements referred to in Section 6.01(a), a list of each Subsidiary of the Borrower that identifies each Subsidiary that is an Unrestricted Subsidiary, if any, as of the date of delivery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1" w:name="page232"/>
    <w:bookmarkEnd w:id="231"/>
    <w:p>
      <w:pPr>
        <w:spacing w:after="0" w:line="268" w:lineRule="auto"/>
        <w:rPr>
          <w:sz w:val="20"/>
          <w:szCs w:val="20"/>
          <w:color w:val="auto"/>
        </w:rPr>
      </w:pPr>
      <w:r>
        <w:rPr>
          <w:rFonts w:ascii="Times New Roman" w:cs="Times New Roman" w:eastAsia="Times New Roman" w:hAnsi="Times New Roman"/>
          <w:sz w:val="20"/>
          <w:szCs w:val="20"/>
          <w:color w:val="auto"/>
        </w:rPr>
        <w:t>Compliance Certificate or a confirmation that there is no change in such information since the later of the Closing Date and the date of the last such list.</w:t>
      </w:r>
    </w:p>
    <w:p>
      <w:pPr>
        <w:spacing w:after="0" w:line="161" w:lineRule="exact"/>
        <w:rPr>
          <w:sz w:val="20"/>
          <w:szCs w:val="20"/>
          <w:color w:val="auto"/>
        </w:rPr>
      </w:pPr>
    </w:p>
    <w:p>
      <w:pPr>
        <w:jc w:val="both"/>
        <w:ind w:firstLine="757"/>
        <w:spacing w:after="0" w:line="249" w:lineRule="auto"/>
        <w:tabs>
          <w:tab w:leader="none" w:pos="118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Perfection Certificate Supplement</w:t>
      </w:r>
      <w:r>
        <w:rPr>
          <w:rFonts w:ascii="Times New Roman" w:cs="Times New Roman" w:eastAsia="Times New Roman" w:hAnsi="Times New Roman"/>
          <w:sz w:val="20"/>
          <w:szCs w:val="20"/>
          <w:color w:val="auto"/>
        </w:rPr>
        <w:t xml:space="preserve">. Together with the delivery of a Compliance Certificate with respect to the financial statements referred to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the information required pursuant to Section II(A) of the Perfection Certificate with respect to any IP Collateral (as defined in the Security Agreement) or confirming that there has been no change in such information since the date of the Perfection Certificate or the date of the most recent information delivered pursuant to this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Such additional information regarding the business operations of any Loan Party or any Material Subsidiary that is a Restricted Subsidiary as the Administrative Agent may from time to time on its own behalf or on behalf of the Required Lenders reasonably request, including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6.02(a)</w:t>
      </w:r>
      <w:r>
        <w:rPr>
          <w:rFonts w:ascii="Times New Roman" w:cs="Times New Roman" w:eastAsia="Times New Roman" w:hAnsi="Times New Roman"/>
          <w:sz w:val="19"/>
          <w:szCs w:val="19"/>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addresses listed on </w:t>
      </w:r>
      <w:r>
        <w:rPr>
          <w:rFonts w:ascii="Times New Roman" w:cs="Times New Roman" w:eastAsia="Times New Roman" w:hAnsi="Times New Roman"/>
          <w:sz w:val="19"/>
          <w:szCs w:val="19"/>
          <w:u w:val="single" w:color="auto"/>
          <w:color w:val="auto"/>
        </w:rPr>
        <w:t>Schedule 11.02</w:t>
      </w:r>
      <w:r>
        <w:rPr>
          <w:rFonts w:ascii="Times New Roman" w:cs="Times New Roman" w:eastAsia="Times New Roman" w:hAnsi="Times New Roman"/>
          <w:sz w:val="19"/>
          <w:szCs w:val="19"/>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upon written request by the Administrative Agent, the Borrower shall deliver paper copies of such documents to the Administrative Agent for further distribution to each Lender until a written request to cease delivering paper copies is given by the Administrative Agent and</w:t>
      </w:r>
    </w:p>
    <w:p>
      <w:pPr>
        <w:spacing w:after="0" w:line="2" w:lineRule="exact"/>
        <w:rPr>
          <w:sz w:val="20"/>
          <w:szCs w:val="20"/>
          <w:color w:val="auto"/>
        </w:rPr>
      </w:pPr>
    </w:p>
    <w:p>
      <w:pPr>
        <w:jc w:val="both"/>
        <w:ind w:firstLine="8"/>
        <w:spacing w:after="0" w:line="241" w:lineRule="auto"/>
        <w:tabs>
          <w:tab w:leader="none" w:pos="31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8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The Borrower hereby acknowledges that (a) the Administrative Agent and/or the Lead Arrangers will make available to the Lenders materials and/or information provided by or on behalf of the Borrower hereunder (collectively, “</w:t>
      </w:r>
      <w:r>
        <w:rPr>
          <w:rFonts w:ascii="Times New Roman" w:cs="Times New Roman" w:eastAsia="Times New Roman" w:hAnsi="Times New Roman"/>
          <w:sz w:val="20"/>
          <w:szCs w:val="20"/>
          <w:b w:val="1"/>
          <w:bCs w:val="1"/>
          <w:color w:val="auto"/>
        </w:rPr>
        <w:t>Borrower Materials</w:t>
      </w:r>
      <w:r>
        <w:rPr>
          <w:rFonts w:ascii="Times New Roman" w:cs="Times New Roman" w:eastAsia="Times New Roman" w:hAnsi="Times New Roman"/>
          <w:sz w:val="20"/>
          <w:szCs w:val="20"/>
          <w:color w:val="auto"/>
        </w:rPr>
        <w:t>”) by posting the Borrower Materials on IntraLinks or another similar electronic system (the “</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agrees that (i) all Borrower Materials that are to be made available to Public Lenders shall be clearly and conspicuously marked “PUBLIC” which, at a minimum, shall mean that the word “PUBLIC” shall appear prominently on the first page thereof (and by doing so shall be deemed to have represented that such information contains only Public-Side Information); (ii) by marking Borrower Materials “PUBLIC,” the Borrower shall be deemed to have authorized the Administrative Agent, the Lead Arrangers and the Lenders to treat such Borrower Materials as containing only Public-Side Information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(iii) all Borrower Materials marked “PUBLIC” are permitted to be made available through a portion of the Platform designated “Public-Side Information”; and (iv) the Administrative Agent and the Lead Arrangers shall be entitled to treat any Borrower Materials that are not marked “PUBLIC” as being suitable only for posting on a portion of the Platform not designated “Public-Side Information.”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For the avoidance of doubt, the foregoing shall be subject to the provisions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2" w:name="page233"/>
    <w:bookmarkEnd w:id="232"/>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Promptly after a Responsible Officer obtains actual knowledge thereof, notify the Administrative Agent for prompt further notification by the Administrative Agent to each Lender of:</w:t>
      </w:r>
    </w:p>
    <w:p>
      <w:pPr>
        <w:spacing w:after="0" w:line="161" w:lineRule="exact"/>
        <w:rPr>
          <w:sz w:val="20"/>
          <w:szCs w:val="20"/>
          <w:color w:val="auto"/>
        </w:rPr>
      </w:pPr>
    </w:p>
    <w:p>
      <w:pPr>
        <w:ind w:left="1160" w:hanging="403"/>
        <w:spacing w:after="0"/>
        <w:tabs>
          <w:tab w:leader="none" w:pos="11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and continuation of any Default or Event of Default; and</w:t>
      </w:r>
    </w:p>
    <w:p>
      <w:pPr>
        <w:spacing w:after="0" w:line="21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including any Environmental Claims or in respect of Intellectual Property, or (iii) the occurrence of any ERISA Event that, in any such case referred to in clause (i) or (ii), has resulted or would reasonably be expected to result in a Material Adverse Effect.</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written statement of a Responsible Officer of the Borrower (i) that such notice is being delivered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applicable) and (ii)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Payment of Certain Taxes</w:t>
      </w:r>
      <w:r>
        <w:rPr>
          <w:rFonts w:ascii="Times New Roman" w:cs="Times New Roman" w:eastAsia="Times New Roman" w:hAnsi="Times New Roman"/>
          <w:sz w:val="20"/>
          <w:szCs w:val="20"/>
          <w:color w:val="auto"/>
        </w:rPr>
        <w:t>. Timely pay, discharge or otherwise satisfy, as the same shall become due and payable, all obligations and liabilities in respect of taxes, assessments and governmental charges or levies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or discharge the same would not reasonably be expected, individually or in the aggregate, to have a Material Adverse Effect.</w:t>
      </w:r>
    </w:p>
    <w:p>
      <w:pPr>
        <w:spacing w:after="0" w:line="18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9"/>
          <w:szCs w:val="19"/>
          <w:u w:val="single" w:color="auto"/>
          <w:color w:val="auto"/>
        </w:rPr>
        <w:t>Preservation of Existence, Etc.</w:t>
      </w:r>
    </w:p>
    <w:p>
      <w:pPr>
        <w:spacing w:after="0" w:line="215" w:lineRule="exact"/>
        <w:rPr>
          <w:sz w:val="20"/>
          <w:szCs w:val="20"/>
          <w:color w:val="auto"/>
        </w:rPr>
      </w:pPr>
    </w:p>
    <w:p>
      <w:pPr>
        <w:ind w:right="20" w:firstLine="757"/>
        <w:spacing w:after="0" w:line="268" w:lineRule="auto"/>
        <w:tabs>
          <w:tab w:leader="none" w:pos="11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renew and maintain in full force and effect its legal existence under the Laws of the jurisdiction of its incorporation or organization; and</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obtain, preserve, renew and keep in full force and effect those of its rights (including with respect to Intellectual Property), licenses, permits, privileges, and franchises, that are material to the conduct of its business;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except in the case of clause (a) or (b), (i) in connection with a transaction permitted by the Loan Documents (including transactions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or (ii) to the extent that failure to do so would not reasonably be expected to have, individually or in the aggregate, resulted in a Material Adverse Effect.</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Maintain, preserve and protect all of its material properties and equipment used in the operation of its business in good working order, repair and condition (ordinary wear and tear excepted and casualty or condemnation excepted) except to the extent the failure to do so would not reasonably be expected to have, individually or in the aggregate, resulted in a Material Adverse Effect.</w:t>
      </w:r>
    </w:p>
    <w:p>
      <w:pPr>
        <w:spacing w:after="0" w:line="17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right="20" w:firstLine="757"/>
        <w:spacing w:after="0" w:line="268" w:lineRule="auto"/>
        <w:tabs>
          <w:tab w:leader="none" w:pos="114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with insurance companies that the Borrower believes (in the good faith judgment of its management) are financially sound and reputable at the time the relevant coverage is placed or renewed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3" w:name="page234"/>
    <w:bookmarkEnd w:id="233"/>
    <w:p>
      <w:pPr>
        <w:jc w:val="both"/>
        <w:spacing w:after="0" w:line="249" w:lineRule="auto"/>
        <w:rPr>
          <w:sz w:val="20"/>
          <w:szCs w:val="20"/>
          <w:color w:val="auto"/>
        </w:rPr>
      </w:pPr>
      <w:r>
        <w:rPr>
          <w:rFonts w:ascii="Times New Roman" w:cs="Times New Roman" w:eastAsia="Times New Roman" w:hAnsi="Times New Roman"/>
          <w:sz w:val="20"/>
          <w:szCs w:val="20"/>
          <w:color w:val="auto"/>
        </w:rPr>
        <w:t>or with a Captive Insurance Subsidiary, insurance with respect to its properties and business against loss or damage of the kinds customarily insured against by Persons engaged in the same or similar business, of such types and in such amounts (after giving effect to any self-insurance) as are customarily carried under similar circumstances by such other Persons, and furnish to the Lenders, upon reasonable written request from the Administrative Agent, information presented in reasonable detail as to the insurance so carried.</w:t>
      </w:r>
    </w:p>
    <w:p>
      <w:pPr>
        <w:spacing w:after="0" w:line="178" w:lineRule="exact"/>
        <w:rPr>
          <w:sz w:val="20"/>
          <w:szCs w:val="20"/>
          <w:color w:val="auto"/>
        </w:rPr>
      </w:pPr>
    </w:p>
    <w:p>
      <w:pPr>
        <w:jc w:val="both"/>
        <w:ind w:firstLine="757"/>
        <w:spacing w:after="0" w:line="259" w:lineRule="auto"/>
        <w:tabs>
          <w:tab w:leader="none" w:pos="114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such policy of insurance shall as appropriate and is customary and with respect to jurisdictions outside the United States, to the extent available in such jurisdiction, (i) name the Collateral Agent, on behalf of the Secured Parties, as an additional insured thereunder (with respect to liability insurance) and/or (ii) in the case of property insurance, contain a loss payable clause or endorsement that names the Collateral Agent, on behalf of the Secured Parties, as the loss payee thereunder (it being understood that, absent an Event of Default, any proceeds of any such insurance shall be delivered by the insurer(s) to Holdings or one of its Subsidiaries and applied in accordance with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that the requirements of this </w:t>
      </w:r>
      <w:r>
        <w:rPr>
          <w:rFonts w:ascii="Times New Roman" w:cs="Times New Roman" w:eastAsia="Times New Roman" w:hAnsi="Times New Roman"/>
          <w:sz w:val="19"/>
          <w:szCs w:val="19"/>
          <w:u w:val="single" w:color="auto"/>
          <w:color w:val="auto"/>
        </w:rPr>
        <w:t>Section 6.07</w:t>
      </w:r>
      <w:r>
        <w:rPr>
          <w:rFonts w:ascii="Times New Roman" w:cs="Times New Roman" w:eastAsia="Times New Roman" w:hAnsi="Times New Roman"/>
          <w:sz w:val="19"/>
          <w:szCs w:val="19"/>
          <w:color w:val="auto"/>
        </w:rPr>
        <w:t xml:space="preserve"> are not satisfied on the Closing Date, the Borrower may satisfy such requirements within ninety days of the Closing Date (as extended by the Administrative Agent in its reasonable discretion).</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xml:space="preserve">. (a)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would not reasonably be expected to have, individually or in the aggregate, resulted in a Material Adverse Effect and (b) comply in all material respects with the requirements of USA PATRIOT Act, FCPA, OFAC, UK Bribery Act of 2010 and other anti-terrorism, anti-corruption and anti-money laundering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requirements set forth in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as they pertain to compliance by any Foreign Subsidiary with the USA PATRIOT ACT, FCPA, OFAC and UK Bribery Act of 2010 are subject to and limited by any Law applicable to such Foreign Subsidiary in its relevant local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further </w:t>
      </w:r>
      <w:r>
        <w:rPr>
          <w:rFonts w:ascii="Times New Roman" w:cs="Times New Roman" w:eastAsia="Times New Roman" w:hAnsi="Times New Roman"/>
          <w:sz w:val="20"/>
          <w:szCs w:val="20"/>
          <w:color w:val="auto"/>
        </w:rPr>
        <w:t>that it being agreed that a material breach of the FCPA or the UK Bribery Act of 2010 will be deemed to have a Material Adverse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w:t>
      </w:r>
    </w:p>
    <w:p>
      <w:pPr>
        <w:spacing w:after="0" w:line="200" w:lineRule="exact"/>
        <w:rPr>
          <w:sz w:val="20"/>
          <w:szCs w:val="20"/>
          <w:color w:val="auto"/>
        </w:rPr>
      </w:pPr>
    </w:p>
    <w:p>
      <w:pPr>
        <w:spacing w:after="0" w:line="22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Inspection Rights</w:t>
      </w:r>
      <w:r>
        <w:rPr>
          <w:rFonts w:ascii="Times New Roman" w:cs="Times New Roman" w:eastAsia="Times New Roman" w:hAnsi="Times New Roman"/>
          <w:sz w:val="20"/>
          <w:szCs w:val="20"/>
          <w:color w:val="auto"/>
        </w:rPr>
        <w:t xml:space="preserve">. Permit representatives and independent contractors of the Administrative Agent, the Collateral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excluding any such visits and inspections during the continuation of an Event of Default, only the Administrative Agent on behalf of the Lenders may exercise rights of the Administrative Agent, the Collateral Agent and the Lenders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the Administrative Agent shall not exercise such rights more often than two times during any calendar year absent the continuation of an Event of Default and only one such time shall be at the Borrower’s expense and (b) when an Event of Default is continuing, the Administrative Agent, the Collateral Agent or any Lender (or any of their respective representatives or independent contractors) may do any of the foregoing at the expense of the Borrower at any time during normal business hours and upon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4" w:name="page235"/>
    <w:bookmarkEnd w:id="234"/>
    <w:p>
      <w:pPr>
        <w:spacing w:after="0" w:line="268" w:lineRule="auto"/>
        <w:rPr>
          <w:sz w:val="20"/>
          <w:szCs w:val="20"/>
          <w:color w:val="auto"/>
        </w:rPr>
      </w:pPr>
      <w:r>
        <w:rPr>
          <w:rFonts w:ascii="Times New Roman" w:cs="Times New Roman" w:eastAsia="Times New Roman" w:hAnsi="Times New Roman"/>
          <w:sz w:val="20"/>
          <w:szCs w:val="20"/>
          <w:color w:val="auto"/>
        </w:rPr>
        <w:t xml:space="preserve">advance notice. The Administrative Agent and the Lenders shall give the Borrower the opportunity to participate in any discussions with the Borrower’s independent public accountants. For the avoidance of doubt, the foregoing shall be subject to the provisions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Covenant to Guarantee Obligations and Give Security</w:t>
      </w:r>
      <w:r>
        <w:rPr>
          <w:rFonts w:ascii="Times New Roman" w:cs="Times New Roman" w:eastAsia="Times New Roman" w:hAnsi="Times New Roman"/>
          <w:sz w:val="20"/>
          <w:szCs w:val="20"/>
          <w:color w:val="auto"/>
        </w:rPr>
        <w:t xml:space="preserve">. At the Borrower’s expense, subject to any applicable limitation in any Collateral Document (including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take the following actions:</w:t>
      </w:r>
    </w:p>
    <w:p>
      <w:pPr>
        <w:spacing w:after="0" w:line="161" w:lineRule="exact"/>
        <w:rPr>
          <w:sz w:val="20"/>
          <w:szCs w:val="20"/>
          <w:color w:val="auto"/>
        </w:rPr>
      </w:pPr>
    </w:p>
    <w:p>
      <w:pPr>
        <w:ind w:right="20" w:firstLine="757"/>
        <w:spacing w:after="0" w:line="268" w:lineRule="auto"/>
        <w:tabs>
          <w:tab w:leader="none" w:pos="114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days of the occurrence of any Grant Event (or such longer period as the Administrative Agent may agree in its reasonable discretion),</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Restricted Subsidiary subject of the Grant Event to execute the Guaranty (or a joinder thereto);</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Restricted Subsidiary subject of the Grant Event to duly execute and deliver to the Collateral Agent a Security Agreement Supplement and any applicable Intellectual Property Security Agreements with respect to its registered and applied for intellectual property;</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43" w:lineRule="auto"/>
        <w:tabs>
          <w:tab w:leader="none" w:pos="2203"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Restricted Subsidiary subject of the Grant Event (and any parent of such Restricted Subsidiary that is a Loan Party) to (x) deliver any and all certificates representing Equity Interests (to the extent certificated) that are required to be pledged pursuant to the Security Agreement, accompanied by undated stock powers or other appropriate instruments of transfer executed in blank (or any other documents customary under local law), the Global Intercompany Notes and all other instruments evidencing Indebtedness held by such Restricted Subsidiary and required to be pledged pursuant to the Security Agreement, endorsed in blank, to the Collateral Agent and (y) if such Restricted Subsidiary is a Foreign Subsidiary, deliver such additional security documents and enter into additional collateral arrangements in the jurisdiction of such Foreign Subsidiary reasonably satisfactory to the Administrative Agent;</w:t>
      </w:r>
    </w:p>
    <w:p>
      <w:pPr>
        <w:spacing w:after="0" w:line="186" w:lineRule="exact"/>
        <w:rPr>
          <w:rFonts w:ascii="Times New Roman" w:cs="Times New Roman" w:eastAsia="Times New Roman" w:hAnsi="Times New Roman"/>
          <w:sz w:val="20"/>
          <w:szCs w:val="20"/>
          <w:color w:val="auto"/>
        </w:rPr>
      </w:pPr>
    </w:p>
    <w:p>
      <w:pPr>
        <w:jc w:val="both"/>
        <w:ind w:left="760" w:firstLine="1045"/>
        <w:spacing w:after="0" w:line="243" w:lineRule="auto"/>
        <w:tabs>
          <w:tab w:leader="none" w:pos="2203"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reasonable request of the Administrative Agent, take and cause the Restricted Subsidiary and each direct or indirect parent of such Restricted Subsidiary subject of the Grant Event to take such customary actions as may be necessary in the reasonable opinion of the Administrative Agent to vest in the Collateral Agent (or in any representative of the Collateral Agent designated by it) perfected Liens (subject to Liens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in the Equity Interests of such Restricted Subsidiary and the personal property and fixtures of such Restricted Subsidiary to the extent required by the Security Agreement or the other Collateral Documents, enforceable against all third parties in accordance with their terms, except as such enforceability may be limited by Debtor Relief Laws and by general principles of equity (regardless of whether enforcement is sought in equity or at law); and</w:t>
      </w:r>
    </w:p>
    <w:p>
      <w:pPr>
        <w:spacing w:after="0" w:line="186"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request of the Administrative Agent, deliver to the Administrative Agent a signed copy of a customary opinion, addressed to the Administrative Agent and the other Secured Parties, of counsel for the Loan Parties as to such matters set forth in this Section 6.11(a) as the Administrative Agent may reasonably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actions relating to Liens on real property are governed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6.11(b)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not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6.11(a)</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1160" w:hanging="403"/>
        <w:spacing w:after="0"/>
        <w:tabs>
          <w:tab w:leader="none" w:pos="116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5" w:name="page236"/>
    <w:bookmarkEnd w:id="235"/>
    <w:p>
      <w:pPr>
        <w:jc w:val="both"/>
        <w:ind w:left="380" w:firstLine="754"/>
        <w:spacing w:after="0" w:line="246" w:lineRule="auto"/>
        <w:tabs>
          <w:tab w:leader="none" w:pos="1524"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days (or, in each case, such longer period as the Administrative Agent may agree in its reasonable discretion) after the formation, acquisition or designation of a Restricted Subsidiary (other than any Excluded Subsidiary) or the occurrence of a Grant Event with respect to a Restricted Subsidiary, the Borrower will, or will cause such Restricted Subsidiary to, furnish to the Collateral Agent a description of any Material Real Property (other than any Excluded Asset) owned by such Restricted Subsidiary in reasonable detail.</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53" w:lineRule="auto"/>
        <w:tabs>
          <w:tab w:leader="none" w:pos="1524"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days (or such longer period as the Administrative Agent may agree in its reasonable discretion) after the acquisition of any Material Real Property by a Loan Party after the Closing Date, the Borrower will furnish to the Collateral Agent a description of such Material Real Property in reasonable detail.</w:t>
      </w:r>
    </w:p>
    <w:p>
      <w:pPr>
        <w:spacing w:after="0" w:line="176" w:lineRule="exact"/>
        <w:rPr>
          <w:rFonts w:ascii="Times New Roman" w:cs="Times New Roman" w:eastAsia="Times New Roman" w:hAnsi="Times New Roman"/>
          <w:sz w:val="20"/>
          <w:szCs w:val="20"/>
          <w:color w:val="auto"/>
        </w:rPr>
      </w:pPr>
    </w:p>
    <w:p>
      <w:pPr>
        <w:jc w:val="both"/>
        <w:ind w:left="-360" w:firstLine="1045"/>
        <w:spacing w:after="0" w:line="249" w:lineRule="auto"/>
        <w:tabs>
          <w:tab w:leader="none" w:pos="108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Mortgages, etc</w:t>
      </w:r>
      <w:r>
        <w:rPr>
          <w:rFonts w:ascii="Times New Roman" w:cs="Times New Roman" w:eastAsia="Times New Roman" w:hAnsi="Times New Roman"/>
          <w:sz w:val="20"/>
          <w:szCs w:val="20"/>
          <w:color w:val="auto"/>
        </w:rPr>
        <w:t xml:space="preserve">. The Borrower will, or will cause the applicable Loan Party to, provide the Collateral Agent with a Mortgage with respect to Material Real Property that is the subject of a notice delivered pursuant to </w:t>
      </w:r>
      <w:r>
        <w:rPr>
          <w:rFonts w:ascii="Times New Roman" w:cs="Times New Roman" w:eastAsia="Times New Roman" w:hAnsi="Times New Roman"/>
          <w:sz w:val="20"/>
          <w:szCs w:val="20"/>
          <w:u w:val="single" w:color="auto"/>
          <w:color w:val="auto"/>
        </w:rPr>
        <w:t>Section 6.11(b)(i)</w:t>
      </w:r>
      <w:r>
        <w:rPr>
          <w:rFonts w:ascii="Times New Roman" w:cs="Times New Roman" w:eastAsia="Times New Roman" w:hAnsi="Times New Roman"/>
          <w:sz w:val="20"/>
          <w:szCs w:val="20"/>
          <w:color w:val="auto"/>
        </w:rPr>
        <w:t>, within ninety days (or such longer period as the Administrative Agent may agree in its sole discretion) of the event that triggered the requirement to give such notice, together with:</w:t>
      </w:r>
    </w:p>
    <w:p>
      <w:pPr>
        <w:spacing w:after="0" w:line="178"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counterparts of such Mortgage have been duly executed, acknowledged and delivered and are in a form suitable for filing or recording in all filing or recording offices that the Collateral Agent may deem reasonably necessary or desirable in order to create a valid and subsisting perfected Lien on such Material Real Property in favor of the Collateral Agent for the benefit of the Secured Parties and that all filing and recording taxes and fees have been paid or are otherwise provided for in a manner reasonably satisfactory to the Collateral Agent;</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paid Mortgage Policies or signed commitments in respect thereof together with such affidavits, certificates, and instruments of indemnification (including a so-called “gap” indemnification) as shall be required to induce the title insurance company to issue the Mortgage Policies and endorsements contemplated above and evidence of payment of title insurance premiums and expenses and all recording, mortgage, transfer and stamp taxes and fees payable in connection with recording the Mortgage;</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opinions of local counsel for such Loan Party in the state in which such Material Real Property is located, with respect to the enforceability of the Mortgage and any related fixture filings and, where the applicable Loan Party granting the Mortgage on said Mortgaged Property is organized, an opinion regarding the due authorization, execution and delivery of such Mortgage, and in each case, such other matters as may be reasonably requested by the Administrative Agent;</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53" w:lineRule="auto"/>
        <w:tabs>
          <w:tab w:leader="none" w:pos="152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ALTA survey or existing survey together with a no change affidavit of such Mortgaged Property, sufficient for the title insurance company to remove the standard survey exception and issue related endorsements and otherwise reasonably satisfactory to the Administrative Agent (if reasonably requested by the Administrative Agent); and</w:t>
      </w:r>
    </w:p>
    <w:p>
      <w:pPr>
        <w:spacing w:after="0" w:line="176" w:lineRule="exact"/>
        <w:rPr>
          <w:rFonts w:ascii="Times New Roman" w:cs="Times New Roman" w:eastAsia="Times New Roman" w:hAnsi="Times New Roman"/>
          <w:sz w:val="20"/>
          <w:szCs w:val="20"/>
          <w:color w:val="auto"/>
        </w:rPr>
      </w:pPr>
    </w:p>
    <w:p>
      <w:pPr>
        <w:jc w:val="both"/>
        <w:ind w:left="380" w:right="20" w:firstLine="754"/>
        <w:spacing w:after="0" w:line="253" w:lineRule="auto"/>
        <w:tabs>
          <w:tab w:leader="none" w:pos="1524"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Flood Insurance Certificate, provided, however, that in the event any such property is located in an area determined by the Federal Emergency Management Agency (or any successor agency) to be located in special flood hazard area, that property shall be excluded and any mortgages thereon shall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310515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236" w:name="page237"/>
    <w:bookmarkEnd w:id="236"/>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and any applicable limitations in any Collateral Document, and in each case at the expense of the Borrower, promptly upon the reasonable request by the Administrative Agent or the Collateral Agent or as may be required by applicable Laws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18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other than with respect to the Equity Interests and assets of a Foreign Subsidiary that becomes a Loan Party, neither Holdings, the Borrower, nor any Restricted Subsidiary will be required to, nor will the Administrative Agent or the Collateral Agent be authorized,</w:t>
      </w:r>
    </w:p>
    <w:p>
      <w:pPr>
        <w:spacing w:after="0" w:line="176" w:lineRule="exact"/>
        <w:rPr>
          <w:sz w:val="20"/>
          <w:szCs w:val="20"/>
          <w:color w:val="auto"/>
        </w:rPr>
      </w:pPr>
    </w:p>
    <w:p>
      <w:pPr>
        <w:ind w:left="1160" w:hanging="403"/>
        <w:spacing w:after="0"/>
        <w:tabs>
          <w:tab w:leader="none" w:pos="116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perfect security interests in the Collateral other than by,</w:t>
      </w:r>
    </w:p>
    <w:p>
      <w:pPr>
        <w:spacing w:after="0" w:line="214" w:lineRule="exact"/>
        <w:rPr>
          <w:rFonts w:ascii="Times New Roman" w:cs="Times New Roman" w:eastAsia="Times New Roman" w:hAnsi="Times New Roman"/>
          <w:sz w:val="20"/>
          <w:szCs w:val="20"/>
          <w:color w:val="auto"/>
        </w:rPr>
      </w:pPr>
    </w:p>
    <w:p>
      <w:pPr>
        <w:ind w:left="760" w:right="260" w:firstLine="1045"/>
        <w:spacing w:after="0" w:line="268" w:lineRule="auto"/>
        <w:tabs>
          <w:tab w:leader="none" w:pos="2203"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 pursuant to the Uniform Commercial Code in the office of the secretary of state (or similar central filing office) of the relevant state(s) and filings in the applicable real estate records with respect to Material Real Property;</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53" w:lineRule="auto"/>
        <w:tabs>
          <w:tab w:leader="none" w:pos="2203"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 in (A) the United States Patent and Trademark Office with respect to any U.S. registered patents and trademarks and (B) the United States Copyright Office of the Library of Congress with respect to material copyright registrations, in the case of each of (A) and (B), constituting Collateral;</w:t>
      </w:r>
    </w:p>
    <w:p>
      <w:pPr>
        <w:spacing w:after="0" w:line="176"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mortgages (or local law equivalent) in respect of Material Real Property; and</w:t>
      </w:r>
    </w:p>
    <w:p>
      <w:pPr>
        <w:spacing w:after="0" w:line="214"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to the Administrative Agent or Collateral Agent to be held in its possession of all Collateral consisting of</w:t>
      </w:r>
    </w:p>
    <w:p>
      <w:pPr>
        <w:spacing w:after="0" w:line="32" w:lineRule="exact"/>
        <w:rPr>
          <w:rFonts w:ascii="Times New Roman" w:cs="Times New Roman" w:eastAsia="Times New Roman" w:hAnsi="Times New Roman"/>
          <w:sz w:val="19"/>
          <w:szCs w:val="19"/>
          <w:color w:val="auto"/>
        </w:rPr>
      </w:pPr>
    </w:p>
    <w:p>
      <w:pPr>
        <w:ind w:left="760" w:right="120" w:hanging="3"/>
        <w:spacing w:after="0" w:line="261" w:lineRule="auto"/>
        <w:tabs>
          <w:tab w:leader="none" w:pos="104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representing Pledged Equity, (y) the Global Intercompany Note and (z) all other promissory notes and other instruments constituting Collateral; provided that promissory notes and instruments having an aggregate principal amount equal to $2,500,000 or less need not be delivered to the Collateral Agent; in each case, in the manner provided in the Collateral Documents;</w:t>
      </w:r>
    </w:p>
    <w:p>
      <w:pPr>
        <w:spacing w:after="0" w:line="168" w:lineRule="exact"/>
        <w:rPr>
          <w:rFonts w:ascii="Times New Roman" w:cs="Times New Roman" w:eastAsia="Times New Roman" w:hAnsi="Times New Roman"/>
          <w:sz w:val="19"/>
          <w:szCs w:val="19"/>
          <w:color w:val="auto"/>
        </w:rPr>
      </w:pPr>
    </w:p>
    <w:p>
      <w:pPr>
        <w:ind w:right="20" w:firstLine="757"/>
        <w:spacing w:after="0" w:line="268" w:lineRule="auto"/>
        <w:tabs>
          <w:tab w:leader="none" w:pos="114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enter into any control agreement, lockbox or similar arrangement with respect to any deposit account, securities account, commodities account or other bank account, or otherwise perfect a security interest with control;</w:t>
      </w:r>
    </w:p>
    <w:p>
      <w:pPr>
        <w:spacing w:after="0" w:line="160" w:lineRule="exact"/>
        <w:rPr>
          <w:rFonts w:ascii="Times New Roman" w:cs="Times New Roman" w:eastAsia="Times New Roman" w:hAnsi="Times New Roman"/>
          <w:sz w:val="20"/>
          <w:szCs w:val="20"/>
          <w:color w:val="auto"/>
        </w:rPr>
      </w:pPr>
    </w:p>
    <w:p>
      <w:pPr>
        <w:ind w:firstLine="757"/>
        <w:spacing w:after="0" w:line="295" w:lineRule="auto"/>
        <w:tabs>
          <w:tab w:leader="none" w:pos="1144"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take any action (i) outside of the United States with respect to any assets located outside of the United States, (ii) in any non-U.S. jurisdiction or (iii) required by the laws of any non-U.S. jurisdiction to create, perfect or maintain any security interest or otherwise;</w:t>
      </w:r>
    </w:p>
    <w:p>
      <w:pPr>
        <w:spacing w:after="0" w:line="137" w:lineRule="exact"/>
        <w:rPr>
          <w:rFonts w:ascii="Times New Roman" w:cs="Times New Roman" w:eastAsia="Times New Roman" w:hAnsi="Times New Roman"/>
          <w:sz w:val="19"/>
          <w:szCs w:val="19"/>
          <w:color w:val="auto"/>
        </w:rPr>
      </w:pPr>
    </w:p>
    <w:p>
      <w:pPr>
        <w:jc w:val="both"/>
        <w:ind w:firstLine="757"/>
        <w:spacing w:after="0" w:line="249" w:lineRule="auto"/>
        <w:tabs>
          <w:tab w:leader="none" w:pos="114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Security Agreement or the relevant Collateral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7" w:name="page238"/>
    <w:bookmarkEnd w:id="237"/>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the Loan Parties shall not be required to perform any period collateral reporting, if any, with any frequency greater than once per fiscal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shall not limit the obligation of the Loan Parties to comply with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xml:space="preserve">. The Borrower may at any time designate any Restricted Subsidiary as an Unrestricted Subsidiary or designate (or re-designate, as the case may be) any Unrestricted Subsidiary as a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6" w:lineRule="exact"/>
        <w:rPr>
          <w:sz w:val="20"/>
          <w:szCs w:val="20"/>
          <w:color w:val="auto"/>
        </w:rPr>
      </w:pPr>
    </w:p>
    <w:p>
      <w:pPr>
        <w:ind w:left="1160" w:hanging="403"/>
        <w:spacing w:after="0"/>
        <w:tabs>
          <w:tab w:leader="none" w:pos="11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such designation (or re-designation), no Specified Event of Default shall have occurred and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2"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Investment resulting from the designation of such Restricted Subsidiary as an Unrestricted Subsidiary as described above is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firstLine="757"/>
        <w:spacing w:after="0" w:line="273" w:lineRule="auto"/>
        <w:tabs>
          <w:tab w:leader="none" w:pos="1144"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Subsidiary may be designated as an Unrestricted Subsidiary unless it is also designated as an “unrestricted subsidiary” under (i) the Second Lien Credit Agreement (and the terms of any Permitted Refinancings of the Indebtedness thereunder) and (ii) the terms of any Incremental Equivalent Debt, Permitted Ratio Debt, Pari Passu Lien Debt and Junior Lien Debt (any Permitted Refinancings thereof).</w:t>
      </w:r>
    </w:p>
    <w:p>
      <w:pPr>
        <w:spacing w:after="0" w:line="15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designation of any Subsidiary as an Unrestricted Subsidiary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its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6.14 </w:t>
      </w:r>
      <w:r>
        <w:rPr>
          <w:rFonts w:ascii="Times New Roman" w:cs="Times New Roman" w:eastAsia="Times New Roman" w:hAnsi="Times New Roman"/>
          <w:sz w:val="20"/>
          <w:szCs w:val="20"/>
          <w:u w:val="single" w:color="auto"/>
          <w:color w:val="auto"/>
        </w:rPr>
        <w:t>Maintenance of Ratings</w:t>
      </w:r>
      <w:r>
        <w:rPr>
          <w:rFonts w:ascii="Times New Roman" w:cs="Times New Roman" w:eastAsia="Times New Roman" w:hAnsi="Times New Roman"/>
          <w:sz w:val="20"/>
          <w:szCs w:val="20"/>
          <w:color w:val="auto"/>
        </w:rPr>
        <w:t>. Use commercially reasonable efforts to maintain (a) a public corporate credit rating or public corporate family rating, as applicable, from any two of S&amp;P, Moody’s and Fitch, in each case, in respect of the Borrower (but not a specific rating), and (b) a public rating in respect of the Initial Term Loans from any two of S&amp;P, Moody’s and Fitch (but not a specific rating).</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6.15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The Borrower will, and will cause each of its Restricted Subsidiaries to, take each of the actions set forth on </w:t>
      </w:r>
      <w:r>
        <w:rPr>
          <w:rFonts w:ascii="Times New Roman" w:cs="Times New Roman" w:eastAsia="Times New Roman" w:hAnsi="Times New Roman"/>
          <w:sz w:val="20"/>
          <w:szCs w:val="20"/>
          <w:u w:val="single" w:color="auto"/>
          <w:color w:val="auto"/>
        </w:rPr>
        <w:t>Schedule 6.15</w:t>
      </w:r>
      <w:r>
        <w:rPr>
          <w:rFonts w:ascii="Times New Roman" w:cs="Times New Roman" w:eastAsia="Times New Roman" w:hAnsi="Times New Roman"/>
          <w:sz w:val="20"/>
          <w:szCs w:val="20"/>
          <w:color w:val="auto"/>
        </w:rPr>
        <w:t xml:space="preserve"> within the time period prescribed therefor on such schedule (as such time period may be extended by the Administrative Agent).</w:t>
      </w:r>
    </w:p>
    <w:p>
      <w:pPr>
        <w:spacing w:after="0" w:line="176"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6.16</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757"/>
        <w:spacing w:after="0" w:line="268" w:lineRule="auto"/>
        <w:tabs>
          <w:tab w:leader="none" w:pos="114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Initial Term Loans, together with the proceeds of the Second Lien Term Loans, will be used on the Closing Date to finance, in part, the Transactions.</w:t>
      </w:r>
    </w:p>
    <w:p>
      <w:pPr>
        <w:spacing w:after="0" w:line="160"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14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Revolving Loans will be used for working capital and general corporate purposes of the Borrower and its Restricted Subsidiaries, including the financing of transactions that are not prohibited by the terms of this Agreement (including 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8" w:name="page239"/>
    <w:bookmarkEnd w:id="238"/>
    <w:p>
      <w:pPr>
        <w:ind w:right="20" w:firstLine="757"/>
        <w:spacing w:after="0" w:line="268" w:lineRule="auto"/>
        <w:tabs>
          <w:tab w:leader="none" w:pos="1144"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will be used by the Borrower for general corporate purposes of the Borrower and its Restricted Subsidiaries, including supporting transactions not prohibited by the Loan Documents.</w:t>
      </w:r>
    </w:p>
    <w:p>
      <w:pPr>
        <w:spacing w:after="0" w:line="160" w:lineRule="exact"/>
        <w:rPr>
          <w:rFonts w:ascii="Times New Roman" w:cs="Times New Roman" w:eastAsia="Times New Roman" w:hAnsi="Times New Roman"/>
          <w:sz w:val="20"/>
          <w:szCs w:val="20"/>
          <w:color w:val="auto"/>
        </w:rPr>
      </w:pPr>
    </w:p>
    <w:p>
      <w:pPr>
        <w:jc w:val="both"/>
        <w:ind w:right="20" w:firstLine="757"/>
        <w:spacing w:after="0" w:line="263" w:lineRule="auto"/>
        <w:tabs>
          <w:tab w:leader="none" w:pos="1144"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Delayed Draw Term Loans, the Borrower will, at the time of funding thereof, have a good faith expectation to use the proceeds thereof (i) to finance one or more Permitted Investments, (ii) to finance earn-outs related to Permitted Investments and/or</w:t>
      </w:r>
    </w:p>
    <w:p>
      <w:pPr>
        <w:spacing w:after="0" w:line="1" w:lineRule="exact"/>
        <w:rPr>
          <w:rFonts w:ascii="Times New Roman" w:cs="Times New Roman" w:eastAsia="Times New Roman" w:hAnsi="Times New Roman"/>
          <w:sz w:val="19"/>
          <w:szCs w:val="19"/>
          <w:color w:val="auto"/>
        </w:rPr>
      </w:pPr>
    </w:p>
    <w:p>
      <w:pPr>
        <w:ind w:firstLine="8"/>
        <w:spacing w:after="0" w:line="245" w:lineRule="auto"/>
        <w:tabs>
          <w:tab w:leader="none" w:pos="35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repay Revolving Loans that were used to fund Permitted Investments and/or earn-outs, in each case together with payment of related fees and expenses (it being understood that the events in clauses (i) and (ii) may or may not close simultaneously with such funding).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193"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So long as the Termination Conditions are not satisfied, the Borrower shall not (and, with respect to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only, Holdings shall not), nor shall the Borrower permit any Restricted Subsidiary to:</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Create, incur, assume or suffer to exist any Lien upon any of its property, assets or revenues, whether now owned or hereafter acquired, that secures Indebtedness other than the following:</w:t>
      </w:r>
    </w:p>
    <w:p>
      <w:pPr>
        <w:spacing w:after="0" w:line="161" w:lineRule="exact"/>
        <w:rPr>
          <w:sz w:val="20"/>
          <w:szCs w:val="20"/>
          <w:color w:val="auto"/>
        </w:rPr>
      </w:pPr>
    </w:p>
    <w:p>
      <w:pPr>
        <w:jc w:val="both"/>
        <w:ind w:firstLine="757"/>
        <w:spacing w:after="0" w:line="253" w:lineRule="auto"/>
        <w:tabs>
          <w:tab w:leader="none" w:pos="11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(i) Indebtedness incurred pursuant to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including obligations under any Loan Document or (ii) Incremental Equivalent Debt (with the lien priority permitted in such definition and other than to the extent such Indebtedness is only permitted to be incurred as unsecured Indebtedness);</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Indebtedness incurred pursuant to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 including obligations under the Second Lien Credit Documents;</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(other than Liens incurred under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Indebtedness permitted under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xml:space="preserve">, including in respect to Attributable Indebtedness, Capital Lease Obligations, and Indebtedness financing the acquisition, construction, repair, replacement or improvement of fixed or capital assets;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Liens attach concurrently with or within two hundred and seventy days after completion of the acquisition, construction, repair, replacement or improvement (as applicable) of the property subject to such Liens and (ii) 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individual financings of equipment provided by one lender may be cross collateralized to other financings of equipment provided by such lender or its affiliates;</w:t>
      </w:r>
    </w:p>
    <w:p>
      <w:pPr>
        <w:spacing w:after="0" w:line="18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favor of the Borrower or a Loan Party securing Indebtedness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any Secured Hedge Agreement and other Indebtedness permitted by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Non-Loan Parties and Liens on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9" w:name="page240"/>
    <w:bookmarkEnd w:id="239"/>
    <w:p>
      <w:pPr>
        <w:jc w:val="both"/>
        <w:ind w:left="-757" w:firstLine="757"/>
        <w:spacing w:after="0" w:line="246" w:lineRule="auto"/>
        <w:tabs>
          <w:tab w:leader="none" w:pos="3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obligations in respect of Permitted Pari Passu Secured Refinancing Debt or Permitted Junior Secured Refinancing Debt and any Permitted Refinancing of any of the foregoing incurred pursuant to </w:t>
      </w:r>
      <w:r>
        <w:rPr>
          <w:rFonts w:ascii="Times New Roman" w:cs="Times New Roman" w:eastAsia="Times New Roman" w:hAnsi="Times New Roman"/>
          <w:sz w:val="20"/>
          <w:szCs w:val="20"/>
          <w:u w:val="single" w:color="auto"/>
          <w:color w:val="auto"/>
        </w:rPr>
        <w:t>Section 7.03(h)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Permitted Pari Passu Secured Refinancing Debt or any Permitted Refinancing thereof with Pari Passu Lien Debt, in either case, that is in the form of term loans shall be subject to </w:t>
      </w:r>
      <w:r>
        <w:rPr>
          <w:rFonts w:ascii="Times New Roman" w:cs="Times New Roman" w:eastAsia="Times New Roman" w:hAnsi="Times New Roman"/>
          <w:sz w:val="20"/>
          <w:szCs w:val="20"/>
          <w:u w:val="single" w:color="auto"/>
          <w:color w:val="auto"/>
        </w:rPr>
        <w:t>Section 2.16(h)</w:t>
      </w:r>
      <w:r>
        <w:rPr>
          <w:rFonts w:ascii="Times New Roman" w:cs="Times New Roman" w:eastAsia="Times New Roman" w:hAnsi="Times New Roman"/>
          <w:sz w:val="20"/>
          <w:szCs w:val="20"/>
          <w:color w:val="auto"/>
        </w:rPr>
        <w:t xml:space="preserve"> as if such Permitted Pari Passu Secured Refinancing Debt or Permitted Refinancing thereof was Incremental Term Loans;</w:t>
      </w:r>
    </w:p>
    <w:p>
      <w:pPr>
        <w:spacing w:after="0" w:line="183"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Sections 7.03(j)</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57" w:firstLine="757"/>
        <w:spacing w:after="0" w:line="243" w:lineRule="auto"/>
        <w:tabs>
          <w:tab w:leader="none" w:pos="3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existing on property at the time of (and not in contemplation of) its acquisition or existing on the property of any Person or on Equity Interests of any Person, in each case, at the time such Person becomes (and not in contemplation of such Person becoming) a Restricted Subsidiary (other than by designation as a Restricted Subsidiary pursuant to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in each case after the Closing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Lien does not extend to or cover any other assets or property (other than the proceeds or products thereof and other than after-acquired property of such acquired Restricted Subsidiary covered by an applicable grant clause) and (B) the Indebtedness secured thereby is permitted under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(ii) Liens on any cash earnest money deposits made by the Borrower or any of the Restricted Subsidiaries in connection with any letter of intent or purchase agreement relating to an Investment and (iii) Liens incurred in connection with escrow arrangements or other agreements relating to an acquisition or Investment permitted hereunder;</w:t>
      </w:r>
    </w:p>
    <w:p>
      <w:pPr>
        <w:spacing w:after="0" w:line="186"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3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in favor of the seller of any property to be acquired in an Investment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to be applied against the purchase price for such Investment or (ii) consisting of an agreement to Dispose of any property in a Disposition, in each case, solely to the extent such Investment or Disposition, as the case may be, would have been permitted on the date of the creation of such Lien;</w:t>
      </w:r>
    </w:p>
    <w:p>
      <w:pPr>
        <w:spacing w:after="0" w:line="178" w:lineRule="exact"/>
        <w:rPr>
          <w:rFonts w:ascii="Times New Roman" w:cs="Times New Roman" w:eastAsia="Times New Roman" w:hAnsi="Times New Roman"/>
          <w:sz w:val="20"/>
          <w:szCs w:val="20"/>
          <w:color w:val="auto"/>
        </w:rPr>
      </w:pPr>
    </w:p>
    <w:p>
      <w:pPr>
        <w:jc w:val="both"/>
        <w:ind w:left="-757" w:firstLine="757"/>
        <w:spacing w:after="0" w:line="245" w:lineRule="auto"/>
        <w:tabs>
          <w:tab w:leader="none" w:pos="3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Holdings, the Borrower or any Restricted Subsidiaries;</w:t>
      </w:r>
    </w:p>
    <w:p>
      <w:pPr>
        <w:spacing w:after="0" w:line="182"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on insurance policies and the proceeds thereof securing the financing of the premiums with respect thereto and (ii) Liens on cash securing obligations to insurance companies with respect to insurable liabilities incurred in the ordinary course of business;</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 incurred in the ordinary course of business;</w:t>
      </w:r>
    </w:p>
    <w:p>
      <w:pPr>
        <w:spacing w:after="0" w:line="176"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Securitization Assets arising in connection with a Qualified Securitization Financing;</w:t>
      </w:r>
    </w:p>
    <w:p>
      <w:pPr>
        <w:spacing w:after="0" w:line="214"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the cash collateralization of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335280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40" w:name="page241"/>
    <w:bookmarkEnd w:id="240"/>
    <w:p>
      <w:pPr>
        <w:jc w:val="both"/>
        <w:ind w:firstLine="757"/>
        <w:spacing w:after="0" w:line="246"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4-208 or 4-210 of the Uniform Commercial Code on the items in the course of collection, (ii) 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8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Cash Management Obligations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customary contractual rights of setoff (i) relating to the establishment of depository relations with banks or other deposit-taking financial institutions in the ordinary course and not given in connection with the issuance of Indebtedness, (ii) relating to pooled deposit or sweep accounts of Holdings, the Borrower or any of the Restricted Subsidiaries to permit satisfaction of overdraft or similar obligations incurred in the ordinary course of business of Holdings, the Borrower or any of the Restricted Subsidiaries or (iii) relating to purchase orders and other agreements entered into with customers of the Borrower or any of the Restricted Subsidiaries in the ordinary course of business;</w:t>
      </w:r>
    </w:p>
    <w:p>
      <w:pPr>
        <w:spacing w:after="0" w:line="182" w:lineRule="exact"/>
        <w:rPr>
          <w:rFonts w:ascii="Times New Roman" w:cs="Times New Roman" w:eastAsia="Times New Roman" w:hAnsi="Times New Roman"/>
          <w:sz w:val="20"/>
          <w:szCs w:val="20"/>
          <w:color w:val="auto"/>
        </w:rPr>
      </w:pPr>
    </w:p>
    <w:p>
      <w:pPr>
        <w:jc w:val="both"/>
        <w:ind w:firstLine="757"/>
        <w:spacing w:after="0" w:line="262" w:lineRule="auto"/>
        <w:tabs>
          <w:tab w:leader="none" w:pos="1144"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that secure amounts not overdue for a period of more than sixty days or, if more than sixty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69" w:lineRule="exact"/>
        <w:rPr>
          <w:rFonts w:ascii="Times New Roman" w:cs="Times New Roman" w:eastAsia="Times New Roman" w:hAnsi="Times New Roman"/>
          <w:sz w:val="19"/>
          <w:szCs w:val="19"/>
          <w:color w:val="auto"/>
        </w:rPr>
      </w:pPr>
    </w:p>
    <w:p>
      <w:pPr>
        <w:jc w:val="both"/>
        <w:ind w:firstLine="757"/>
        <w:spacing w:after="0" w:line="253"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sublessor, licensor or sublicensor or secured by a lessor’s, sublessor’s, licensor’s or sublicensor’s interest under leases or licenses entered into by the Borrower or any of the Restricted Subsidiaries as lessee or licensee in the ordinary course of business;</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the Borrower or any of its Subsidiaries are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located;</w:t>
      </w:r>
    </w:p>
    <w:p>
      <w:pPr>
        <w:spacing w:after="0" w:line="192"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with the owner or lessor of premises leased and operated by the Borrower or any of its Subsidiaries in the ordinary course of business of the Borrower and such Subsidiary to secure the performance of the Borrower’s or such Subsidiary’s obligations under the terms of the lease for such premises;</w:t>
      </w:r>
    </w:p>
    <w:p>
      <w:pPr>
        <w:spacing w:after="0" w:line="176"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governmental charges that are not overdue for a period of more than sixty days or that are being contested in good faith and by appropriate actions diligently conducted and for which appropriate reserves have been established in accordance with GAAP or for property taxes on property the Borrower or its Subsidiaries has decided to abandon if the sole recourse for such tax, assessment or charge is to such property;</w:t>
      </w:r>
    </w:p>
    <w:p>
      <w:pPr>
        <w:spacing w:after="0" w:line="178" w:lineRule="exact"/>
        <w:rPr>
          <w:rFonts w:ascii="Times New Roman" w:cs="Times New Roman" w:eastAsia="Times New Roman" w:hAnsi="Times New Roman"/>
          <w:sz w:val="20"/>
          <w:szCs w:val="20"/>
          <w:color w:val="auto"/>
        </w:rPr>
      </w:pPr>
    </w:p>
    <w:p>
      <w:pPr>
        <w:ind w:firstLine="757"/>
        <w:spacing w:after="0" w:line="253" w:lineRule="auto"/>
        <w:tabs>
          <w:tab w:leader="none" w:pos="114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(including zoning restrictions), encroachments, protrusions and other similar encumbrances and title defects affecting real property that, in the aggregate, do not in any case materially interfere with the ordinary conduct of the business of the Borrower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1" w:name="page242"/>
    <w:bookmarkEnd w:id="241"/>
    <w:p>
      <w:pPr>
        <w:spacing w:after="0" w:line="268" w:lineRule="auto"/>
        <w:rPr>
          <w:sz w:val="20"/>
          <w:szCs w:val="20"/>
          <w:color w:val="auto"/>
        </w:rPr>
      </w:pPr>
      <w:r>
        <w:rPr>
          <w:rFonts w:ascii="Times New Roman" w:cs="Times New Roman" w:eastAsia="Times New Roman" w:hAnsi="Times New Roman"/>
          <w:sz w:val="20"/>
          <w:szCs w:val="20"/>
          <w:color w:val="auto"/>
        </w:rPr>
        <w:t>Subsidiaries taken as a whole, or the use of the property for its intended purpose, and any other exceptions to title on the Mortgage Policies provided in accordance with this Agreement;</w:t>
      </w:r>
    </w:p>
    <w:p>
      <w:pPr>
        <w:spacing w:after="0" w:line="161" w:lineRule="exact"/>
        <w:rPr>
          <w:sz w:val="20"/>
          <w:szCs w:val="20"/>
          <w:color w:val="auto"/>
        </w:rPr>
      </w:pPr>
    </w:p>
    <w:p>
      <w:pPr>
        <w:ind w:left="1160" w:hanging="403"/>
        <w:spacing w:after="0"/>
        <w:tabs>
          <w:tab w:leader="none" w:pos="116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orders for the payment of money not constituting an Event of Default under </w:t>
      </w:r>
      <w:r>
        <w:rPr>
          <w:rFonts w:ascii="Times New Roman" w:cs="Times New Roman" w:eastAsia="Times New Roman" w:hAnsi="Times New Roman"/>
          <w:sz w:val="20"/>
          <w:szCs w:val="20"/>
          <w:u w:val="single" w:color="auto"/>
          <w:color w:val="auto"/>
        </w:rPr>
        <w:t>Section 9.01(g)</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subleases or sublicenses granted to others in the ordinary course of business (or other agreement under which the Borrower or any Restricted Subsidiary has granted rights to end users to access and use the Borrower’s or any Restricted Subsidiary’s products, technologies, facilities or services) which do not interfere in any material respect with the business of the Borrower and its Restricted Subsidiaries, taken as a whole;</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p>
      <w:pPr>
        <w:spacing w:after="0" w:line="183"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of goods entered into by the Borrower or any of the Restricted Subsidiaries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or incurred pursuant to customary reservations or retentions of title (including contractual Liens in favor of sellers and suppliers of goods) incurred in the ordinary course of business for sums not constituting borrowed money that are not overdue for a period of more than sixty days or that are being contested in good faith by appropriated proceedings and for which adequate reserves have been established in accordance with GAAP (if so required);</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reasonable customary initial deposits and margin deposits and similar Liens attaching to commodity trading accounts or other brokerage accounts maintained in the ordinary course of business and not for speculative purposes;</w:t>
      </w:r>
    </w:p>
    <w:p>
      <w:pPr>
        <w:spacing w:after="0" w:line="176"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and Cash Equivalents earmarked to be used to satisfy or discharge Indebtedness where such satisfaction or discharge of such Indebtedness is not otherwise prohibited;</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evidenced by the filing of precautionary Uniform Commercial Code financing statements or similar public</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w:t>
      </w:r>
    </w:p>
    <w:p>
      <w:pPr>
        <w:spacing w:after="0" w:line="188" w:lineRule="exact"/>
        <w:rPr>
          <w:rFonts w:ascii="Times New Roman" w:cs="Times New Roman" w:eastAsia="Times New Roman" w:hAnsi="Times New Roman"/>
          <w:sz w:val="20"/>
          <w:szCs w:val="20"/>
          <w:color w:val="auto"/>
        </w:rPr>
      </w:pPr>
    </w:p>
    <w:p>
      <w:pPr>
        <w:jc w:val="both"/>
        <w:ind w:firstLine="757"/>
        <w:spacing w:after="0" w:line="250" w:lineRule="auto"/>
        <w:tabs>
          <w:tab w:leader="none" w:pos="1144"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modification, replacement, renewal or extension of any Lien permitted by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Lien does not extend to any additional property other than (A) after-acquired property covered by any applicable grant clause or financed by Indebtedness permitted under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xml:space="preserve"> and (B) proceeds and products thereof and (ii) the renewal, extension or refinancing of the obligations secured or benefited by such Liens is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w:t>
      </w:r>
    </w:p>
    <w:p>
      <w:pPr>
        <w:spacing w:after="0" w:line="21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Permitted Refinancing of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2" w:name="page243"/>
    <w:bookmarkEnd w:id="242"/>
    <w:p>
      <w:pPr>
        <w:ind w:left="2640" w:hanging="386"/>
        <w:spacing w:after="0"/>
        <w:tabs>
          <w:tab w:leader="none" w:pos="2640" w:val="left"/>
        </w:tabs>
        <w:numPr>
          <w:ilvl w:val="2"/>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was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was secured by a Lien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2"/>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Permitted Refinancing is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1500" w:right="40" w:firstLine="754"/>
        <w:spacing w:after="0" w:line="268" w:lineRule="auto"/>
        <w:tabs>
          <w:tab w:leader="none" w:pos="2644" w:val="left"/>
        </w:tabs>
        <w:numPr>
          <w:ilvl w:val="2"/>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 does not extend to any additional property other than after-acquired property that is affixed or incorporated into the property covered by such Lien and proceeds and products thereof;</w:t>
      </w:r>
    </w:p>
    <w:p>
      <w:pPr>
        <w:spacing w:after="0" w:line="160" w:lineRule="exact"/>
        <w:rPr>
          <w:rFonts w:ascii="Times New Roman" w:cs="Times New Roman" w:eastAsia="Times New Roman" w:hAnsi="Times New Roman"/>
          <w:sz w:val="20"/>
          <w:szCs w:val="20"/>
          <w:color w:val="auto"/>
        </w:rPr>
      </w:pPr>
    </w:p>
    <w:p>
      <w:pPr>
        <w:ind w:left="1500" w:firstLine="754"/>
        <w:spacing w:after="0" w:line="268" w:lineRule="auto"/>
        <w:tabs>
          <w:tab w:leader="none" w:pos="2644" w:val="left"/>
        </w:tabs>
        <w:numPr>
          <w:ilvl w:val="2"/>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modification, replacement, renewal or extension is subject to the limitations under clause (d)(iii)(B) of the definition of Permitted Refinancing; and</w:t>
      </w:r>
    </w:p>
    <w:p>
      <w:pPr>
        <w:spacing w:after="0" w:line="160"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2"/>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Refinancing shall be secured by no greater priority in relation to the Obligations than the Indebtedness being refinanced; and</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and other obligations permitted by </w:t>
      </w:r>
      <w:r>
        <w:rPr>
          <w:rFonts w:ascii="Times New Roman" w:cs="Times New Roman" w:eastAsia="Times New Roman" w:hAnsi="Times New Roman"/>
          <w:sz w:val="20"/>
          <w:szCs w:val="20"/>
          <w:u w:val="single" w:color="auto"/>
          <w:color w:val="auto"/>
        </w:rPr>
        <w:t>Sections 7.03(w)</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to the extent that the underlying Indebtedness subject to such Guarantee is permitted to be secured by a Lien;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Indebtedness referenced in such Sections was otherwise permitted to be secured by a Lien pursuant to another subsection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Pari Passu Lien Debt and/or Junior Lien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18"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Pro Forma Effect to the incurrence of such Indebtedness,</w:t>
      </w:r>
    </w:p>
    <w:p>
      <w:pPr>
        <w:spacing w:after="0" w:line="214"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2"/>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Pari Passu Lien Debt, then the First Lien Net Leverage Ratio measured as of the date of initial attachment of such Lien shall be no greater than (1) the Closing Date First Lien Net Leverage Ratio or (2) the First Lien Net Leverage Ratio immediately prior to such incurrence, or</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2"/>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Junior Lien Debt, either (1) the Total Net Leverage Ratio measured as of the date of incurrence of such Indebtedness (or revolving commitments) shall be no greater than (x) the Closing Date Total Net Leverage Ratio or (y) the Total Net Leverage Ratio immediately prior to such incurrence or (2) the Interest Coverage Ratio for the applicable Test Period is equal to or greater than (x) 2.00 to 1.00 or (y) the Interest Coverage Ratio immediately prior to such incurrence; and</w:t>
      </w:r>
    </w:p>
    <w:p>
      <w:pPr>
        <w:spacing w:after="0" w:line="183" w:lineRule="exact"/>
        <w:rPr>
          <w:sz w:val="20"/>
          <w:szCs w:val="20"/>
          <w:color w:val="auto"/>
        </w:rPr>
      </w:pPr>
    </w:p>
    <w:p>
      <w:pPr>
        <w:ind w:left="760" w:right="20" w:firstLine="1045"/>
        <w:spacing w:after="0" w:line="268" w:lineRule="auto"/>
        <w:tabs>
          <w:tab w:leader="none" w:pos="2203"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Liens (other than with respect to purchase money and similar obligations) are, in each case, subject to an Equal Priority Intercreditor Agreement or Junior Lien Intercreditor Agreement, as applicable; and</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or other obligations in an aggregate principal amount as of the date such Indebtedness is incurred, not to exceed the sum of (i) the greater of (A) 50% of Closing Date EBITDA and (B) 50% of TTM Consolidated Adjusted EBITDA as of the applicable date of determination, in each case determined as of the date such Indebtedness is incurred and (ii) Indebtedness incurred pursuant to the Fixed Incremental Amount pursuant to </w:t>
      </w:r>
      <w:r>
        <w:rPr>
          <w:rFonts w:ascii="Times New Roman" w:cs="Times New Roman" w:eastAsia="Times New Roman" w:hAnsi="Times New Roman"/>
          <w:sz w:val="20"/>
          <w:szCs w:val="20"/>
          <w:u w:val="single" w:color="auto"/>
          <w:color w:val="auto"/>
        </w:rPr>
        <w:t>Section 7.03(y)(ii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Liens created pursuant to (x)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3" w:name="page244"/>
    <w:bookmarkEnd w:id="243"/>
    <w:p>
      <w:pPr>
        <w:jc w:val="both"/>
        <w:spacing w:after="0" w:line="253" w:lineRule="auto"/>
        <w:rPr>
          <w:sz w:val="20"/>
          <w:szCs w:val="20"/>
          <w:color w:val="auto"/>
        </w:rPr>
      </w:pPr>
      <w:r>
        <w:rPr>
          <w:rFonts w:ascii="Times New Roman" w:cs="Times New Roman" w:eastAsia="Times New Roman" w:hAnsi="Times New Roman"/>
          <w:sz w:val="20"/>
          <w:szCs w:val="20"/>
          <w:color w:val="auto"/>
        </w:rPr>
        <w:t>Loan Documents or (y) the Second Lien Credit Documents on the Closing Date (including, in the case of clause (x), any such Liens securing the Delayed Draw Term Loans) will be deemed to have been incurred in reliance on the exception in clause (a) or (b) above, respectively, and shall not be permitted to be reclassified pursuant to this paragraph.</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Any Lien incurred in compliance with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after the Closing Date that is intended to be contractually secured on a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basis with the Obligations will be subject to an Equal Priority Intercreditor Agreement, and any Lien incurred in compliance with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on or after the Closing Date that is intended to be contractually secured on a junior basis will be subject to the Closing Date Intercreditor Agreement or a Junior Lien Intercreditor Agreement.</w:t>
      </w:r>
    </w:p>
    <w:p>
      <w:pPr>
        <w:spacing w:after="0" w:line="17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Make or hold any Investments, except:</w:t>
      </w:r>
    </w:p>
    <w:p>
      <w:pPr>
        <w:spacing w:after="0" w:line="215" w:lineRule="exact"/>
        <w:rPr>
          <w:sz w:val="20"/>
          <w:szCs w:val="20"/>
          <w:color w:val="auto"/>
        </w:rPr>
      </w:pPr>
    </w:p>
    <w:p>
      <w:pPr>
        <w:ind w:left="1160" w:hanging="403"/>
        <w:spacing w:after="0"/>
        <w:tabs>
          <w:tab w:leader="none" w:pos="116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14"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Borrower or any Restricted Subsidiary in the Borrower or any Restricted Subsidiary; and</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spacing w:after="0" w:line="176"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Closing Date or made pursuant to legally binding written contracts in existence on the Closing Date and any modification, replacement, renewal, reinvestment or extension of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Investment permitted pursuant to this </w:t>
      </w:r>
      <w:r>
        <w:rPr>
          <w:rFonts w:ascii="Times New Roman" w:cs="Times New Roman" w:eastAsia="Times New Roman" w:hAnsi="Times New Roman"/>
          <w:sz w:val="20"/>
          <w:szCs w:val="20"/>
          <w:u w:val="single" w:color="auto"/>
          <w:color w:val="auto"/>
        </w:rPr>
        <w:t>Section 7.02(b)</w:t>
      </w:r>
      <w:r>
        <w:rPr>
          <w:rFonts w:ascii="Times New Roman" w:cs="Times New Roman" w:eastAsia="Times New Roman" w:hAnsi="Times New Roman"/>
          <w:sz w:val="20"/>
          <w:szCs w:val="20"/>
          <w:color w:val="auto"/>
        </w:rPr>
        <w:t xml:space="preserve"> is not increased from the amount of such Investment on the Closing Date except pursuant to the terms of such Investment as of the Closing Date or as otherwise permitted by another clause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757"/>
        <w:spacing w:after="0" w:line="259" w:lineRule="auto"/>
        <w:tabs>
          <w:tab w:leader="none" w:pos="1144"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purchase or other acquisition by the Borrower or a Subsidiary of the Borrower (in one transaction or a series of transactions, including by merger or otherwise) of property and assets or businesses of any Person or of assets constituting a business unit, line of business or division of any Person or Equity Interests in a Person that, upon the consummation thereof, will be a Restricted Subsidiary of the Borrower (including as a result of a merger or consolidation) or, in the case of a purchase or acquisition of assets (other than Equity Interests), will be owned by the Borrower or a Restricted Subsidiary of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each purchase or other acquisition made pursuant to this </w:t>
      </w:r>
      <w:r>
        <w:rPr>
          <w:rFonts w:ascii="Times New Roman" w:cs="Times New Roman" w:eastAsia="Times New Roman" w:hAnsi="Times New Roman"/>
          <w:sz w:val="19"/>
          <w:szCs w:val="19"/>
          <w:u w:val="single" w:color="auto"/>
          <w:color w:val="auto"/>
        </w:rPr>
        <w:t>Section 7.02(c)</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b w:val="1"/>
          <w:bCs w:val="1"/>
          <w:color w:val="auto"/>
        </w:rPr>
        <w:t>Permitted Acquisition</w:t>
      </w:r>
      <w:r>
        <w:rPr>
          <w:rFonts w:ascii="Times New Roman" w:cs="Times New Roman" w:eastAsia="Times New Roman" w:hAnsi="Times New Roman"/>
          <w:sz w:val="19"/>
          <w:szCs w:val="19"/>
          <w:color w:val="auto"/>
        </w:rPr>
        <w:t>”) immediately before and immediately after giving Pro Forma Effect to any such purchase or other acquisition, no Specified Event of Default shall have occurred and be continuing;</w:t>
      </w:r>
    </w:p>
    <w:p>
      <w:pPr>
        <w:spacing w:after="0" w:line="169" w:lineRule="exact"/>
        <w:rPr>
          <w:rFonts w:ascii="Times New Roman" w:cs="Times New Roman" w:eastAsia="Times New Roman" w:hAnsi="Times New Roman"/>
          <w:sz w:val="19"/>
          <w:szCs w:val="19"/>
          <w:color w:val="auto"/>
        </w:rPr>
      </w:pPr>
    </w:p>
    <w:p>
      <w:pPr>
        <w:jc w:val="both"/>
        <w:ind w:firstLine="757"/>
        <w:spacing w:after="0" w:line="244" w:lineRule="auto"/>
        <w:tabs>
          <w:tab w:leader="none" w:pos="11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held by a Restricted Subsidiary acquired after the Closing Date or of a Person merged or consolidated into the Borrower or merged or consolidated with a Restricted Subsidiary to the extent that, in each case, such Investments were not made in contemplation of or in connection with such acquisition, merger or consolidation and were in existence on the date of such acquisition, merger or consolidation and (ii) by Unrestricted Subsidiaries entered into (or committed to be made) prior to the date such Unrestricted Subsidiary is designated as a Restricted Subsidiary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to the extent that such Investments were not made (or committed to be made) in contemplation of, or in connection with, such designation and were in existence (or committed to be made) on the date of such designation;</w:t>
      </w:r>
    </w:p>
    <w:p>
      <w:pPr>
        <w:spacing w:after="0" w:line="18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that do not exceed in the aggregate at any time outstanding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4" w:name="page245"/>
    <w:bookmarkEnd w:id="244"/>
    <w:p>
      <w:pPr>
        <w:ind w:left="760" w:right="20" w:firstLine="1045"/>
        <w:spacing w:after="0" w:line="268" w:lineRule="auto"/>
        <w:tabs>
          <w:tab w:leader="none" w:pos="2203"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75% of Closing Date EBITDA and (B) 75% of TTM Consolidated Adjusted EBITDA as of the applicable date of determination, and</w:t>
      </w:r>
    </w:p>
    <w:p>
      <w:pPr>
        <w:spacing w:after="0" w:line="156" w:lineRule="exact"/>
        <w:rPr>
          <w:rFonts w:ascii="Times New Roman" w:cs="Times New Roman" w:eastAsia="Times New Roman" w:hAnsi="Times New Roman"/>
          <w:sz w:val="20"/>
          <w:szCs w:val="20"/>
          <w:color w:val="auto"/>
        </w:rPr>
      </w:pPr>
    </w:p>
    <w:p>
      <w:pPr>
        <w:jc w:val="both"/>
        <w:ind w:left="760" w:firstLine="1045"/>
        <w:spacing w:after="0" w:line="252" w:lineRule="auto"/>
        <w:tabs>
          <w:tab w:leader="none" w:pos="2203"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Available Amount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Specified Event of Default shall have occurred and be continuing or would result therefrom (except to the extent such Investment is funded exclusively in reliance on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and/or</w:t>
      </w:r>
    </w:p>
    <w:p>
      <w:pPr>
        <w:spacing w:after="0" w:line="1"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2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Available Amount);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any Investment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made in any Person that is not a Restricted Subsidiary on the date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Investment (prior to giving effect thereto) and such Person subsequently becomes a Restricted Subsidiary, the Investment initially made in such Person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thereupon be deemed to have been made pursuant to </w:t>
      </w:r>
      <w:r>
        <w:rPr>
          <w:rFonts w:ascii="Times New Roman" w:cs="Times New Roman" w:eastAsia="Times New Roman" w:hAnsi="Times New Roman"/>
          <w:sz w:val="20"/>
          <w:szCs w:val="20"/>
          <w:u w:val="single" w:color="auto"/>
          <w:color w:val="auto"/>
        </w:rPr>
        <w:t>Section 7.02(a)(i)</w:t>
      </w:r>
      <w:r>
        <w:rPr>
          <w:rFonts w:ascii="Times New Roman" w:cs="Times New Roman" w:eastAsia="Times New Roman" w:hAnsi="Times New Roman"/>
          <w:sz w:val="20"/>
          <w:szCs w:val="20"/>
          <w:color w:val="auto"/>
        </w:rPr>
        <w:t xml:space="preserve"> and to not have been made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57"/>
        <w:spacing w:after="0" w:line="253" w:lineRule="auto"/>
        <w:tabs>
          <w:tab w:leader="none" w:pos="11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so long as the First Lien Leverage Ratio (after giving Pro Forma Effect to the incurrence of such Investment and the use of proceeds thereof) for the Test Period immediately preceding the making of such Investment shall be less than or equal to the Closing Date First Lien Leverage Ratio less 0.25 to 1.00;</w:t>
      </w:r>
    </w:p>
    <w:p>
      <w:pPr>
        <w:spacing w:after="0" w:line="176"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Unrestricted Subsidiaries that do not exceed in the aggregate at any time outstanding the greater of (i) 25% of Closing Date EBITDA and (ii) 25% of TTM Consolidated Adjusted EBITDA as of the applicable date of determination;</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solely with Qualified Equity Interests of Holdings (or any direct or indirect parent thereof) or the proceeds from the issuance thereof;</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Joint Venture Investments;</w:t>
      </w:r>
    </w:p>
    <w:p>
      <w:pPr>
        <w:spacing w:after="0" w:line="214"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1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direct or indirect parent) in accordance with </w:t>
      </w:r>
      <w:r>
        <w:rPr>
          <w:rFonts w:ascii="Times New Roman" w:cs="Times New Roman" w:eastAsia="Times New Roman" w:hAnsi="Times New Roman"/>
          <w:sz w:val="20"/>
          <w:szCs w:val="20"/>
          <w:u w:val="single" w:color="auto"/>
          <w:color w:val="auto"/>
        </w:rPr>
        <w:t>Section 7.06(f)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officers, directors and employees of Holdings (or any direct or indirect parent thereof), the Borrower or any Restricted Subsidiary;</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reasonable and customary business-related travel, entertainment, relocation and analogous ordinary business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purposes;</w:t>
      </w:r>
    </w:p>
    <w:p>
      <w:pPr>
        <w:spacing w:after="0" w:line="192"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such Person’s purchase of Equity Interests of Holdings (or any direct or indirect parent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loans or advances are made in cash, the amount of such loans and advances used to acquire such Equity Interests shall be contributed to Holdings in cash; and</w:t>
      </w:r>
    </w:p>
    <w:p>
      <w:pPr>
        <w:spacing w:after="0" w:line="172" w:lineRule="exact"/>
        <w:rPr>
          <w:rFonts w:ascii="Times New Roman" w:cs="Times New Roman" w:eastAsia="Times New Roman" w:hAnsi="Times New Roman"/>
          <w:sz w:val="20"/>
          <w:szCs w:val="20"/>
          <w:color w:val="auto"/>
        </w:rPr>
      </w:pPr>
    </w:p>
    <w:p>
      <w:pPr>
        <w:jc w:val="both"/>
        <w:ind w:left="760" w:firstLine="1045"/>
        <w:spacing w:after="0" w:line="255" w:lineRule="auto"/>
        <w:tabs>
          <w:tab w:leader="none" w:pos="2203"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other purpose;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principal amount outstanding under this clause (iii) shall not exceed the greater of (A) 10% of Closing Date EBITDA and (B) 10% of TTM Consolidated Adjusted EBITDA as of the applicable date of determination;</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Hedge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5" w:name="page246"/>
    <w:bookmarkEnd w:id="245"/>
    <w:p>
      <w:pPr>
        <w:ind w:left="403" w:hanging="403"/>
        <w:spacing w:after="0"/>
        <w:tabs>
          <w:tab w:leader="none" w:pos="403"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notes and other non-cash consideration that is permitted to be received in connection with Dispositions;</w:t>
      </w:r>
    </w:p>
    <w:p>
      <w:pPr>
        <w:spacing w:after="0" w:line="214"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Borrower or any of the Restricted Subsidiaries in assets that are cash or Cash Equivalents or were Cash Equivalents when made;</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76" w:lineRule="exact"/>
        <w:rPr>
          <w:rFonts w:ascii="Times New Roman" w:cs="Times New Roman" w:eastAsia="Times New Roman" w:hAnsi="Times New Roman"/>
          <w:sz w:val="20"/>
          <w:szCs w:val="20"/>
          <w:color w:val="auto"/>
        </w:rPr>
      </w:pPr>
    </w:p>
    <w:p>
      <w:pPr>
        <w:jc w:val="both"/>
        <w:ind w:left="-757" w:right="20" w:firstLine="757"/>
        <w:spacing w:after="0" w:line="253"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Liens, Indebtedness (including Guarantees), fundamental changes, Dispositions and Restricted Payments permitted under </w:t>
      </w:r>
      <w:r>
        <w:rPr>
          <w:rFonts w:ascii="Times New Roman" w:cs="Times New Roman" w:eastAsia="Times New Roman" w:hAnsi="Times New Roman"/>
          <w:sz w:val="20"/>
          <w:szCs w:val="20"/>
          <w:u w:val="single" w:color="auto"/>
          <w:color w:val="auto"/>
        </w:rPr>
        <w:t>Sections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(other than clause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thereof),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(other than clause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thereof) and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(other than clauses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(g)(iv)</w:t>
      </w:r>
      <w:r>
        <w:rPr>
          <w:rFonts w:ascii="Times New Roman" w:cs="Times New Roman" w:eastAsia="Times New Roman" w:hAnsi="Times New Roman"/>
          <w:sz w:val="20"/>
          <w:szCs w:val="20"/>
          <w:color w:val="auto"/>
        </w:rPr>
        <w:t xml:space="preserve"> thereof), respectively;</w:t>
      </w:r>
    </w:p>
    <w:p>
      <w:pPr>
        <w:spacing w:after="0" w:line="176"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Uniform Commercial Code Article 3 endorsements for collection or deposit and Article 4 customary trade arrangements with customers consistent with past practices;</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46"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(i) received in connection with the bankruptcy, workout, recapitalization or reorganization of, or in settlement of delinquent obligations of, or other disputes with, the issuer of such Investment or an Affiliate thereof, (ii) arising in the ordinary course of business or upon the foreclosure with respect to any secured Investment or other transfer of title with respect to any secured Investment in default, (iii) in satisfaction of judgments against other Persons and (iv) as a result of the settlement, compromise or resolutions of litigation, arbitration or other disputes with Persons who are not Affiliates;</w:t>
      </w:r>
    </w:p>
    <w:p>
      <w:pPr>
        <w:spacing w:after="0" w:line="183"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w:t>
      </w:r>
    </w:p>
    <w:p>
      <w:pPr>
        <w:spacing w:after="0" w:line="214" w:lineRule="exact"/>
        <w:rPr>
          <w:rFonts w:ascii="Times New Roman" w:cs="Times New Roman" w:eastAsia="Times New Roman" w:hAnsi="Times New Roman"/>
          <w:sz w:val="20"/>
          <w:szCs w:val="20"/>
          <w:color w:val="auto"/>
        </w:rPr>
      </w:pPr>
    </w:p>
    <w:p>
      <w:pPr>
        <w:ind w:left="-757" w:firstLine="757"/>
        <w:spacing w:after="0" w:line="268"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inventory, supplies, material, services or equipment or the licensing or contribution of intellectual property pursuant to joint marketing arrangements with other Persons;</w:t>
      </w:r>
    </w:p>
    <w:p>
      <w:pPr>
        <w:spacing w:after="0" w:line="160" w:lineRule="exact"/>
        <w:rPr>
          <w:rFonts w:ascii="Times New Roman" w:cs="Times New Roman" w:eastAsia="Times New Roman" w:hAnsi="Times New Roman"/>
          <w:sz w:val="20"/>
          <w:szCs w:val="20"/>
          <w:color w:val="auto"/>
        </w:rPr>
      </w:pPr>
    </w:p>
    <w:p>
      <w:pPr>
        <w:ind w:left="-757" w:firstLine="757"/>
        <w:spacing w:after="0" w:line="268"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in connection with obtaining, maintaining or renewing client contracts and loans or advances made to distributors in the ordinary course of business;</w:t>
      </w:r>
    </w:p>
    <w:p>
      <w:pPr>
        <w:spacing w:after="0" w:line="160" w:lineRule="exact"/>
        <w:rPr>
          <w:rFonts w:ascii="Times New Roman" w:cs="Times New Roman" w:eastAsia="Times New Roman" w:hAnsi="Times New Roman"/>
          <w:sz w:val="20"/>
          <w:szCs w:val="20"/>
          <w:color w:val="auto"/>
        </w:rPr>
      </w:pPr>
    </w:p>
    <w:p>
      <w:pPr>
        <w:ind w:left="-757" w:right="40" w:firstLine="757"/>
        <w:spacing w:after="0" w:line="268"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Borrower or any of the Restricted Subsidiaries of leases (other than Capitalized Leases) or of other obligations that do not constitute Indebtedness, in each case entered into in the ordinary course of business;</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in a Securitization Subsidiary or any Investment by a Securitization Subsidiary in any other Person in connection with a Qualified Securitization Financing;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Investment in a Securitization Subsidiary is of Securitization Assets or equity, and (ii) distributions or payments of Securitization Fees and purchases of Securitization Assets pursuant to a Securitization Repurchase Obligation in connection with a Qualified Securitization Financing;</w:t>
      </w:r>
    </w:p>
    <w:p>
      <w:pPr>
        <w:spacing w:after="0" w:line="178"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a Subsidiary that is not a Loan Party with the cash or other assets received by it pursuant to a substantially concurrent Investment made in such Subsidiary that was permitted by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(x) shall not be used for Investments in Unrestricted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310515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46" w:name="page247"/>
    <w:bookmarkEnd w:id="246"/>
    <w:p>
      <w:pPr>
        <w:jc w:val="both"/>
        <w:ind w:firstLine="757"/>
        <w:spacing w:after="0" w:line="262" w:lineRule="auto"/>
        <w:tabs>
          <w:tab w:leader="none" w:pos="114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Similar Businesses that do not exceed in the aggregate at any time outstanding the greater of (i) 50% of Closing Date EBITDA and (ii) 50% of TTM Consolidated Adjusted EBITDA as of the applicable date of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any Investment pursuant to this </w:t>
      </w:r>
      <w:r>
        <w:rPr>
          <w:rFonts w:ascii="Times New Roman" w:cs="Times New Roman" w:eastAsia="Times New Roman" w:hAnsi="Times New Roman"/>
          <w:sz w:val="19"/>
          <w:szCs w:val="19"/>
          <w:u w:val="single" w:color="auto"/>
          <w:color w:val="auto"/>
        </w:rPr>
        <w:t>clause (y)</w:t>
      </w:r>
      <w:r>
        <w:rPr>
          <w:rFonts w:ascii="Times New Roman" w:cs="Times New Roman" w:eastAsia="Times New Roman" w:hAnsi="Times New Roman"/>
          <w:sz w:val="19"/>
          <w:szCs w:val="19"/>
          <w:color w:val="auto"/>
        </w:rPr>
        <w:t xml:space="preserve"> is made in any Person that is not a Restricted Subsidiary on the date of such Investment (prior to giving effect thereto) and such Person subsequently becomes a Restricted Subsidiary, the Investment initially made in such Person pursuant to this </w:t>
      </w:r>
      <w:r>
        <w:rPr>
          <w:rFonts w:ascii="Times New Roman" w:cs="Times New Roman" w:eastAsia="Times New Roman" w:hAnsi="Times New Roman"/>
          <w:sz w:val="19"/>
          <w:szCs w:val="19"/>
          <w:u w:val="single" w:color="auto"/>
          <w:color w:val="auto"/>
        </w:rPr>
        <w:t>clause (y)</w:t>
      </w:r>
      <w:r>
        <w:rPr>
          <w:rFonts w:ascii="Times New Roman" w:cs="Times New Roman" w:eastAsia="Times New Roman" w:hAnsi="Times New Roman"/>
          <w:sz w:val="19"/>
          <w:szCs w:val="19"/>
          <w:color w:val="auto"/>
        </w:rPr>
        <w:t xml:space="preserve"> shall thereupon be deemed to have been made pursuant to </w:t>
      </w:r>
      <w:r>
        <w:rPr>
          <w:rFonts w:ascii="Times New Roman" w:cs="Times New Roman" w:eastAsia="Times New Roman" w:hAnsi="Times New Roman"/>
          <w:sz w:val="19"/>
          <w:szCs w:val="19"/>
          <w:u w:val="single" w:color="auto"/>
          <w:color w:val="auto"/>
        </w:rPr>
        <w:t>Section 7.02(a)(i)</w:t>
      </w:r>
      <w:r>
        <w:rPr>
          <w:rFonts w:ascii="Times New Roman" w:cs="Times New Roman" w:eastAsia="Times New Roman" w:hAnsi="Times New Roman"/>
          <w:sz w:val="19"/>
          <w:szCs w:val="19"/>
          <w:color w:val="auto"/>
        </w:rPr>
        <w:t xml:space="preserve"> and to not have been made pursuant to this </w:t>
      </w:r>
      <w:r>
        <w:rPr>
          <w:rFonts w:ascii="Times New Roman" w:cs="Times New Roman" w:eastAsia="Times New Roman" w:hAnsi="Times New Roman"/>
          <w:sz w:val="19"/>
          <w:szCs w:val="19"/>
          <w:u w:val="single" w:color="auto"/>
          <w:color w:val="auto"/>
        </w:rPr>
        <w:t>clause (y)</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 amount of any non-cash Investments will be the fair market value thereof at the time made. To the extent any Investment in any Person is made in compliance with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in reliance on a category above that is subject to a Dollar-denominated restriction on the making of Investments and, subsequently, such Person returns to the Borrower, any other Loan Party or, to the extent applicable, any Restricted Subsidiary all or any portion of such Investment (in the form of a dividend, distribution, liquidation or otherwise but excluding intercompany Indebtedness), such return shall be deemed to be credited to the Dollar-denominated category against which the Investment is then charged (but in any event not in an amount that would result in the aggregate dollar amount able to be invested in reliance on such category to exceed such Dollar-denominated restriction). To the extent the category subject to a Dollar-denominated restriction is also subject to a percentage of TTM Consolidated Adjusted EBITDA restriction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For purposes of determining compliance with any Dollar-denominated (or percentage of TTM Consolidated Adjusted EBITDA, if greater) restriction on the making of Investments, the Dollar equivalent amount of the Investment denominated in a foreign currency shall be calculated based on the relevant currency exchange rate in effect on the date such Investment was made.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Create, incur, assume or suffer to exist any Indebtedness or issue any Disqualified Equity Interest, other than:</w:t>
      </w:r>
    </w:p>
    <w:p>
      <w:pPr>
        <w:spacing w:after="0" w:line="161" w:lineRule="exact"/>
        <w:rPr>
          <w:sz w:val="20"/>
          <w:szCs w:val="20"/>
          <w:color w:val="auto"/>
        </w:rPr>
      </w:pPr>
    </w:p>
    <w:p>
      <w:pPr>
        <w:ind w:left="1160" w:hanging="403"/>
        <w:spacing w:after="0"/>
        <w:tabs>
          <w:tab w:leader="none" w:pos="116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 (including Incremental Loans and Extended Loans);</w:t>
      </w:r>
    </w:p>
    <w:p>
      <w:pPr>
        <w:spacing w:after="0" w:line="21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Loan Parties in respect of (i) the Second Lien Initial Term Loans incurred on the Closing Date in an aggregate principal amount not to exceed $225,000,000, (ii) Second Lien Credit Agreement Refinancing Indebtedness (as defined in the Second Lien Credit Agreement as in effect on the date hereof), (iii) any incremental facility permitted under the Second Lien Credit Agreement in accordance with Section 2.16 thereof as such section (including any defined terms used therein) is in effect on the date hereof (including any Incremental Equivalent Debt (as defined in the Second Lien Credit Agreement as in effect on the date hereof) and (iv) any Permitted Refinancing in respect of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if such Indebtedness is secured by Liens on assets constituting Collateral such Liens are junior in priority to the Liens on such Collateral that secure the Obligations or is unsecured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(A) such Indebtedness may be unsecured and (B) any Incremental Equivalent Debt (as defined in the Second Lien Credit Agreement as in effect on the date hereof) incurred as “Senior Priority Lien Debt” (as defined in the Second Lien Credit Agreement as in effect on the date hereof)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9"/>
          <w:szCs w:val="19"/>
          <w:color w:val="auto"/>
        </w:rPr>
        <w:t xml:space="preserve">independently be incurred as an Incremental Facility pursuant to </w:t>
      </w:r>
      <w:r>
        <w:rPr>
          <w:rFonts w:ascii="Times New Roman" w:cs="Times New Roman" w:eastAsia="Times New Roman" w:hAnsi="Times New Roman"/>
          <w:sz w:val="19"/>
          <w:szCs w:val="19"/>
          <w:u w:val="single" w:color="auto"/>
          <w:color w:val="auto"/>
        </w:rPr>
        <w:t>Section 7.03(a)</w:t>
      </w:r>
      <w:r>
        <w:rPr>
          <w:rFonts w:ascii="Times New Roman" w:cs="Times New Roman" w:eastAsia="Times New Roman" w:hAnsi="Times New Roman"/>
          <w:sz w:val="19"/>
          <w:szCs w:val="19"/>
          <w:color w:val="auto"/>
        </w:rPr>
        <w:t xml:space="preserve"> or Incremental Equivalent Debt pursuant to </w:t>
      </w:r>
      <w:r>
        <w:rPr>
          <w:rFonts w:ascii="Times New Roman" w:cs="Times New Roman" w:eastAsia="Times New Roman" w:hAnsi="Times New Roman"/>
          <w:sz w:val="19"/>
          <w:szCs w:val="19"/>
          <w:u w:val="single" w:color="auto"/>
          <w:color w:val="auto"/>
        </w:rPr>
        <w:t>Section 7.03(i)</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757"/>
        <w:spacing w:after="0" w:line="253" w:lineRule="auto"/>
        <w:tabs>
          <w:tab w:leader="none" w:pos="114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existing on the Closing Date (other than Indebtedness under the Second Lien Credit Documents) and any Permitted Refinancing thereof and (ii) intercompany Indebtedness of Holdings, the Borrower or any Restricted Subsidiary outstanding on the Closing Date;</w:t>
      </w:r>
    </w:p>
    <w:p>
      <w:pPr>
        <w:spacing w:after="0" w:line="176"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 Attributable Indebtedness relating to any transaction, (B) Indebtedness (including Capitalized Leases) of the Borrower and the Restricted Subsidiaries financing the acquisition, construction, repair, replacement or improvement of fixed or capital assets, whether through the direct purchase of assets or the Equity Interests of any Person owning such assets, so long as such Indebtedness is incurred concurrently with, or within two-hundred and seventy days after, the applicable acquisition, construction, repair, replacement or improvement and (C) Indebtedness arising from the conversion of obligations of the Borrower or any Restricted Subsidiary under or pursuant to any “synthetic lease” transactions to Indebtedness of the Borrower or such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principal amount of such Indebtedness at any one time outstanding incurred pursuant to this clause (d) shall not exceed the greater of (I) 50% of Closing Date EBITDA and (II) 50% of TTM Consolidated Adjusted EBITDA as of the applicable date of determination, in each case determined at the time of incurrence, and (ii) any Permitted Refinancing of any Indebtedness incurred under </w:t>
      </w:r>
      <w:r>
        <w:rPr>
          <w:rFonts w:ascii="Times New Roman" w:cs="Times New Roman" w:eastAsia="Times New Roman" w:hAnsi="Times New Roman"/>
          <w:sz w:val="20"/>
          <w:szCs w:val="20"/>
          <w:u w:val="single" w:color="auto"/>
          <w:color w:val="auto"/>
        </w:rPr>
        <w:t>Section 7.03(d)(i)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Attributable Indebtedness incurred in connection with a Sale Leaseback Transaction shall not be subject to the previous proviso if the proceeds thereof are used to prepay Loans or other Indebtedness secured by a Lien on the assets subject to such Sale Leaseback Transaction;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the purposes of determining compliance with this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any lease that is treated under GAAP as an operating lease at the time such lease is executed but is subsequently treated under GAAP as a Capitalized Lease as the result of a change in GAAP (or interpretations thereof) after the Closing Date shall not be treated as Indebtedness;</w:t>
      </w:r>
    </w:p>
    <w:p>
      <w:pPr>
        <w:spacing w:after="0" w:line="19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of the Restricted Subsidiaries owing to the Borrower or any other Restricted Subsidiary;</w:t>
      </w:r>
    </w:p>
    <w:p>
      <w:pPr>
        <w:spacing w:after="0" w:line="214" w:lineRule="exact"/>
        <w:rPr>
          <w:rFonts w:ascii="Times New Roman" w:cs="Times New Roman" w:eastAsia="Times New Roman" w:hAnsi="Times New Roman"/>
          <w:sz w:val="20"/>
          <w:szCs w:val="20"/>
          <w:color w:val="auto"/>
        </w:rPr>
      </w:pPr>
    </w:p>
    <w:p>
      <w:pPr>
        <w:jc w:val="both"/>
        <w:ind w:firstLine="757"/>
        <w:spacing w:after="0" w:line="273" w:lineRule="auto"/>
        <w:tabs>
          <w:tab w:leader="none" w:pos="1144"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(i) Obligations under Secured Hedge Agreements and (ii) Hedge Agreements designed to hedge against Holdings’, the Borrower’s or any Restricted Subsidiary’s exposure to interest rates, foreign exchange rates or commodities pricing risks, in each case of clauses (i) and (ii), incurred in the ordinary course of business and not for speculative purposes and Guarantees thereof;</w:t>
      </w:r>
    </w:p>
    <w:p>
      <w:pPr>
        <w:spacing w:after="0" w:line="157" w:lineRule="exact"/>
        <w:rPr>
          <w:rFonts w:ascii="Times New Roman" w:cs="Times New Roman" w:eastAsia="Times New Roman" w:hAnsi="Times New Roman"/>
          <w:sz w:val="19"/>
          <w:szCs w:val="19"/>
          <w:color w:val="auto"/>
        </w:rPr>
      </w:pPr>
    </w:p>
    <w:p>
      <w:pPr>
        <w:jc w:val="both"/>
        <w:ind w:right="20" w:firstLine="757"/>
        <w:spacing w:after="0" w:line="249" w:lineRule="auto"/>
        <w:tabs>
          <w:tab w:leader="none" w:pos="1144"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incurred by a Non-Loan Party which, when aggregated with the principal amount of all other Indebtedness incurred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and then outstanding, does not exceed the greater of (A) 25% of Closing Date EBITDA and (B) 25% of TTM Consolidated Adjusted EBITDA as of the applicable date of determination and (ii) Indebtedness of Loan Parties that is recourse only to Excluded Assets;</w:t>
      </w:r>
    </w:p>
    <w:p>
      <w:pPr>
        <w:spacing w:after="0" w:line="1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Agreement Refinancing Indebtedness and any Permitted Refinancing thereof;</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Equivalent Debt and any Permitted Refinancing thereof;</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Ratio Debt and any Permitted Refinancing thereof;</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 Indebtedness and any Permitted Refinancing thereof;</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48" w:name="page249"/>
    <w:bookmarkEnd w:id="248"/>
    <w:p>
      <w:pPr>
        <w:jc w:val="both"/>
        <w:ind w:left="3" w:firstLine="1045"/>
        <w:spacing w:after="0" w:line="245" w:lineRule="auto"/>
        <w:tabs>
          <w:tab w:leader="none" w:pos="1447"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Person that becomes a Restricted Subsidiary after the Closing Date pursuant to an Investment permitted hereunder, which Indebtedness is existing at the time such Person becomes a Restricted Subsidiary and is not incurred in contemplation of such Person becoming a Restricted Subsidiary that is non-recourse to (and is not assumed by any of) the Borrower, Holdings or any Restricted Subsidiary (other than any Subsidiary of such Person that is a Subsidiary on the date such Person becomes a Restricted Subsidiary after the Closing Date) and is either (A) unsecured or (B) secured only by the assets of such Restricted Subsidiary by Liens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3" w:firstLine="1045"/>
        <w:spacing w:after="0" w:line="247" w:lineRule="auto"/>
        <w:tabs>
          <w:tab w:leader="none" w:pos="1447"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Borrower or any Restricted Subsidiary assumed in connection with any Permitted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amount of debt assumed by Restricted Subsidiaries that are not Subsidiary Guarantors pursuant to this clause (l)(ii), when aggregated with the amount of Indebtedness incurred or assumed by Restricted Subsidiaries that are not Subsidiary Guarantors pursuant to clause (l)(iii) below does not exceed the greater of (A) 25% of Closing Date EBITDA and (B) 25% of TTM Consolidated Adjusted EBITDA of the Borrower on a Pro Forma Basis in each case determined at the time of incurrence;</w:t>
      </w:r>
    </w:p>
    <w:p>
      <w:pPr>
        <w:spacing w:after="0" w:line="182" w:lineRule="exact"/>
        <w:rPr>
          <w:rFonts w:ascii="Times New Roman" w:cs="Times New Roman" w:eastAsia="Times New Roman" w:hAnsi="Times New Roman"/>
          <w:sz w:val="20"/>
          <w:szCs w:val="20"/>
          <w:color w:val="auto"/>
        </w:rPr>
      </w:pPr>
    </w:p>
    <w:p>
      <w:pPr>
        <w:jc w:val="both"/>
        <w:ind w:left="3" w:firstLine="1045"/>
        <w:spacing w:after="0" w:line="257" w:lineRule="auto"/>
        <w:tabs>
          <w:tab w:leader="none" w:pos="1447"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the Borrower or any Restricted Subsidiary incurred or assumed in connection with any permitted Investment (other than pursuant to </w:t>
      </w:r>
      <w:r>
        <w:rPr>
          <w:rFonts w:ascii="Times New Roman" w:cs="Times New Roman" w:eastAsia="Times New Roman" w:hAnsi="Times New Roman"/>
          <w:sz w:val="19"/>
          <w:szCs w:val="19"/>
          <w:u w:val="single" w:color="auto"/>
          <w:color w:val="auto"/>
        </w:rPr>
        <w:t>Section 7.02(p)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the aggregate principal amount of such Indebtedness incurred or assumed by Restricted Subsidiaries that are not Subsidiary Guarantors, at any time outstanding pursuant to this clause (l)(iii) does not exceed, when aggregated with all Indebtedness assumed by Restricted Subsidiaries that are not Subsidiary Guarantors pursuant to clause (l)</w:t>
      </w:r>
    </w:p>
    <w:p>
      <w:pPr>
        <w:spacing w:after="0" w:line="3" w:lineRule="exact"/>
        <w:rPr>
          <w:rFonts w:ascii="Times New Roman" w:cs="Times New Roman" w:eastAsia="Times New Roman" w:hAnsi="Times New Roman"/>
          <w:sz w:val="19"/>
          <w:szCs w:val="19"/>
          <w:color w:val="auto"/>
        </w:rPr>
      </w:pPr>
    </w:p>
    <w:p>
      <w:pPr>
        <w:ind w:left="3" w:right="20" w:hanging="3"/>
        <w:spacing w:after="0" w:line="245" w:lineRule="auto"/>
        <w:tabs>
          <w:tab w:leader="none" w:pos="298"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the greater of (A) 25% of Closing Date EBITDA and (B) 25% of TTM Consolidated Adjusted EBITDA of the Borrower on a Pro Forma Basis, in each case determined at the time of incurrence; and</w:t>
      </w:r>
    </w:p>
    <w:p>
      <w:pPr>
        <w:spacing w:after="0" w:line="182"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Refinancing of the foregoing;</w:t>
      </w:r>
    </w:p>
    <w:p>
      <w:pPr>
        <w:spacing w:after="0" w:line="211" w:lineRule="exact"/>
        <w:rPr>
          <w:sz w:val="20"/>
          <w:szCs w:val="20"/>
          <w:color w:val="auto"/>
        </w:rPr>
      </w:pPr>
    </w:p>
    <w:p>
      <w:pPr>
        <w:ind w:left="103" w:right="12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with respect to each of the foregoing clauses (ii) through (iv), immediately after giving effect to the incurrence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assumption of such Indebtedness and such other transactions contemplated in such clauses, either (I) the Interest Coverage Ratio shall be equal to or greater than 2.00 to 1.00 or the Interest Coverage Ratio immediately prior to such incurrence or assumption of such Indebtedness or (II) the Total Net Leverage Ratio shall be no greater than the Closing Date Total Net Leverage Ratio or the Total Net Leverage Ratio immediately prior to such incurrence or assumption of such Indebtedness; in the case of each of clauses</w:t>
      </w:r>
    </w:p>
    <w:p>
      <w:pPr>
        <w:spacing w:after="0" w:line="2" w:lineRule="exact"/>
        <w:rPr>
          <w:sz w:val="20"/>
          <w:szCs w:val="20"/>
          <w:color w:val="auto"/>
        </w:rPr>
      </w:pPr>
    </w:p>
    <w:p>
      <w:pPr>
        <w:ind w:left="103" w:right="40" w:hanging="9"/>
        <w:spacing w:after="0" w:line="242" w:lineRule="auto"/>
        <w:tabs>
          <w:tab w:leader="none" w:pos="35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 after giving Pro Forma Effect to the incurrence of such Indebtedness and the use of proceeds thereof and measured as of and for the Test Period immediately preceding the incurrence or assumption of such Indebtedness for which financial statements are available;</w:t>
      </w:r>
    </w:p>
    <w:p>
      <w:pPr>
        <w:spacing w:after="0" w:line="185" w:lineRule="exact"/>
        <w:rPr>
          <w:rFonts w:ascii="Times New Roman" w:cs="Times New Roman" w:eastAsia="Times New Roman" w:hAnsi="Times New Roman"/>
          <w:sz w:val="20"/>
          <w:szCs w:val="20"/>
          <w:color w:val="auto"/>
        </w:rPr>
      </w:pPr>
    </w:p>
    <w:p>
      <w:pPr>
        <w:jc w:val="both"/>
        <w:ind w:left="-757" w:right="20" w:firstLine="757"/>
        <w:spacing w:after="0" w:line="253" w:lineRule="auto"/>
        <w:tabs>
          <w:tab w:leader="none" w:pos="388"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by the Borrower or any of the Restricted Subsidiaries in a Permitted Acquisition, any other Investment expressly permitted hereunder (other than pursuant to </w:t>
      </w:r>
      <w:r>
        <w:rPr>
          <w:rFonts w:ascii="Times New Roman" w:cs="Times New Roman" w:eastAsia="Times New Roman" w:hAnsi="Times New Roman"/>
          <w:sz w:val="20"/>
          <w:szCs w:val="20"/>
          <w:u w:val="single" w:color="auto"/>
          <w:color w:val="auto"/>
        </w:rPr>
        <w:t>Section 7.02(p)</w:t>
      </w:r>
      <w:r>
        <w:rPr>
          <w:rFonts w:ascii="Times New Roman" w:cs="Times New Roman" w:eastAsia="Times New Roman" w:hAnsi="Times New Roman"/>
          <w:sz w:val="20"/>
          <w:szCs w:val="20"/>
          <w:color w:val="auto"/>
        </w:rPr>
        <w:t>) or any Disposition, in each case to the extent constituting indemnification obligations or obligations in respect of purchase price (including earn-outs) or other similar adjustments;</w:t>
      </w:r>
    </w:p>
    <w:p>
      <w:pPr>
        <w:spacing w:after="0" w:line="176"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of the Borrower and its Subsidiaries incurred in the ordinary course of business;</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obligations of the Borrower and the Restricted Subsidiaries under deferred compensation or other similar arrangements with employees incurred by such Person in connection with the Transactions and Permitted Acquisitions or any other Investment expressly permitted hereunder (other than pursuant to </w:t>
      </w:r>
      <w:r>
        <w:rPr>
          <w:rFonts w:ascii="Times New Roman" w:cs="Times New Roman" w:eastAsia="Times New Roman" w:hAnsi="Times New Roman"/>
          <w:sz w:val="20"/>
          <w:szCs w:val="20"/>
          <w:u w:val="single" w:color="auto"/>
          <w:color w:val="auto"/>
        </w:rPr>
        <w:t>Section 7.02(p)</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310515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49" w:name="page250"/>
    <w:bookmarkEnd w:id="249"/>
    <w:p>
      <w:pPr>
        <w:jc w:val="both"/>
        <w:ind w:left="-757" w:right="20" w:firstLine="757"/>
        <w:spacing w:after="0" w:line="253"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to current or former officers, directors, managers, consultants, and employees, their respective estates, spouses or former spouses to finance the purchase or redemption of Equity Interests of Holdings (or any direct or indirect parent thereof) permitted by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757" w:right="20" w:firstLine="757"/>
        <w:spacing w:after="0" w:line="249"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Borrower or any of the Restricted Subsidiaries in respect of letters of credit, bank guarantees, bankers’ acceptances, warehouse receipts or similar instruments issued or created in the ordinary course of business consistent with past practice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78" w:lineRule="exact"/>
        <w:rPr>
          <w:rFonts w:ascii="Times New Roman" w:cs="Times New Roman" w:eastAsia="Times New Roman" w:hAnsi="Times New Roman"/>
          <w:sz w:val="20"/>
          <w:szCs w:val="20"/>
          <w:color w:val="auto"/>
        </w:rPr>
      </w:pPr>
    </w:p>
    <w:p>
      <w:pPr>
        <w:ind w:left="-757" w:right="60" w:firstLine="757"/>
        <w:spacing w:after="0" w:line="268"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the financing of insurance premiums or (ii) take-or-pay obligations contained in supply arrangements, in each case, incurred in the ordinary course of business;</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practices;</w:t>
      </w:r>
    </w:p>
    <w:p>
      <w:pPr>
        <w:spacing w:after="0" w:line="176"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a Securitization Subsidiary in a Qualified Securitization Financing that is not recourse (except for Standard Securitization Undertakings) to the Borrower or any of the Restricted Subsidiaries;</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in respect of letters of credit issued for the account of the Borrower or any Restricted Subsidiary so long as (A) such Indebtedness is unsecured and (B) the aggregate face amount of such letters of credit does not exceed the greater of (I) 10% of Closing Date EBITDA and (II) 10% of TTM Consolidated Adjusted EBITDA, in each case determined at the time of issuance of such letter of credit and (ii) Indebtedness in respect of letters of credit that are fully cash collateralized;</w:t>
      </w:r>
    </w:p>
    <w:p>
      <w:pPr>
        <w:spacing w:after="0" w:line="178"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Obligations in respect of Cash Management Obligations and (ii) other Indebtedness in respect of netting services, automatic clearinghouse arrangements, overdraft protections, employee credit card programs and other cash management and similar arrangements, in each case of clauses (i) and (ii), incurred in the ordinary course of business and any Guarantees thereof;</w:t>
      </w:r>
    </w:p>
    <w:p>
      <w:pPr>
        <w:spacing w:after="0" w:line="176" w:lineRule="exact"/>
        <w:rPr>
          <w:rFonts w:ascii="Times New Roman" w:cs="Times New Roman" w:eastAsia="Times New Roman" w:hAnsi="Times New Roman"/>
          <w:sz w:val="20"/>
          <w:szCs w:val="20"/>
          <w:color w:val="auto"/>
        </w:rPr>
      </w:pPr>
    </w:p>
    <w:p>
      <w:pPr>
        <w:jc w:val="both"/>
        <w:ind w:left="-757" w:firstLine="757"/>
        <w:spacing w:after="0" w:line="244"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and the Restricted Subsidiaries in respect of Indebtedness of the Borrower or any of the Restricted Subsidiaries otherwise permitted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 Guarantee by any Restricted Subsidiary of any Junior Financing shall be permitted unless such Restricted Subsidiary shall have also provided a Guarantee of the Obligations substantially on the terms set forth in the Guaranty, (B) if the Indebtedness being Guaranteed is subordinated to the Obligations, such Guarantee shall be subordinated to the Guaranty on terms at least as favorable to the Lenders as those contained in the subordination terms with respect to such Indebtedness and (C) any Guarantee by the Borrower or any Subsidiary Guarantor of Indebtedness of a Restricted Subsidiary that is not a Subsidiary Guarantor is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7.02(p)</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38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on behalf of, or representing Guarantees of Indebtedness of, any Joint Ventures in an aggregate principal amount at any time outstanding not to exceed the greater of (i) 25% of Closing Date EBITDA and (ii) 25% of TTM Consolidated Adjusted EBITDA as of the applicable date of determination, in each case determined at the time of incurrence, and any Permitted Refinancing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311785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50" w:name="page251"/>
    <w:bookmarkEnd w:id="250"/>
    <w:p>
      <w:pPr>
        <w:jc w:val="both"/>
        <w:ind w:right="20" w:firstLine="757"/>
        <w:spacing w:after="0" w:line="249" w:lineRule="auto"/>
        <w:tabs>
          <w:tab w:leader="none" w:pos="11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 the Restricted Subsidiaries in an aggregate principal amount at any time outstanding not to exceed the sum of (i) the greater of (A) 75% of Closing Date EBITDA and (B) 75% of TTM Consolidated Adjusted EBITDA as of the applicable date of determination, in each case determined at the time of incurrence and (ii) the Fixed Incremental Amount, and any Permitted Refinancing of the foregoing; and</w:t>
      </w:r>
    </w:p>
    <w:p>
      <w:pPr>
        <w:spacing w:after="0" w:line="178"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(if any), interest (including post-petition interest), fees, expenses, charges and additional or contingent interest on obligations described in clauses (a) through (y) above.</w:t>
      </w:r>
    </w:p>
    <w:p>
      <w:pPr>
        <w:spacing w:after="0" w:line="16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Indebtedness created pursuant to (i) the Loan Documents or (ii) the Second Lien Credit Documents on the Closing Date (including, in the case of clause (i), any Delayed Draw Term Loans) will be deemed to have been incurred in reliance on the exception in clauses (a) or (b), respectively, above and will not be permitted to be reclassified pursuant to this paragraph.</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any Dollar-denominated (or percentage of TTM Consolidated Adjusted EBITDA, if greater)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Indebtedness is incurred to refinance other Indebtedness denominated in a foreign currency, and such refinancing would cause the applicable Dollar-denominated (or percentage of TTM Consolidated Adjusted EBITDA, if greater) restriction to be exceeded if calculated at the relevant currency exchange rate in effect on the date of such refinancing, such Dollar-denominated (or percentage of TTM Consolidated Adjusted EBITDA, if greater) restriction will be deemed not to have been exceeded so long as the principal amount of such refinancing Indebtedness does not exceed the principal amount of such Indebtedness being refinanced (</w:t>
      </w:r>
      <w:r>
        <w:rPr>
          <w:rFonts w:ascii="Times New Roman" w:cs="Times New Roman" w:eastAsia="Times New Roman" w:hAnsi="Times New Roman"/>
          <w:sz w:val="19"/>
          <w:szCs w:val="19"/>
          <w:i w:val="1"/>
          <w:iCs w:val="1"/>
          <w:u w:val="single" w:color="auto"/>
          <w:color w:val="auto"/>
        </w:rPr>
        <w:t>plus</w:t>
      </w:r>
      <w:r>
        <w:rPr>
          <w:rFonts w:ascii="Times New Roman" w:cs="Times New Roman" w:eastAsia="Times New Roman" w:hAnsi="Times New Roman"/>
          <w:sz w:val="19"/>
          <w:szCs w:val="19"/>
          <w:color w:val="auto"/>
        </w:rPr>
        <w:t xml:space="preserve"> unpaid accrued interest and premium (including tender premiums) thereon and underwriting discounts, defeasance costs, fees, commissions and expenses in connection therewith).</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The accrual of interest and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7.04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Merge, dissolve, liquidate, consolidate or amalgamate with or into another Person, or effect a Division, except that:</w:t>
      </w:r>
    </w:p>
    <w:p>
      <w:pPr>
        <w:spacing w:after="0" w:line="161" w:lineRule="exact"/>
        <w:rPr>
          <w:sz w:val="20"/>
          <w:szCs w:val="20"/>
          <w:color w:val="auto"/>
        </w:rPr>
      </w:pPr>
    </w:p>
    <w:p>
      <w:pPr>
        <w:ind w:right="20" w:firstLine="757"/>
        <w:spacing w:after="0" w:line="268" w:lineRule="auto"/>
        <w:tabs>
          <w:tab w:leader="none" w:pos="114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or any Restricted Subsidiary may merge or consolidate with the Borrower (including a merger, the purpose of which is to reorganize the Borrower into a new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be the continuing or surviving Person;</w:t>
      </w:r>
    </w:p>
    <w:p>
      <w:pPr>
        <w:spacing w:after="0" w:line="214"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merger or consolidation does not result in the Borrower ceasing to be organized under the Laws of the United States, any state thereof or the District of Columbia;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1" w:name="page252"/>
    <w:bookmarkEnd w:id="251"/>
    <w:p>
      <w:pPr>
        <w:jc w:val="both"/>
        <w:ind w:left="760" w:firstLine="1045"/>
        <w:spacing w:after="0" w:line="244" w:lineRule="auto"/>
        <w:tabs>
          <w:tab w:leader="none" w:pos="2203" w:val="left"/>
        </w:tabs>
        <w:numPr>
          <w:ilvl w:val="2"/>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merger or consolidation of Holdings with and into the Borrower, (A) no Event of Default shall exist at such time or after giving effect to such merger or consolidation, (B) after giving effect to such merger or consolidation, the direct parent of the Borrower shall expressly assume all the obligations of Holdings under this Agreement and the other Loan Documents to which Holdings is a party pursuant to a supplement hereto or thereto in form reasonably satisfactory to the Administrative Agent and (C) such direct parent of the Borrower shall concurrently become a Guarantor and pledge 100% of the Equity Interest of the Borrower to the Administrative Agent as Collateral to secure the Obligations in form reasonably satisfactory to the Administrative Agent;</w:t>
      </w:r>
    </w:p>
    <w:p>
      <w:pPr>
        <w:spacing w:after="0" w:line="18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may merge or consolidate with or into any other Restricted Subsidiary or liquidate or dissolve;</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the purpose of which is to reincorporate or reorganize a Restricted Subsidiary in another jurisdiction shall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w:t>
      </w:r>
    </w:p>
    <w:p>
      <w:pPr>
        <w:spacing w:after="0" w:line="192" w:lineRule="exact"/>
        <w:rPr>
          <w:rFonts w:ascii="Times New Roman" w:cs="Times New Roman" w:eastAsia="Times New Roman" w:hAnsi="Times New Roman"/>
          <w:sz w:val="20"/>
          <w:szCs w:val="20"/>
          <w:color w:val="auto"/>
        </w:rPr>
      </w:pPr>
    </w:p>
    <w:p>
      <w:pPr>
        <w:jc w:val="both"/>
        <w:ind w:firstLine="757"/>
        <w:spacing w:after="0" w:line="263" w:lineRule="auto"/>
        <w:tabs>
          <w:tab w:leader="none" w:pos="1144"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may liquidate or dissolve or change its legal form if the Borrower determines in good faith that such action is in the best interests of the Borrower and the Restricted Subsidiaries and is not materially disadvantageous to the Lenders, </w:t>
      </w:r>
      <w:r>
        <w:rPr>
          <w:rFonts w:ascii="Times New Roman" w:cs="Times New Roman" w:eastAsia="Times New Roman" w:hAnsi="Times New Roman"/>
          <w:sz w:val="19"/>
          <w:szCs w:val="19"/>
          <w:i w:val="1"/>
          <w:iCs w:val="1"/>
          <w:color w:val="auto"/>
        </w:rPr>
        <w:t>provided</w:t>
      </w:r>
    </w:p>
    <w:p>
      <w:pPr>
        <w:spacing w:after="0" w:line="1" w:lineRule="exact"/>
        <w:rPr>
          <w:rFonts w:ascii="Times New Roman" w:cs="Times New Roman" w:eastAsia="Times New Roman" w:hAnsi="Times New Roman"/>
          <w:sz w:val="19"/>
          <w:szCs w:val="19"/>
          <w:color w:val="auto"/>
        </w:rPr>
      </w:pPr>
    </w:p>
    <w:p>
      <w:pPr>
        <w:ind w:right="20" w:firstLine="8"/>
        <w:spacing w:after="0" w:line="245" w:lineRule="auto"/>
        <w:tabs>
          <w:tab w:leader="none" w:pos="26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result therefrom and (ii) the surviving Person (or the Person who receives the assets of such dissolving or liquidated Restricted Subsidiary) shall be a Restricted Subsidiary;</w:t>
      </w:r>
    </w:p>
    <w:p>
      <w:pPr>
        <w:spacing w:after="0" w:line="1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exists or would result therefrom, the Borrower may merge or consolidate with any other Person; </w:t>
      </w:r>
      <w:r>
        <w:rPr>
          <w:rFonts w:ascii="Times New Roman" w:cs="Times New Roman" w:eastAsia="Times New Roman" w:hAnsi="Times New Roman"/>
          <w:sz w:val="19"/>
          <w:szCs w:val="19"/>
          <w:i w:val="1"/>
          <w:iCs w:val="1"/>
          <w:color w:val="auto"/>
        </w:rPr>
        <w:t>provided</w:t>
      </w:r>
    </w:p>
    <w:p>
      <w:pPr>
        <w:spacing w:after="0" w:line="3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that:</w:t>
      </w:r>
    </w:p>
    <w:p>
      <w:pPr>
        <w:spacing w:after="0" w:line="192" w:lineRule="exact"/>
        <w:rPr>
          <w:rFonts w:ascii="Times New Roman" w:cs="Times New Roman" w:eastAsia="Times New Roman" w:hAnsi="Times New Roman"/>
          <w:sz w:val="19"/>
          <w:szCs w:val="19"/>
          <w:color w:val="auto"/>
        </w:rPr>
      </w:pPr>
    </w:p>
    <w:p>
      <w:pPr>
        <w:ind w:left="2200" w:hanging="395"/>
        <w:spacing w:after="0"/>
        <w:tabs>
          <w:tab w:leader="none" w:pos="2200"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be the continuing or surviving corporation; or</w:t>
      </w:r>
    </w:p>
    <w:p>
      <w:pPr>
        <w:spacing w:after="0" w:line="215" w:lineRule="exact"/>
        <w:rPr>
          <w:sz w:val="20"/>
          <w:szCs w:val="20"/>
          <w:color w:val="auto"/>
        </w:rPr>
      </w:pPr>
    </w:p>
    <w:p>
      <w:pPr>
        <w:ind w:left="760" w:firstLine="1045"/>
        <w:spacing w:after="0" w:line="268" w:lineRule="auto"/>
        <w:tabs>
          <w:tab w:leader="none" w:pos="2203"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formed by or surviving any such merger or consolidation is not the Borrower (any such Person, the “</w:t>
      </w:r>
      <w:r>
        <w:rPr>
          <w:rFonts w:ascii="Times New Roman" w:cs="Times New Roman" w:eastAsia="Times New Roman" w:hAnsi="Times New Roman"/>
          <w:sz w:val="20"/>
          <w:szCs w:val="20"/>
          <w:b w:val="1"/>
          <w:bCs w:val="1"/>
          <w:color w:val="auto"/>
        </w:rPr>
        <w:t>Successor Borrower</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Borrower shall be an entity organized or existing under the laws of the United States, any state thereof or the District of Columbia;</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Borrower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176" w:lineRule="exact"/>
        <w:rPr>
          <w:rFonts w:ascii="Times New Roman" w:cs="Times New Roman" w:eastAsia="Times New Roman" w:hAnsi="Times New Roman"/>
          <w:sz w:val="20"/>
          <w:szCs w:val="20"/>
          <w:color w:val="auto"/>
        </w:rPr>
      </w:pPr>
    </w:p>
    <w:p>
      <w:pPr>
        <w:jc w:val="both"/>
        <w:ind w:left="1500" w:right="20" w:firstLine="754"/>
        <w:spacing w:after="0" w:line="253" w:lineRule="auto"/>
        <w:tabs>
          <w:tab w:leader="none" w:pos="264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unless it is the other party to such merger or consolidation, shall have by a supplement to the Guaranty confirmed that its Guarantee of the Obligations shall apply to the Successor Borrower’s obligations under this Agreement;</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unless it is the other party to such merger or consolidation, shall have by a supplement to the Security Agreement confirmed that its obligations thereunder shall apply to the Successor Borrower’s obligations under this Agreement;</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the Collateral Agent, each mortgagor of a Mortgaged Property, unless it is the other party to such merger or consolidation, shall have by an amendment to or restatement of the applicable Mortgage (or other instrument reasonably satisfactory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2" w:name="page253"/>
    <w:bookmarkEnd w:id="252"/>
    <w:p>
      <w:pPr>
        <w:ind w:left="1500"/>
        <w:spacing w:after="0" w:line="268" w:lineRule="auto"/>
        <w:rPr>
          <w:sz w:val="20"/>
          <w:szCs w:val="20"/>
          <w:color w:val="auto"/>
        </w:rPr>
      </w:pPr>
      <w:r>
        <w:rPr>
          <w:rFonts w:ascii="Times New Roman" w:cs="Times New Roman" w:eastAsia="Times New Roman" w:hAnsi="Times New Roman"/>
          <w:sz w:val="20"/>
          <w:szCs w:val="20"/>
          <w:color w:val="auto"/>
        </w:rPr>
        <w:t>the Collateral Agent) confirmed that its obligations thereunder shall apply to the Successor Borrower’s obligations under this Agreement; and</w:t>
      </w:r>
    </w:p>
    <w:p>
      <w:pPr>
        <w:spacing w:after="0" w:line="161" w:lineRule="exact"/>
        <w:rPr>
          <w:sz w:val="20"/>
          <w:szCs w:val="20"/>
          <w:color w:val="auto"/>
        </w:rPr>
      </w:pPr>
    </w:p>
    <w:p>
      <w:pPr>
        <w:jc w:val="both"/>
        <w:ind w:left="1500" w:firstLine="754"/>
        <w:spacing w:after="0" w:line="246" w:lineRule="auto"/>
        <w:tabs>
          <w:tab w:leader="none" w:pos="264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an officer’s certificate and an opinion of counsel, each stating that such merger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183"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20"/>
          <w:szCs w:val="20"/>
          <w:color w:val="auto"/>
        </w:rPr>
        <w:t>it being agreed that if the foregoing are satisfied, the Successor Borrower will succeed to, and be substituted for, the Borrower under this Agreement;</w:t>
      </w:r>
    </w:p>
    <w:p>
      <w:pPr>
        <w:spacing w:after="0" w:line="161" w:lineRule="exact"/>
        <w:rPr>
          <w:sz w:val="20"/>
          <w:szCs w:val="20"/>
          <w:color w:val="auto"/>
        </w:rPr>
      </w:pPr>
    </w:p>
    <w:p>
      <w:pPr>
        <w:ind w:right="20" w:firstLine="757"/>
        <w:spacing w:after="0" w:line="268" w:lineRule="auto"/>
        <w:tabs>
          <w:tab w:leader="none" w:pos="114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merge or consolidate with any other Person in order to effect an Investment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7.02(p)</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or any Restricted Subsidiary may conduct a Division that produces two or more surviving or resulting Persons;</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w:t>
      </w:r>
    </w:p>
    <w:p>
      <w:pPr>
        <w:spacing w:after="0" w:line="192" w:lineRule="exact"/>
        <w:rPr>
          <w:rFonts w:ascii="Times New Roman" w:cs="Times New Roman" w:eastAsia="Times New Roman" w:hAnsi="Times New Roman"/>
          <w:sz w:val="19"/>
          <w:szCs w:val="19"/>
          <w:color w:val="auto"/>
        </w:rPr>
      </w:pPr>
    </w:p>
    <w:p>
      <w:pPr>
        <w:jc w:val="both"/>
        <w:ind w:left="760" w:firstLine="1045"/>
        <w:spacing w:after="0" w:line="249" w:lineRule="auto"/>
        <w:tabs>
          <w:tab w:leader="none" w:pos="2203"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Division is conducted by the Borrower, then each surviving or resulting Person shall constitute a “Borrower” for all purposes of the Loan Documents (unless the Administrative Agent otherwise consents in its reasonable discretion) and shall remain jointly and severally liable for all Obligations (other than Excluded Swap Obligations, where applicable) of the Borrower immediately prior to such Division and otherwise comply with </w:t>
      </w:r>
      <w:r>
        <w:rPr>
          <w:rFonts w:ascii="Times New Roman" w:cs="Times New Roman" w:eastAsia="Times New Roman" w:hAnsi="Times New Roman"/>
          <w:sz w:val="20"/>
          <w:szCs w:val="20"/>
          <w:u w:val="single" w:color="auto"/>
          <w:color w:val="auto"/>
        </w:rPr>
        <w:t>Section 7.04(e)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Division is conducted by Holdings, then all of the Equity Interests of the Borrower must be owned by only one Person that survives or results from such Division, and such Person owning such Equity Interests in the Borrower shall otherwise comply with </w:t>
      </w:r>
      <w:r>
        <w:rPr>
          <w:rFonts w:ascii="Times New Roman" w:cs="Times New Roman" w:eastAsia="Times New Roman" w:hAnsi="Times New Roman"/>
          <w:sz w:val="20"/>
          <w:szCs w:val="20"/>
          <w:u w:val="single" w:color="auto"/>
          <w:color w:val="auto"/>
        </w:rPr>
        <w:t>Section 7.11(b)(ii)</w:t>
      </w:r>
      <w:r>
        <w:rPr>
          <w:rFonts w:ascii="Times New Roman" w:cs="Times New Roman" w:eastAsia="Times New Roman" w:hAnsi="Times New Roman"/>
          <w:sz w:val="20"/>
          <w:szCs w:val="20"/>
          <w:color w:val="auto"/>
        </w:rPr>
        <w:t>, become a Guarantor and pledge 100% of the Equity Interests of the Borrower to the Collateral Agent; and</w:t>
      </w:r>
    </w:p>
    <w:p>
      <w:pPr>
        <w:spacing w:after="0" w:line="178"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Division is conducted by a Loan Party other than the Borrower or Holdings, then each surviving or resulting Person of such Division shall also be a Loan Party unless and to the extent any such surviving or resulting Loan Party is the subject of a Disposition permitted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7.05(e)</w:t>
      </w:r>
      <w:r>
        <w:rPr>
          <w:rFonts w:ascii="Times New Roman" w:cs="Times New Roman" w:eastAsia="Times New Roman" w:hAnsi="Times New Roman"/>
          <w:sz w:val="20"/>
          <w:szCs w:val="20"/>
          <w:color w:val="auto"/>
        </w:rPr>
        <w:t xml:space="preserve">) or otherwise would constitute an Excluded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such surviving or resulting Person not becoming a Loan Party and the assets and property of such surviving or resulting Person not becoming Collateral shall, in each case, be treated as an Investment and shall be permitted under this </w:t>
      </w:r>
      <w:r>
        <w:rPr>
          <w:rFonts w:ascii="Times New Roman" w:cs="Times New Roman" w:eastAsia="Times New Roman" w:hAnsi="Times New Roman"/>
          <w:sz w:val="20"/>
          <w:szCs w:val="20"/>
          <w:u w:val="single" w:color="auto"/>
          <w:color w:val="auto"/>
        </w:rPr>
        <w:t>Section 7.04(h)(iii)</w:t>
      </w:r>
      <w:r>
        <w:rPr>
          <w:rFonts w:ascii="Times New Roman" w:cs="Times New Roman" w:eastAsia="Times New Roman" w:hAnsi="Times New Roman"/>
          <w:sz w:val="20"/>
          <w:szCs w:val="20"/>
          <w:color w:val="auto"/>
        </w:rPr>
        <w:t xml:space="preserve"> solely to the extent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long as no Default exists or would result therefrom, a merger, dissolution, liquidation, consolidation or Disposition, the purpose of which is to effect a Disposition permitted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7.05(e)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anything herein to the contrary, in the event of any merger, dissolution, liquidation, consolidation, amalgamation or Division of any Loan Party or a Restricted Subsidiary effected in accordance with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the Borrower shall or shall cause, with respect to each surviving Restricted Subsidiary (or new direct parent entity) (x) promptly deliver or cause to be delivered to the Administrative Agent for further distribution by the Administrative Agent to each Lender (1) such information and documentation reasonably requested by the Administrative Agent or any Lender in order to comply with applicable “know your customer” and anti-money laundering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3" w:name="page254"/>
    <w:bookmarkEnd w:id="25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including the USA PATRIOT Act and (2) a Beneficial Ownership Certification and (y) do, execute, acknowledge, deliver, record, re-record, file, re-file, register and re-register any and all such further acts, deeds, certificates, assurances and other instruments as the Administrative Agent or Collateral Agent may reasonably request in order to perfect or continue the perfection of the Liens granted or purported to be granted by the Collateral Documents in accordance with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and as promptly as practicable.</w:t>
      </w:r>
    </w:p>
    <w:p>
      <w:pPr>
        <w:spacing w:after="0" w:line="178"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7.05</w:t>
      </w:r>
      <w:r>
        <w:rPr>
          <w:sz w:val="20"/>
          <w:szCs w:val="20"/>
          <w:color w:val="auto"/>
        </w:rPr>
        <w:tab/>
      </w:r>
      <w:r>
        <w:rPr>
          <w:rFonts w:ascii="Times New Roman" w:cs="Times New Roman" w:eastAsia="Times New Roman" w:hAnsi="Times New Roman"/>
          <w:sz w:val="19"/>
          <w:szCs w:val="19"/>
          <w:u w:val="single" w:color="auto"/>
          <w:color w:val="auto"/>
        </w:rPr>
        <w:t>Dispositions</w:t>
      </w:r>
      <w:r>
        <w:rPr>
          <w:rFonts w:ascii="Times New Roman" w:cs="Times New Roman" w:eastAsia="Times New Roman" w:hAnsi="Times New Roman"/>
          <w:sz w:val="19"/>
          <w:szCs w:val="19"/>
          <w:color w:val="auto"/>
        </w:rPr>
        <w:t>. Make any Disposition, except:</w:t>
      </w:r>
    </w:p>
    <w:p>
      <w:pPr>
        <w:spacing w:after="0" w:line="215" w:lineRule="exact"/>
        <w:rPr>
          <w:sz w:val="20"/>
          <w:szCs w:val="20"/>
          <w:color w:val="auto"/>
        </w:rPr>
      </w:pPr>
    </w:p>
    <w:p>
      <w:pPr>
        <w:jc w:val="both"/>
        <w:ind w:firstLine="757"/>
        <w:spacing w:after="0" w:line="253" w:lineRule="auto"/>
        <w:tabs>
          <w:tab w:leader="none" w:pos="11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damaged, worn out, used or surplus property (including for purposes of recycling), whether now owned or hereafter acquired and Dispositions of property of the Borrower and the Restricted Subsidiaries that is no longer used or useful in the conduct of the business or economically practicable or commercially desirable to maintain;</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in the ordinary course of business;</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to the extent the property being transferred constitutes Collateral such replacement property shall constitute Collateral;</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Borrower or a Restricted Subsidiary;</w:t>
      </w:r>
    </w:p>
    <w:p>
      <w:pPr>
        <w:spacing w:after="0" w:line="214"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7.02(p)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(other </w:t>
      </w:r>
      <w:r>
        <w:rPr>
          <w:rFonts w:ascii="Times New Roman" w:cs="Times New Roman" w:eastAsia="Times New Roman" w:hAnsi="Times New Roman"/>
          <w:sz w:val="20"/>
          <w:szCs w:val="20"/>
          <w:u w:val="single" w:color="auto"/>
          <w:color w:val="auto"/>
        </w:rPr>
        <w:t>Section 7.04(h)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7.06(d)</w:t>
      </w:r>
      <w:r>
        <w:rPr>
          <w:rFonts w:ascii="Times New Roman" w:cs="Times New Roman" w:eastAsia="Times New Roman" w:hAnsi="Times New Roman"/>
          <w:sz w:val="20"/>
          <w:szCs w:val="20"/>
          <w:color w:val="auto"/>
        </w:rPr>
        <w:t xml:space="preserve">) and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7.01(k)(ii)</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jc w:val="both"/>
        <w:ind w:firstLine="757"/>
        <w:spacing w:after="0" w:line="255" w:lineRule="auto"/>
        <w:tabs>
          <w:tab w:leader="none" w:pos="11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pursuant to Sale Leaseback Transactions;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no Event of Default exists or would result therefrom (other than any such Disposition made pursuant to a legally binding commitment entered into at a time when no Event of Default exists) and (ii) such Disposition shall be for no less than the fair market value of such property at the time of such Disposition;</w:t>
      </w:r>
    </w:p>
    <w:p>
      <w:pPr>
        <w:spacing w:after="0" w:line="170" w:lineRule="exact"/>
        <w:rPr>
          <w:rFonts w:ascii="Times New Roman" w:cs="Times New Roman" w:eastAsia="Times New Roman" w:hAnsi="Times New Roman"/>
          <w:sz w:val="20"/>
          <w:szCs w:val="20"/>
          <w:color w:val="auto"/>
        </w:rPr>
      </w:pPr>
    </w:p>
    <w:p>
      <w:pPr>
        <w:ind w:firstLine="757"/>
        <w:spacing w:after="0" w:line="272" w:lineRule="auto"/>
        <w:tabs>
          <w:tab w:leader="none" w:pos="11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Cash Equivalents;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Disposition shall be for no less than the fair market value of such property at the time of such Disposition;</w:t>
      </w:r>
    </w:p>
    <w:p>
      <w:pPr>
        <w:spacing w:after="0" w:line="15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leases, subleases, licenses or sublicenses (including the provision of software under an open source license), which do not materially interfere with the business of the Borrower and the Restricted Subsidiaries,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Disposition shall be for no less than the fair market value of such property at the time of such Disposition;</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Casualty Events upon receipt of the Net Cash Proceeds of such Casualty Event;</w:t>
      </w:r>
    </w:p>
    <w:p>
      <w:pPr>
        <w:spacing w:after="0" w:line="21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18"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such Disposition (other than any such Disposition made pursuant to a legally binding commitment entered into at a time when no Default exists), no Default shall exist or would result from such Disposition;</w:t>
      </w:r>
    </w:p>
    <w:p>
      <w:pPr>
        <w:spacing w:after="0" w:line="160"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Disposition pursuant to this clause (j) for a purchase price in excess of $15,000,000, the Borrower or any of the Restricted Subsidiaries shall receive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4" w:name="page255"/>
    <w:bookmarkEnd w:id="254"/>
    <w:p>
      <w:pPr>
        <w:ind w:left="760"/>
        <w:spacing w:after="0" w:line="272" w:lineRule="auto"/>
        <w:rPr>
          <w:sz w:val="20"/>
          <w:szCs w:val="20"/>
          <w:color w:val="auto"/>
        </w:rPr>
      </w:pPr>
      <w:r>
        <w:rPr>
          <w:rFonts w:ascii="Times New Roman" w:cs="Times New Roman" w:eastAsia="Times New Roman" w:hAnsi="Times New Roman"/>
          <w:sz w:val="20"/>
          <w:szCs w:val="20"/>
          <w:color w:val="auto"/>
        </w:rPr>
        <w:t xml:space="preserve">than 75% of such consideration in the form of cash or Cash Equivalents;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the purposes of this clause (ii) each of the following shall be deemed to be cash;</w:t>
      </w:r>
    </w:p>
    <w:p>
      <w:pPr>
        <w:spacing w:after="0" w:line="157" w:lineRule="exact"/>
        <w:rPr>
          <w:sz w:val="20"/>
          <w:szCs w:val="20"/>
          <w:color w:val="auto"/>
        </w:rPr>
      </w:pPr>
    </w:p>
    <w:p>
      <w:pPr>
        <w:jc w:val="both"/>
        <w:ind w:left="1500" w:firstLine="754"/>
        <w:spacing w:after="0" w:line="246" w:lineRule="auto"/>
        <w:tabs>
          <w:tab w:leader="none" w:pos="2644"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w:t>
      </w:r>
    </w:p>
    <w:p>
      <w:pPr>
        <w:spacing w:after="0" w:line="183" w:lineRule="exact"/>
        <w:rPr>
          <w:rFonts w:ascii="Times New Roman" w:cs="Times New Roman" w:eastAsia="Times New Roman" w:hAnsi="Times New Roman"/>
          <w:sz w:val="20"/>
          <w:szCs w:val="20"/>
          <w:color w:val="auto"/>
        </w:rPr>
      </w:pPr>
    </w:p>
    <w:p>
      <w:pPr>
        <w:jc w:val="both"/>
        <w:ind w:left="1500" w:right="20" w:firstLine="754"/>
        <w:spacing w:after="0" w:line="253" w:lineRule="auto"/>
        <w:tabs>
          <w:tab w:leader="none" w:pos="2644"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received by such Borrower or Restricted Subsidiary from such transferee that are converted by such Borrower or Restricted Subsidiary into cash or Cash Equivalents (to the extent of the cash or Cash Equivalents received) within one hundred and eighty days following the closing of the applicable Disposition; and</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Designated Non-Cash Consideration received in respect of such Disposition having an aggregate fair market value, taken together with all other Designated Non-Cash Consideration received pursuant to this clause (C) that is at that time outstanding, not in excess of the greater of (I) 20% of Closing Date EBITDA and (II) 20% of TTM Consolidated Adjusted EBITDA as of the applicable date of determination, with the fair market value of each item of Designated Non-Cash Consideration being measured at the time received and without giving effect to subsequent changes in value; and</w:t>
      </w:r>
    </w:p>
    <w:p>
      <w:pPr>
        <w:spacing w:after="0" w:line="182" w:lineRule="exact"/>
        <w:rPr>
          <w:rFonts w:ascii="Times New Roman" w:cs="Times New Roman" w:eastAsia="Times New Roman" w:hAnsi="Times New Roman"/>
          <w:sz w:val="20"/>
          <w:szCs w:val="20"/>
          <w:color w:val="auto"/>
        </w:rPr>
      </w:pPr>
    </w:p>
    <w:p>
      <w:pPr>
        <w:ind w:right="300" w:firstLine="1805"/>
        <w:spacing w:after="0" w:line="464" w:lineRule="auto"/>
        <w:tabs>
          <w:tab w:leader="none" w:pos="2192"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Disposition shall be for no less than the fair market value of such property at the time of such Disposition (this clause (j), the “</w:t>
      </w:r>
      <w:r>
        <w:rPr>
          <w:rFonts w:ascii="Times New Roman" w:cs="Times New Roman" w:eastAsia="Times New Roman" w:hAnsi="Times New Roman"/>
          <w:sz w:val="20"/>
          <w:szCs w:val="20"/>
          <w:b w:val="1"/>
          <w:bCs w:val="1"/>
          <w:color w:val="auto"/>
        </w:rPr>
        <w:t>General Asset Sale Basket</w:t>
      </w:r>
      <w:r>
        <w:rPr>
          <w:rFonts w:ascii="Times New Roman" w:cs="Times New Roman" w:eastAsia="Times New Roman" w:hAnsi="Times New Roman"/>
          <w:sz w:val="20"/>
          <w:szCs w:val="20"/>
          <w:color w:val="auto"/>
        </w:rPr>
        <w:t>”);</w:t>
      </w:r>
    </w:p>
    <w:p>
      <w:pPr>
        <w:ind w:right="20" w:firstLine="757"/>
        <w:spacing w:after="0" w:line="268" w:lineRule="auto"/>
        <w:tabs>
          <w:tab w:leader="none" w:pos="114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or discounts of accounts receivable and related assets in connection with the collection, compromise or factoring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192"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(including issuances or sales) of Equity Interests in, or Indebtedness owing to, or of other securities of, an Unrestricted Subsidiary;</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to the extent of any exchange of like property (excluding any boot thereon permitted by such provision) for use in any business conducted by the Borrower or any of the Restricted Subsidiaries to the extent allowable under Section 1031 of the Code (or comparable or successor provision);</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the unwinding of any Hedge Agreement;</w:t>
      </w:r>
    </w:p>
    <w:p>
      <w:pPr>
        <w:spacing w:after="0" w:line="21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by the Borrower or any Restricted Subsidiary of assets in connection with the closing or sale of a facility in the ordinary course of business of the Borrower and its Restricted Subsidiaries, which consist of fee or leasehold interests in the premises of such facility, the equipment and fixtures located at such premises and the books and records relating exclusively and directly to the operations of such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as to each and all such sales and closings, (i) no Event of Default shall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0"/>
          <w:szCs w:val="20"/>
          <w:color w:val="auto"/>
        </w:rPr>
        <w:t>and (ii) such sale shall be on commercially reasonable prices and terms in a bona fide arm’s-length transaction;</w:t>
      </w:r>
    </w:p>
    <w:p>
      <w:pPr>
        <w:spacing w:after="0" w:line="215" w:lineRule="exact"/>
        <w:rPr>
          <w:sz w:val="20"/>
          <w:szCs w:val="20"/>
          <w:color w:val="auto"/>
        </w:rPr>
      </w:pPr>
    </w:p>
    <w:p>
      <w:pPr>
        <w:ind w:right="20" w:firstLine="757"/>
        <w:spacing w:after="0" w:line="268" w:lineRule="auto"/>
        <w:tabs>
          <w:tab w:leader="none" w:pos="11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(including bulk sales) of the inventory of a Loan Party not in the ordinary course of business in connection with facility closings, at arm’s length;</w:t>
      </w:r>
    </w:p>
    <w:p>
      <w:pPr>
        <w:spacing w:after="0" w:line="156" w:lineRule="exact"/>
        <w:rPr>
          <w:rFonts w:ascii="Times New Roman" w:cs="Times New Roman" w:eastAsia="Times New Roman" w:hAnsi="Times New Roman"/>
          <w:sz w:val="20"/>
          <w:szCs w:val="20"/>
          <w:color w:val="auto"/>
        </w:rPr>
      </w:pPr>
    </w:p>
    <w:p>
      <w:pPr>
        <w:ind w:firstLine="757"/>
        <w:spacing w:after="0" w:line="272" w:lineRule="auto"/>
        <w:tabs>
          <w:tab w:leader="none" w:pos="11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Securitization Assets to a Securitization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Disposition shall be for no less than the fair market value of such property at the time of such Disposition;</w:t>
      </w:r>
    </w:p>
    <w:p>
      <w:pPr>
        <w:spacing w:after="0" w:line="15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abandonment or discontinuance of the use or maintenance of any Intellectual Property if previously determined by the Borrower or any Restricted Subsidiary in its reasonable business judgment that such lapse, abandonment or discontinuance is desirable in the conduct of its business;</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of any property or asset with a fair market value not to exceed with respect to any transaction the greater of (i) 10% of Closing Date EBITDA and (ii) 10% of TTM Consolidated Adjusted EBITDA as of the applicable date of measurement;</w:t>
      </w:r>
    </w:p>
    <w:p>
      <w:pPr>
        <w:spacing w:after="0" w:line="160" w:lineRule="exact"/>
        <w:rPr>
          <w:rFonts w:ascii="Times New Roman" w:cs="Times New Roman" w:eastAsia="Times New Roman" w:hAnsi="Times New Roman"/>
          <w:sz w:val="20"/>
          <w:szCs w:val="20"/>
          <w:color w:val="auto"/>
        </w:rPr>
      </w:pPr>
    </w:p>
    <w:p>
      <w:pPr>
        <w:ind w:right="60" w:firstLine="757"/>
        <w:spacing w:after="0" w:line="268" w:lineRule="auto"/>
        <w:tabs>
          <w:tab w:leader="none" w:pos="11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of assets acquired in a Permitted Acquisition or other Investment permitted hereunder that the Borrower determines will not be used or useful in the business of the Borrower and its Subsidiaries; and</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Excluded Assets by Non-Loan Parties and Dispositions of Excluded Assets by Loan Parties for fair market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To the extent any Collateral is Disposed of as expressly permitted by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to any Person other than a Loan Party, such Collateral shall be sold free and clear of the Liens created by the Loan Documents, and, if requested by the Administrative Agent, upon the certification by the Borrower that such Disposition is permitted by this Agreement, and without limiting the provisions of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the Administrative Agent shall be authorized to, and shall, take any actions reasonably requested by the Borrower in order to effect the foregoing (and the Lenders hereby authorize and direct the Administrative Agent to conclusively rely on any such certification by the Borrower in performing its obligations under this sentence).</w:t>
      </w:r>
    </w:p>
    <w:p>
      <w:pPr>
        <w:spacing w:after="0" w:line="18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7.06</w:t>
      </w:r>
      <w:r>
        <w:rPr>
          <w:sz w:val="20"/>
          <w:szCs w:val="20"/>
          <w:color w:val="auto"/>
        </w:rPr>
        <w:tab/>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Declare or make, directly or indirectly, any Restricted Payment, except:</w:t>
      </w:r>
    </w:p>
    <w:p>
      <w:pPr>
        <w:spacing w:after="0" w:line="215" w:lineRule="exact"/>
        <w:rPr>
          <w:sz w:val="20"/>
          <w:szCs w:val="20"/>
          <w:color w:val="auto"/>
        </w:rPr>
      </w:pPr>
    </w:p>
    <w:p>
      <w:pPr>
        <w:jc w:val="both"/>
        <w:ind w:firstLine="757"/>
        <w:spacing w:after="0" w:line="249" w:lineRule="auto"/>
        <w:tabs>
          <w:tab w:leader="none" w:pos="11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the Borrower and to any other Restricted Subsidiaries (and, in the case of a Restricted Payment by a non-wholly owned Restricted Subsidiary, to the Borrower or any such other Restricted Subsidiaries and to each other owner of Equity Interests of such Restricted Subsidiary ratably according to their relative ownership interests of the relevant class of Equity Interests);</w:t>
      </w:r>
    </w:p>
    <w:p>
      <w:pPr>
        <w:spacing w:after="0" w:line="178"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1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of the Restricted Subsidiaries may declare and make dividend payments or other distributions payable solely in the form of Equity Interests (other than Disqualified Equity Interests not otherwise permitted to be incurred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of such Person;</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on the Closing Date to consummate the Transactions, including the Specified Dividend;</w:t>
      </w:r>
    </w:p>
    <w:p>
      <w:pPr>
        <w:spacing w:after="0" w:line="214"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and the Restricted Subsidiaries may enter into and consummate transactions expressly permitted by any provision of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0"/>
          <w:szCs w:val="20"/>
          <w:u w:val="single" w:color="auto"/>
          <w:color w:val="auto"/>
        </w:rPr>
        <w:t>Section 7.02(p)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(other than a merger or consolidation involving the Borrower) or </w:t>
      </w:r>
      <w:r>
        <w:rPr>
          <w:rFonts w:ascii="Times New Roman" w:cs="Times New Roman" w:eastAsia="Times New Roman" w:hAnsi="Times New Roman"/>
          <w:sz w:val="20"/>
          <w:szCs w:val="20"/>
          <w:u w:val="single" w:color="auto"/>
          <w:color w:val="auto"/>
        </w:rPr>
        <w:t>7.08</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3" w:lineRule="auto"/>
        <w:tabs>
          <w:tab w:leader="none" w:pos="11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Equity Interests in Holdings, the Borrower or any of the Restricted Subsidiaries deemed to occur upon exercise of stock options or warrants or similar rights if such Equity Interests represent a portion of the exercise price of such options or warrants or similar rights;</w:t>
      </w:r>
    </w:p>
    <w:p>
      <w:pPr>
        <w:spacing w:after="0" w:line="176"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pay (or make Restricted Payments to allow Holdings or any direct or indirect parent thereof to pay) for the repurchase, retirement or other acquisition or retirement for value of Equity Interests of Holdings (or of any direct or indirect parent thereof) held by any future, present or former employee, director, consultant or distributor (or any spouses, former spouses, successors, executors, administrators, heirs, legatees or distributees of any of the foregoing) of the Borrower (or any direct or indirect parent of the Borrower) or any of its Subsidiaries upon the death, disability, retirement or termination of employment of any such Person or otherwise pursuant to any employee or director equity plan, employee or director stock option or profits interest plan or any other employee or director benefit plan or any agreement (including any separation, stock subscription, shareholder or partnership agreement) with any employee, director, consultant or distributor of the Borrower (or any direct or indirect parent of the Borrower) or any of its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aggregate Restricted Payments made pursuant to this </w:t>
      </w:r>
      <w:r>
        <w:rPr>
          <w:rFonts w:ascii="Times New Roman" w:cs="Times New Roman" w:eastAsia="Times New Roman" w:hAnsi="Times New Roman"/>
          <w:sz w:val="20"/>
          <w:szCs w:val="20"/>
          <w:u w:val="single" w:color="auto"/>
          <w:color w:val="auto"/>
        </w:rPr>
        <w:t>Section 7.06(f)</w:t>
      </w:r>
      <w:r>
        <w:rPr>
          <w:rFonts w:ascii="Times New Roman" w:cs="Times New Roman" w:eastAsia="Times New Roman" w:hAnsi="Times New Roman"/>
          <w:sz w:val="20"/>
          <w:szCs w:val="20"/>
          <w:color w:val="auto"/>
        </w:rPr>
        <w:t xml:space="preserve"> after the Closing Date together with the aggregate amount of loans and advances to Holdings made pursuant to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 xml:space="preserve"> in lieu of Restricted Payments permitted by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not exceed:</w:t>
      </w:r>
    </w:p>
    <w:p>
      <w:pPr>
        <w:spacing w:after="0" w:line="189"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$10,000,000 in any calendar year, with unused amounts in any calendar year being carried over to succeeding calendar years; </w:t>
      </w:r>
      <w:r>
        <w:rPr>
          <w:rFonts w:ascii="Times New Roman" w:cs="Times New Roman" w:eastAsia="Times New Roman" w:hAnsi="Times New Roman"/>
          <w:sz w:val="20"/>
          <w:szCs w:val="20"/>
          <w:i w:val="1"/>
          <w:iCs w:val="1"/>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not to exceed the cash proceeds of key man life insurance policies received by the Borrower or the Restricted Subsidiaries after the Closing Date; </w:t>
      </w:r>
      <w:r>
        <w:rPr>
          <w:rFonts w:ascii="Times New Roman" w:cs="Times New Roman" w:eastAsia="Times New Roman" w:hAnsi="Times New Roman"/>
          <w:sz w:val="20"/>
          <w:szCs w:val="20"/>
          <w:i w:val="1"/>
          <w:iCs w:val="1"/>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contributed in cash to the common Equity Interests of the Borrower and Not Otherwise Applied, the proceeds from the sale of Equity Interests of Holdings or any direct or indirect parent thereof, in each case to employees, directors, consultants or distributor of the Borrower, a direct or indirect parent thereof, or its Subsidiaries that occurs after the Closing Date;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cash bonuses or other compensation otherwise payable to any future, present or former director, employee, consultant or distributor of the Borrower, a direct or indirect parent thereof, or its Subsidiaries that are foregone in return for the receipt of Equity Interests of Holdings or a direct or indirect equity holder thereof, Borrower or any Restricted Subsidiary;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jc w:val="both"/>
        <w:ind w:left="760" w:right="20" w:firstLine="1045"/>
        <w:spacing w:after="0" w:line="273" w:lineRule="auto"/>
        <w:tabs>
          <w:tab w:leader="none" w:pos="2203"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made in respect of withholding or other similar taxes payable upon repurchase, retirement or other acquisition or retirement of Equity Interests of Holdings or its Subsidiaries or otherwise pursuant to any employee or director equity plan, employee or director stock option or profits interest plan or any other employee or director benefit plan or any agreement;</w:t>
      </w:r>
    </w:p>
    <w:p>
      <w:pPr>
        <w:spacing w:after="0" w:line="157"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to Holdings or to any direct or indirect parent of Holdings:</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73" w:lineRule="auto"/>
        <w:tabs>
          <w:tab w:leader="none" w:pos="2203"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which will be used to pay (or make Restricted Payments to allow any direct or indirect corporate parent (or entity treated as a corporation for tax purposes) thereof to pay) the tax liability (including estimated tax payments) to each foreign, federal, state or local jurisdiction in respect of which a tax return is filed by Holdings (or such direct or indirect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7" w:name="page258"/>
    <w:bookmarkEnd w:id="257"/>
    <w:p>
      <w:pPr>
        <w:jc w:val="both"/>
        <w:ind w:left="3"/>
        <w:spacing w:after="0" w:line="241" w:lineRule="auto"/>
        <w:rPr>
          <w:sz w:val="20"/>
          <w:szCs w:val="20"/>
          <w:color w:val="auto"/>
        </w:rPr>
      </w:pPr>
      <w:r>
        <w:rPr>
          <w:rFonts w:ascii="Times New Roman" w:cs="Times New Roman" w:eastAsia="Times New Roman" w:hAnsi="Times New Roman"/>
          <w:sz w:val="20"/>
          <w:szCs w:val="20"/>
          <w:color w:val="auto"/>
        </w:rPr>
        <w:t xml:space="preserve">parent) that includes the Borrower and/or any of its Subsidiaries (including in the case where the Borrower and any Subsidiary is a disregarded entity for income tax purposes), to the extent such tax liability does not exceed the lesser of (A) the taxes (including estimated tax payments) that would have been payable by the Borrower and/or its Subsidiaries as a stand-alone tax group (assuming that the Borrower was classified as a corporation for income tax purposes) and (B) the actual tax liability (including estimated tax payments) of Holdings’ tax group (or, if Holdings is not the parent of the actual group, the taxes that would have been paid by Holdings (assuming that Holdings was classified as a corporation for income tax purposes), the Borrower and/or the Borrower’s Subsidiaries as a stand-alone tax group), reduced in the case of clauses (A) and (B) by any such taxes paid or to be paid directly by the Borrower or its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any such distributions attributable to tax liability in respect of income of an Unrestricted Subsidiary, the Borrower shall use all commercially reasonable efforts to cause such Unrestricted Subsidiary (or another Unrestricted Subsidiary) to make cash distributions to the Borrower or its Restricted Subsidiaries in an aggregate amount that the Borrower determines in its reasonable discretion is necessary to pay such tax liability on behalf of such Unrestricted Subsidiary;</w:t>
      </w:r>
    </w:p>
    <w:p>
      <w:pPr>
        <w:spacing w:after="0" w:line="195" w:lineRule="exact"/>
        <w:rPr>
          <w:sz w:val="20"/>
          <w:szCs w:val="20"/>
          <w:color w:val="auto"/>
        </w:rPr>
      </w:pPr>
    </w:p>
    <w:p>
      <w:pPr>
        <w:jc w:val="both"/>
        <w:ind w:left="3" w:firstLine="1045"/>
        <w:spacing w:after="0" w:line="244" w:lineRule="auto"/>
        <w:tabs>
          <w:tab w:leader="none" w:pos="1447"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which will be used to pay (or make Restricted Payments to allow any direct or indirect parent thereof to pay) operating costs and expenses (including, following the consummation of a Qualifying IPO, Public Company Costs) of Holdings or its direct or indirect parents thereof which do not own other Subsidiaries besides Holdings, its Subsidiaries and any other direct or indirect parents of Holdings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Borrower and its Subsidiaries;</w:t>
      </w:r>
    </w:p>
    <w:p>
      <w:pPr>
        <w:spacing w:after="0" w:line="183" w:lineRule="exact"/>
        <w:rPr>
          <w:rFonts w:ascii="Times New Roman" w:cs="Times New Roman" w:eastAsia="Times New Roman" w:hAnsi="Times New Roman"/>
          <w:sz w:val="20"/>
          <w:szCs w:val="20"/>
          <w:color w:val="auto"/>
        </w:rPr>
      </w:pPr>
    </w:p>
    <w:p>
      <w:pPr>
        <w:ind w:left="3" w:right="20" w:firstLine="1045"/>
        <w:spacing w:after="0" w:line="268" w:lineRule="auto"/>
        <w:tabs>
          <w:tab w:leader="none" w:pos="1447"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which will be used to pay franchise taxes and other fees, taxes and expenses required to maintain its (or any of such direct or indirect parent’s) corporate or legal existence;</w:t>
      </w:r>
    </w:p>
    <w:p>
      <w:pPr>
        <w:spacing w:after="0" w:line="156" w:lineRule="exact"/>
        <w:rPr>
          <w:rFonts w:ascii="Times New Roman" w:cs="Times New Roman" w:eastAsia="Times New Roman" w:hAnsi="Times New Roman"/>
          <w:sz w:val="20"/>
          <w:szCs w:val="20"/>
          <w:color w:val="auto"/>
        </w:rPr>
      </w:pPr>
    </w:p>
    <w:p>
      <w:pPr>
        <w:jc w:val="both"/>
        <w:ind w:left="3" w:firstLine="1045"/>
        <w:spacing w:after="0" w:line="245" w:lineRule="auto"/>
        <w:tabs>
          <w:tab w:leader="none" w:pos="1447"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finance any Investment permitted to be made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Restricted Payment shall be made substantially concurrently with the closing of such Investment and (B) Holdings and the Borrower shall, immediately following the closing thereof, cause (1) all property acquired (whether assets or Equity Interests) to be contributed to the Borrower or a Restricted Subsidiary (which shall be a Restricted Subsidiary to the extent required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(2) the merger (to the extent permitted in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of the Person formed or acquired by the Borrower or a Restricted Subsidiary in order to consummate such Investment;</w:t>
      </w:r>
    </w:p>
    <w:p>
      <w:pPr>
        <w:spacing w:after="0" w:line="186"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which shall be used to pay (or make Restricted Payments to allow any direct or indirect parent thereof to pay) costs, fees and expenses (other than to Affiliates) related to any successful or unsuccessful equity or debt offering permitted by this Agreement; and</w:t>
      </w:r>
    </w:p>
    <w:p>
      <w:pPr>
        <w:spacing w:after="0" w:line="176" w:lineRule="exact"/>
        <w:rPr>
          <w:rFonts w:ascii="Times New Roman" w:cs="Times New Roman" w:eastAsia="Times New Roman" w:hAnsi="Times New Roman"/>
          <w:sz w:val="20"/>
          <w:szCs w:val="20"/>
          <w:color w:val="auto"/>
        </w:rPr>
      </w:pPr>
    </w:p>
    <w:p>
      <w:pPr>
        <w:jc w:val="both"/>
        <w:ind w:left="3" w:firstLine="1045"/>
        <w:spacing w:after="0" w:line="246" w:lineRule="auto"/>
        <w:tabs>
          <w:tab w:leader="none" w:pos="1447"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which (A) will be used to pay customary salary, bonus and other benefits payable to officers and employees of Holdings or any direct or indirect parent company of Holdings to the extent such salaries, bonuses and other benefits are attributable to the ownership or operation of the Borrower and the Restricted Subsidiaries or (B) will be used to make payments permitted under </w:t>
      </w:r>
      <w:r>
        <w:rPr>
          <w:rFonts w:ascii="Times New Roman" w:cs="Times New Roman" w:eastAsia="Times New Roman" w:hAnsi="Times New Roman"/>
          <w:sz w:val="20"/>
          <w:szCs w:val="20"/>
          <w:u w:val="single" w:color="auto"/>
          <w:color w:val="auto"/>
        </w:rPr>
        <w:t>Sections 7.08(e)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and (q) (but only to the extent such payments have not been and are not expected to be made by the Borrower or a Restricted Subsidiary);</w:t>
      </w:r>
    </w:p>
    <w:p>
      <w:pPr>
        <w:spacing w:after="0" w:line="183"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of the Restricted Subsidiaries may pay cash in lieu of fractional Equity Interests in connection with any dividend, split or combination thereof or any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58" w:name="page259"/>
    <w:bookmarkEnd w:id="258"/>
    <w:p>
      <w:pPr>
        <w:jc w:val="both"/>
        <w:ind w:firstLine="757"/>
        <w:spacing w:after="0" w:line="245"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declaration and payment of dividends on the Borrower’s common stock following the first public offering of the Borrower’s common stock or the common stock of any of its direct or indirect parents after the Closing Date, of up to the greater of (A) 6% </w:t>
      </w:r>
      <w:r>
        <w:rPr>
          <w:rFonts w:ascii="Times New Roman" w:cs="Times New Roman" w:eastAsia="Times New Roman" w:hAnsi="Times New Roman"/>
          <w:sz w:val="20"/>
          <w:szCs w:val="20"/>
          <w:i w:val="1"/>
          <w:iCs w:val="1"/>
          <w:color w:val="auto"/>
        </w:rPr>
        <w:t xml:space="preserve">per annum </w:t>
      </w:r>
      <w:r>
        <w:rPr>
          <w:rFonts w:ascii="Times New Roman" w:cs="Times New Roman" w:eastAsia="Times New Roman" w:hAnsi="Times New Roman"/>
          <w:sz w:val="20"/>
          <w:szCs w:val="20"/>
          <w:color w:val="auto"/>
        </w:rPr>
        <w:t>of the net proceeds received by or contributed to the Borrower in or from any such public offering, other than public offerings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with respect to the Borrower’s common stock registered on Form S-4 or Form S-8 and (B) an amount equal to 6% of the Market Capitalization at the time of such public offering (it being understood that any dividends permitted to be declared pursuant to this clause (i) may be paid to the extent such payment is permitted under </w:t>
      </w:r>
      <w:r>
        <w:rPr>
          <w:rFonts w:ascii="Times New Roman" w:cs="Times New Roman" w:eastAsia="Times New Roman" w:hAnsi="Times New Roman"/>
          <w:sz w:val="20"/>
          <w:szCs w:val="20"/>
          <w:u w:val="single" w:color="auto"/>
          <w:color w:val="auto"/>
        </w:rPr>
        <w:t>Section 7.08(r)</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Equity Interests (i) deemed to occur on the exercise of options by the delivery of Equity Interests in satisfaction of the exercise price of such options or (ii) in consideration of withholding or similar Taxes payable by any future, present or former employee, director, manager or consultant (or any spouses, former spouses, successors, executors, administrators, heirs, legatees or distributees of any of the foregoing), including deemed repurchases in connection with the exercise of stock options or the vesting of any equity awards;</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to Holdings or to any direct or indirect parent of Holdings of Equity Interests in, Indebtedness owing to and/or other securities of, any Unrestricted Subsidiaries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any Unrestricted Subsidiaries the principal assets of which consist primarily of cash or Cash Equivalents received from an Investment by the Borrower and/or any Restricted Subsidiary);</w:t>
      </w:r>
    </w:p>
    <w:p>
      <w:pPr>
        <w:spacing w:after="0" w:line="178"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or distributions to satisfy dissenters rights pursuant to a merger, consolidation or transfer of assets that complies with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7.13(b)</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right="60" w:firstLine="757"/>
        <w:spacing w:after="0" w:line="268"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distributions of a Restricted Payment within 60 days after the date of declaration thereof if at the date of declaration such Restricted Payment would have been permitted hereunder;</w:t>
      </w:r>
    </w:p>
    <w:p>
      <w:pPr>
        <w:spacing w:after="0" w:line="156" w:lineRule="exact"/>
        <w:rPr>
          <w:rFonts w:ascii="Times New Roman" w:cs="Times New Roman" w:eastAsia="Times New Roman" w:hAnsi="Times New Roman"/>
          <w:sz w:val="20"/>
          <w:szCs w:val="20"/>
          <w:color w:val="auto"/>
        </w:rPr>
      </w:pPr>
    </w:p>
    <w:p>
      <w:pPr>
        <w:ind w:right="20" w:firstLine="757"/>
        <w:spacing w:after="0" w:line="272"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First Lien Net Leverage Ratio (after giving Pro Forma Effect to such Restricted Payment) would be less than or equal to the Closing Date First Lien Net Leverage Ratio less 0.75 to 1.00; and</w:t>
      </w:r>
    </w:p>
    <w:p>
      <w:pPr>
        <w:spacing w:after="0" w:line="156" w:lineRule="exact"/>
        <w:rPr>
          <w:rFonts w:ascii="Times New Roman" w:cs="Times New Roman" w:eastAsia="Times New Roman" w:hAnsi="Times New Roman"/>
          <w:sz w:val="20"/>
          <w:szCs w:val="20"/>
          <w:color w:val="auto"/>
        </w:rPr>
      </w:pPr>
    </w:p>
    <w:p>
      <w:pPr>
        <w:ind w:right="60" w:firstLine="757"/>
        <w:spacing w:after="0" w:line="268" w:lineRule="auto"/>
        <w:tabs>
          <w:tab w:leader="none" w:pos="11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(the proceeds of which may be utilized by Holdings to make additional Restricted Payments) in an aggregate amount not to exceed the sum of,</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50% of Closing Date EBITDA and (B) 50% of TTM Consolidated Adjusted EBITDA as of the applicable date of determination, and</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Available Amount at such time;</w:t>
      </w:r>
    </w:p>
    <w:p>
      <w:pPr>
        <w:spacing w:after="0" w:line="21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each case, that no Event of Default shall have occurred and be continuing or would result therefrom (except to the extent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Restricted Payment is funded exclusively in reliance on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Available Amount).</w:t>
      </w:r>
    </w:p>
    <w:p>
      <w:pPr>
        <w:spacing w:after="0" w:line="15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The amount set forth in </w:t>
      </w:r>
      <w:r>
        <w:rPr>
          <w:rFonts w:ascii="Times New Roman" w:cs="Times New Roman" w:eastAsia="Times New Roman" w:hAnsi="Times New Roman"/>
          <w:sz w:val="20"/>
          <w:szCs w:val="20"/>
          <w:u w:val="single" w:color="auto"/>
          <w:color w:val="auto"/>
        </w:rPr>
        <w:t>Section 7.06(o)(i)</w:t>
      </w:r>
      <w:r>
        <w:rPr>
          <w:rFonts w:ascii="Times New Roman" w:cs="Times New Roman" w:eastAsia="Times New Roman" w:hAnsi="Times New Roman"/>
          <w:sz w:val="20"/>
          <w:szCs w:val="20"/>
          <w:color w:val="auto"/>
        </w:rPr>
        <w:t xml:space="preserve"> may, in lieu of Restricted Payments, be utilized by the Borrower or any Restricted Subsidiary to (i) make or hold any Investments without regard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(ii) prepay, repay redeem, purchase, defease or otherwise satisfy prior to the scheduled maturity thereof any Junior Financing without regard to </w:t>
      </w:r>
      <w:r>
        <w:rPr>
          <w:rFonts w:ascii="Times New Roman" w:cs="Times New Roman" w:eastAsia="Times New Roman" w:hAnsi="Times New Roman"/>
          <w:sz w:val="20"/>
          <w:szCs w:val="20"/>
          <w:u w:val="single" w:color="auto"/>
          <w:color w:val="auto"/>
        </w:rPr>
        <w:t>Section 7.10(a)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9" w:name="page260"/>
    <w:bookmarkEnd w:id="259"/>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7.07 </w:t>
      </w:r>
      <w:r>
        <w:rPr>
          <w:rFonts w:ascii="Times New Roman" w:cs="Times New Roman" w:eastAsia="Times New Roman" w:hAnsi="Times New Roman"/>
          <w:sz w:val="20"/>
          <w:szCs w:val="20"/>
          <w:u w:val="single" w:color="auto"/>
          <w:color w:val="auto"/>
        </w:rPr>
        <w:t>Change in Nature of Business</w:t>
      </w:r>
      <w:r>
        <w:rPr>
          <w:rFonts w:ascii="Times New Roman" w:cs="Times New Roman" w:eastAsia="Times New Roman" w:hAnsi="Times New Roman"/>
          <w:sz w:val="20"/>
          <w:szCs w:val="20"/>
          <w:color w:val="auto"/>
        </w:rPr>
        <w:t>. Engage in any material line of business substantially different from those lines of business conducted by the Borrower and the Restricted Subsidiaries on the Closing Date or any business or any other activities that are reasonably similar, corollary, ancillary, incidental, synergistic, complementary or related to, or a reasonable extension, development or expansion of, the businesses conducted or proposed to be conducted by the Borrower and its Restricted Subsidiaries on the Closing Date.</w:t>
      </w:r>
    </w:p>
    <w:p>
      <w:pPr>
        <w:spacing w:after="0" w:line="178" w:lineRule="exact"/>
        <w:rPr>
          <w:sz w:val="20"/>
          <w:szCs w:val="20"/>
          <w:color w:val="auto"/>
        </w:rPr>
      </w:pPr>
    </w:p>
    <w:p>
      <w:pPr>
        <w:ind w:left="760"/>
        <w:spacing w:after="0"/>
        <w:tabs>
          <w:tab w:leader="none" w:pos="2340" w:val="left"/>
        </w:tabs>
        <w:rPr>
          <w:sz w:val="20"/>
          <w:szCs w:val="20"/>
          <w:color w:val="auto"/>
        </w:rPr>
      </w:pPr>
      <w:r>
        <w:rPr>
          <w:rFonts w:ascii="Times New Roman" w:cs="Times New Roman" w:eastAsia="Times New Roman" w:hAnsi="Times New Roman"/>
          <w:sz w:val="20"/>
          <w:szCs w:val="20"/>
          <w:color w:val="auto"/>
        </w:rPr>
        <w:t>SECTION 7.08</w:t>
      </w:r>
      <w:r>
        <w:rPr>
          <w:sz w:val="20"/>
          <w:szCs w:val="20"/>
          <w:color w:val="auto"/>
        </w:rPr>
        <w:tab/>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Enter into any transaction of any kind with any Affiliate of the Borrower,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w:t>
      </w:r>
    </w:p>
    <w:p>
      <w:pPr>
        <w:spacing w:after="0" w:line="193" w:lineRule="exact"/>
        <w:rPr>
          <w:sz w:val="20"/>
          <w:szCs w:val="20"/>
          <w:color w:val="auto"/>
        </w:rPr>
      </w:pPr>
    </w:p>
    <w:p>
      <w:pPr>
        <w:ind w:right="40" w:firstLine="757"/>
        <w:spacing w:after="0" w:line="268" w:lineRule="auto"/>
        <w:tabs>
          <w:tab w:leader="none" w:pos="11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Borrower or any of the Restricted Subsidiaries or any entity that becomes a Restricted Subsidiary as a result of such transaction;</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on terms substantially as favorable to the Borrower or such Restricted Subsidiary as would be obtainable by the Borrower or such Restricted Subsidiary at the time in a comparable arm’s-length transaction with a Person other than an Affiliate (as determined by the Borrower in good faith);</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1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and the payment of fees and expenses (including the Transaction Expenses) related to the Transactions on or about the Closing Date to the extent such fees and expenses are disclosed to the Administrative Agent prior to the Closing Date;</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transfer of Equity Interests of Holdings or any direct or indirect parent of Holdings to any Affiliate of the Borrower or any former, current or future officer, director, manager, employee or consultant (or any spouses, former spouses, successors, executors, administrators, heirs, legatees or distributees of any of the foregoing) of the Borrower or any of its Subsidiaries or any direct or indirect parent of the Borrower;</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payment of indemnities and expenses (including reimbursement of out-of-pocket expenses) to the Sponsors pursuant to the Sponsor Management Agreement and (ii) so long as no Specified Event of Default shall have occurred and be continuing or would result therefrom, the payment of (A) management, consulting, monitoring, advisory and other fees, indemnities and expenses to the Sponsors pursuant to the Sponsor Management Agreement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any unpaid management, consulting, monitoring, advisory and other fees accrued in any prior year) and (B) any Sponsor Termination Fees pursuant to the Sponsor Management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payments that would otherwise be permitted to be made under this </w:t>
      </w:r>
      <w:r>
        <w:rPr>
          <w:rFonts w:ascii="Times New Roman" w:cs="Times New Roman" w:eastAsia="Times New Roman" w:hAnsi="Times New Roman"/>
          <w:sz w:val="20"/>
          <w:szCs w:val="20"/>
          <w:u w:val="single" w:color="auto"/>
          <w:color w:val="auto"/>
        </w:rPr>
        <w:t>Section 7.08(e)</w:t>
      </w:r>
      <w:r>
        <w:rPr>
          <w:rFonts w:ascii="Times New Roman" w:cs="Times New Roman" w:eastAsia="Times New Roman" w:hAnsi="Times New Roman"/>
          <w:sz w:val="20"/>
          <w:szCs w:val="20"/>
          <w:color w:val="auto"/>
        </w:rPr>
        <w:t xml:space="preserve"> but for a Specified Event of Default may accrue during the continuance of such Event of Default and be paid when such Event of Default is no longer continuing;</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and confidentiality agreements among Holdings, the Borrower and the Restricted Subsidiaries and their respective officers and employees in the ordinary course of business and transactions pursuant to stock option, profits interest and other equity plans and employee benefit plans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0" w:name="page261"/>
    <w:bookmarkEnd w:id="260"/>
    <w:p>
      <w:pPr>
        <w:ind w:left="-757" w:right="60" w:firstLine="757"/>
        <w:spacing w:after="0" w:line="268"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licensing of trademarks, copyrights or other Intellectual Property in the ordinary course of business to permit the commercial exploitation of Intellectual Property between or among Affiliates and Subsidiaries of the Borrower;</w:t>
      </w:r>
    </w:p>
    <w:p>
      <w:pPr>
        <w:spacing w:after="0" w:line="160"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customary fees and reasonable out-of-pocket costs to, and indemnities provided on behalf of, directors, officers, employees and consultants of Holdings, the Borrower and the Restricted Subsidiaries or any direct or indirect parent of Holdings in the ordinary course of business to the extent attributable to the ownership or operation of the Borrower and the Restricted Subsidiaries;</w:t>
      </w:r>
    </w:p>
    <w:p>
      <w:pPr>
        <w:spacing w:after="0" w:line="176"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instrument or arrangement as in effect as of the Closing Date or any amendment thereto (so long as any such amendment is not adverse to the Lenders in any material respect as compared to the applicable agreement as in effect on the Closing Date);</w:t>
      </w:r>
    </w:p>
    <w:p>
      <w:pPr>
        <w:spacing w:after="0" w:line="160"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permitted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Investments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57" w:firstLine="757"/>
        <w:spacing w:after="0" w:line="244"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Specified Event of Default shall have occurred and be continuing or would result therefrom, customary payments by the Borrower and any of the Restricted Subsidiaries to the Sponsors made for any financial advisory, financing, underwriting or placement services or in respect of other investment banking activities (including in connection with acquisitions or divestitures), which payments are approved by a majority of the members of the Board of Directors of Holdings in good faith or a majority of the disinterested members of the Board of Directors of Holdings in good faith;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payments that would otherwise be permitted to be made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7.08(k)</w:t>
      </w:r>
      <w:r>
        <w:rPr>
          <w:rFonts w:ascii="Times New Roman" w:cs="Times New Roman" w:eastAsia="Times New Roman" w:hAnsi="Times New Roman"/>
          <w:sz w:val="20"/>
          <w:szCs w:val="20"/>
          <w:color w:val="auto"/>
        </w:rPr>
        <w:t xml:space="preserve"> but for a Specified Event of Default may accrue during the continuance of such Event of Default and be paid when such Event of Default is no longer continuing;</w:t>
      </w:r>
    </w:p>
    <w:p>
      <w:pPr>
        <w:spacing w:after="0" w:line="183"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in which the Borrower or any of the Restricted Subsidiaries, as the case may be, delivers to the Administrative Agent a letter from an Independent Financial Advisor stating that such transaction is fair to the Borrower or such Restricted Subsidiary from a financial point of view or meets the requirements of clause (b) of this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 xml:space="preserve"> (without giving effect to the parenthetical phrase at the end thereof);</w:t>
      </w:r>
    </w:p>
    <w:p>
      <w:pPr>
        <w:spacing w:after="0" w:line="178"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with consideration valued at less than the greater of (a) 10% of Closing Date EBITDA and (b) 10% of TTM Consolidated Adjusted EBITDA as of the applicable date of measurement;</w:t>
      </w:r>
    </w:p>
    <w:p>
      <w:pPr>
        <w:spacing w:after="0" w:line="160" w:lineRule="exact"/>
        <w:rPr>
          <w:rFonts w:ascii="Times New Roman" w:cs="Times New Roman" w:eastAsia="Times New Roman" w:hAnsi="Times New Roman"/>
          <w:sz w:val="20"/>
          <w:szCs w:val="20"/>
          <w:color w:val="auto"/>
        </w:rPr>
      </w:pPr>
    </w:p>
    <w:p>
      <w:pPr>
        <w:ind w:left="-757" w:right="60" w:firstLine="757"/>
        <w:spacing w:after="0" w:line="268"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Sponsor in securities of Holdings or Indebtedness of Holdings, Borrower or any of the Restricted Subsidiaries so long as the investment is being offered generally to other investors on the same or more favorable terms;</w:t>
      </w:r>
    </w:p>
    <w:p>
      <w:pPr>
        <w:spacing w:after="0" w:line="160"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or from, and transactions with, Joint Ventures;</w:t>
      </w:r>
    </w:p>
    <w:p>
      <w:pPr>
        <w:spacing w:after="0" w:line="214"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Securitization Assets or related assets in connection with any Qualified Securitization Financing;</w:t>
      </w:r>
    </w:p>
    <w:p>
      <w:pPr>
        <w:spacing w:after="0" w:line="214"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38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out-of-pocket costs and expenses relating to registration rights and indemnities provided to shareholders of Holdings or any direct or indirect parent thereof pursuant to the stockholders agreement or the registration and participation rights agreement entered into on the Closing Date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310515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-3905885</wp:posOffset>
            </wp:positionV>
            <wp:extent cx="2508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61" w:name="page262"/>
    <w:bookmarkEnd w:id="261"/>
    <w:p>
      <w:pPr>
        <w:ind w:left="1160" w:hanging="403"/>
        <w:spacing w:after="0"/>
        <w:tabs>
          <w:tab w:leader="none" w:pos="1160"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distribution within sixty days after the date of declaration thereof, if at the date of declaration</w:t>
      </w:r>
    </w:p>
    <w:p>
      <w:pPr>
        <w:spacing w:after="0" w:line="21" w:lineRule="exact"/>
        <w:rPr>
          <w:rFonts w:ascii="Times New Roman" w:cs="Times New Roman" w:eastAsia="Times New Roman" w:hAnsi="Times New Roman"/>
          <w:sz w:val="20"/>
          <w:szCs w:val="20"/>
          <w:color w:val="auto"/>
        </w:rPr>
      </w:pPr>
    </w:p>
    <w:p>
      <w:pPr>
        <w:ind w:left="240" w:hanging="232"/>
        <w:spacing w:after="0"/>
        <w:tabs>
          <w:tab w:leader="none" w:pos="24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would have complied with the provisions of this Agreement and (ii) no Event of Default occurred and was continuing;</w:t>
      </w:r>
    </w:p>
    <w:p>
      <w:pPr>
        <w:spacing w:after="0" w:line="192"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between the Borrower or any of the Subsidiaries and any person, a director of which is also a director of the Borrower or any direct or indirect parent company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such director abstains from voting as a director of the Borrower or such direct or indirect parent company, as the case may be, on any matter involving such other person and (ii) such Person is not an Affiliate of Holdings for any reason other than such director’s acting in such capacity;</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loans (or cancellation of loans) or advances to employees or consultants that are (i) approved by a majority of the disinterested members of the Board of Directors of Holdings or either Borrower in good faith, (ii) made in compliance with applicable law and (iii) otherwise permitted under this Agreement; and</w:t>
      </w:r>
    </w:p>
    <w:p>
      <w:pPr>
        <w:spacing w:after="0" w:line="176" w:lineRule="exact"/>
        <w:rPr>
          <w:rFonts w:ascii="Times New Roman" w:cs="Times New Roman" w:eastAsia="Times New Roman" w:hAnsi="Times New Roman"/>
          <w:sz w:val="20"/>
          <w:szCs w:val="20"/>
          <w:color w:val="auto"/>
        </w:rPr>
      </w:pPr>
    </w:p>
    <w:p>
      <w:pPr>
        <w:jc w:val="both"/>
        <w:ind w:firstLine="757"/>
        <w:spacing w:after="0" w:line="263" w:lineRule="auto"/>
        <w:tabs>
          <w:tab w:leader="none" w:pos="1144" w:val="left"/>
        </w:tabs>
        <w:numPr>
          <w:ilvl w:val="1"/>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transactions (i) with Holdings in its capacity as a party to any Loan Document or to any agreement, document or instrument governing or relating to (A) any Indebtedness permitted to be incurred pursuant to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(including Permitted Refinancings thereof) or</w:t>
      </w:r>
    </w:p>
    <w:p>
      <w:pPr>
        <w:spacing w:after="0" w:line="1" w:lineRule="exact"/>
        <w:rPr>
          <w:rFonts w:ascii="Times New Roman" w:cs="Times New Roman" w:eastAsia="Times New Roman" w:hAnsi="Times New Roman"/>
          <w:sz w:val="19"/>
          <w:szCs w:val="19"/>
          <w:color w:val="auto"/>
        </w:rPr>
      </w:pPr>
    </w:p>
    <w:p>
      <w:pPr>
        <w:jc w:val="both"/>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 or any agreement, document or instrument governing or relating to any Permitted Acquisition (whether or not consummated) and (ii) with any Affiliate in its capacity as a Lender party to any Loan Document or party to any agreement, document or instrument governing or relating to any Indebtedness permitted to be incurred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(including Permitted Refinancings thereof) to the extent such Affiliate is being treated no more favorably than all other Lenders or lenders thereunder;</w:t>
      </w:r>
    </w:p>
    <w:p>
      <w:pPr>
        <w:spacing w:after="0" w:line="187"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7.09 </w:t>
      </w:r>
      <w:r>
        <w:rPr>
          <w:rFonts w:ascii="Times New Roman" w:cs="Times New Roman" w:eastAsia="Times New Roman" w:hAnsi="Times New Roman"/>
          <w:sz w:val="20"/>
          <w:szCs w:val="20"/>
          <w:u w:val="single" w:color="auto"/>
          <w:color w:val="auto"/>
        </w:rPr>
        <w:t>Burdensome Agreements</w:t>
      </w:r>
      <w:r>
        <w:rPr>
          <w:rFonts w:ascii="Times New Roman" w:cs="Times New Roman" w:eastAsia="Times New Roman" w:hAnsi="Times New Roman"/>
          <w:sz w:val="20"/>
          <w:szCs w:val="20"/>
          <w:color w:val="auto"/>
        </w:rPr>
        <w:t>. Enter into or permit to exist any Contractual Obligation (other than this Agreement or any other Loan Document) that prohibits, restricts, imposes any condition on or limits the ability of,</w:t>
      </w:r>
    </w:p>
    <w:p>
      <w:pPr>
        <w:spacing w:after="0" w:line="161" w:lineRule="exact"/>
        <w:rPr>
          <w:sz w:val="20"/>
          <w:szCs w:val="20"/>
          <w:color w:val="auto"/>
        </w:rPr>
      </w:pPr>
    </w:p>
    <w:p>
      <w:pPr>
        <w:ind w:right="20" w:firstLine="757"/>
        <w:spacing w:after="0" w:line="268" w:lineRule="auto"/>
        <w:tabs>
          <w:tab w:leader="none" w:pos="114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that is not a Loan Party to make Restricted Payments to (directly or indirectly) or to make or repay loans or advances to any Loan Party, or</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Loan Party (other than Holdings) to create, incur, assume or suffer to exist Liens on property of such Person for the benefit of the Lenders with respect to the Facility and the Obligations under the Loan Documents and (y) any Loan Party from providing a Guarantee of Obligations of a Loan Party under the Loan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foregoing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apply to Contractual Obligations that:</w:t>
      </w:r>
    </w:p>
    <w:p>
      <w:pPr>
        <w:spacing w:after="0" w:line="219" w:lineRule="exact"/>
        <w:rPr>
          <w:sz w:val="20"/>
          <w:szCs w:val="20"/>
          <w:color w:val="auto"/>
        </w:rPr>
      </w:pPr>
    </w:p>
    <w:p>
      <w:pPr>
        <w:jc w:val="both"/>
        <w:ind w:left="760" w:firstLine="1045"/>
        <w:spacing w:after="0" w:line="249" w:lineRule="auto"/>
        <w:tabs>
          <w:tab w:leader="none" w:pos="220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exist on the Closing Date and (B) to the extent Contractual Obligations permitted by clause (A)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w:t>
      </w:r>
    </w:p>
    <w:p>
      <w:pPr>
        <w:spacing w:after="0" w:line="178"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binding on a Restricted Subsidiary at the time such Restricted Subsidiary first becomes a Restricted Subsidiary, so long as such Contractual Obligations were not entered into in contemplation of such Person becoming a Restricted Subsidiary;</w:t>
      </w:r>
    </w:p>
    <w:p>
      <w:pPr>
        <w:spacing w:after="0" w:line="176"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Contractual Obligations of or represent Indebtedness of a Restricted Subsidiary that is not a Loan Party,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Indebtedness is permitted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2" w:name="page263"/>
    <w:bookmarkEnd w:id="262"/>
    <w:p>
      <w:pPr>
        <w:ind w:left="1440" w:hanging="395"/>
        <w:spacing w:after="0"/>
        <w:tabs>
          <w:tab w:leader="none" w:pos="144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customary restrictions that arise in connection with (A) any Lien permitted by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(jj)</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(kk)</w:t>
      </w:r>
      <w:r>
        <w:rPr>
          <w:rFonts w:ascii="Times New Roman" w:cs="Times New Roman" w:eastAsia="Times New Roman" w:hAnsi="Times New Roman"/>
          <w:sz w:val="20"/>
          <w:szCs w:val="20"/>
          <w:color w:val="auto"/>
        </w:rPr>
        <w:t xml:space="preserve">, and relate to the property subject to such Lien or (B) any Disposition permitted by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applicable pending such Disposition solely to the assets (including Equity Interests) subject to such Disposition;</w:t>
      </w:r>
    </w:p>
    <w:p>
      <w:pPr>
        <w:spacing w:after="0" w:line="185" w:lineRule="exact"/>
        <w:rPr>
          <w:rFonts w:ascii="Times New Roman" w:cs="Times New Roman" w:eastAsia="Times New Roman" w:hAnsi="Times New Roman"/>
          <w:sz w:val="20"/>
          <w:szCs w:val="20"/>
          <w:color w:val="auto"/>
        </w:rPr>
      </w:pPr>
    </w:p>
    <w:p>
      <w:pPr>
        <w:ind w:right="20" w:firstLine="1045"/>
        <w:spacing w:after="0" w:line="268" w:lineRule="auto"/>
        <w:tabs>
          <w:tab w:leader="none" w:pos="1443"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customary provisions in joint venture agreements and other similar agreements applicable to Joint Ventures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applicable solely to such Joint Venture entered into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1045"/>
        <w:spacing w:after="0" w:line="253" w:lineRule="auto"/>
        <w:tabs>
          <w:tab w:leader="none" w:pos="1443"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negative pledges and restrictions on Liens in favor of any holder of Indebtedness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but solely to the extent any negative pledge relates to the property financed by or the subject of such Indebtedness and the proceeds and products thereof;</w:t>
      </w:r>
    </w:p>
    <w:p>
      <w:pPr>
        <w:spacing w:after="0" w:line="176" w:lineRule="exact"/>
        <w:rPr>
          <w:rFonts w:ascii="Times New Roman" w:cs="Times New Roman" w:eastAsia="Times New Roman" w:hAnsi="Times New Roman"/>
          <w:sz w:val="20"/>
          <w:szCs w:val="20"/>
          <w:color w:val="auto"/>
        </w:rPr>
      </w:pPr>
    </w:p>
    <w:p>
      <w:pPr>
        <w:ind w:right="20" w:firstLine="1045"/>
        <w:spacing w:after="0" w:line="268" w:lineRule="auto"/>
        <w:tabs>
          <w:tab w:leader="none" w:pos="1443"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restrictions on leases, subleases, licenses or asset sale agreements otherwise permitted hereby so long as such restrictions relate to the assets subject thereto;</w:t>
      </w:r>
    </w:p>
    <w:p>
      <w:pPr>
        <w:spacing w:after="0" w:line="160" w:lineRule="exact"/>
        <w:rPr>
          <w:rFonts w:ascii="Times New Roman" w:cs="Times New Roman" w:eastAsia="Times New Roman" w:hAnsi="Times New Roman"/>
          <w:sz w:val="20"/>
          <w:szCs w:val="20"/>
          <w:color w:val="auto"/>
        </w:rPr>
      </w:pPr>
    </w:p>
    <w:p>
      <w:pPr>
        <w:jc w:val="both"/>
        <w:ind w:right="20" w:firstLine="1045"/>
        <w:spacing w:after="0" w:line="253" w:lineRule="auto"/>
        <w:tabs>
          <w:tab w:leader="none" w:pos="183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comprise restrictions imposed by any agreement relating to secured Indebtedness permitted pursuant to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to the extent that such restrictions apply only to the property or assets securing such Indebtedness;</w:t>
      </w:r>
    </w:p>
    <w:p>
      <w:pPr>
        <w:spacing w:after="0" w:line="176" w:lineRule="exact"/>
        <w:rPr>
          <w:rFonts w:ascii="Times New Roman" w:cs="Times New Roman" w:eastAsia="Times New Roman" w:hAnsi="Times New Roman"/>
          <w:sz w:val="20"/>
          <w:szCs w:val="20"/>
          <w:color w:val="auto"/>
        </w:rPr>
      </w:pPr>
    </w:p>
    <w:p>
      <w:pPr>
        <w:ind w:right="40" w:firstLine="1045"/>
        <w:spacing w:after="0" w:line="268" w:lineRule="auto"/>
        <w:tabs>
          <w:tab w:leader="none" w:pos="1443"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subletting or assignment of any lease governing a leasehold interest of the Borrower or any Restricted Subsidiary;</w:t>
      </w:r>
    </w:p>
    <w:p>
      <w:pPr>
        <w:spacing w:after="0" w:line="160" w:lineRule="exact"/>
        <w:rPr>
          <w:rFonts w:ascii="Times New Roman" w:cs="Times New Roman" w:eastAsia="Times New Roman" w:hAnsi="Times New Roman"/>
          <w:sz w:val="20"/>
          <w:szCs w:val="20"/>
          <w:color w:val="auto"/>
        </w:rPr>
      </w:pPr>
    </w:p>
    <w:p>
      <w:pPr>
        <w:ind w:left="1440" w:hanging="395"/>
        <w:spacing w:after="0"/>
        <w:tabs>
          <w:tab w:leader="none" w:pos="144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customary provisions restricting assignment of any agreement entered into in the ordinary course of business;</w:t>
      </w:r>
    </w:p>
    <w:p>
      <w:pPr>
        <w:spacing w:after="0" w:line="226" w:lineRule="exact"/>
        <w:rPr>
          <w:rFonts w:ascii="Times New Roman" w:cs="Times New Roman" w:eastAsia="Times New Roman" w:hAnsi="Times New Roman"/>
          <w:sz w:val="19"/>
          <w:szCs w:val="19"/>
          <w:color w:val="auto"/>
        </w:rPr>
      </w:pPr>
    </w:p>
    <w:p>
      <w:pPr>
        <w:ind w:left="1440" w:hanging="395"/>
        <w:spacing w:after="0"/>
        <w:tabs>
          <w:tab w:leader="none" w:pos="144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restrictions on cash or other deposits imposed by customers under contracts entered into in the ordinary course</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business;</w:t>
      </w:r>
    </w:p>
    <w:p>
      <w:pPr>
        <w:spacing w:after="0" w:line="192" w:lineRule="exact"/>
        <w:rPr>
          <w:rFonts w:ascii="Times New Roman" w:cs="Times New Roman" w:eastAsia="Times New Roman" w:hAnsi="Times New Roman"/>
          <w:sz w:val="19"/>
          <w:szCs w:val="19"/>
          <w:color w:val="auto"/>
        </w:rPr>
      </w:pPr>
    </w:p>
    <w:p>
      <w:pPr>
        <w:ind w:left="1440" w:hanging="395"/>
        <w:spacing w:after="0"/>
        <w:tabs>
          <w:tab w:leader="none" w:pos="144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arise in connection with cash or other deposits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1045"/>
        <w:spacing w:after="0" w:line="249" w:lineRule="auto"/>
        <w:tabs>
          <w:tab w:leader="none" w:pos="183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 restrictions that are, taken as a whole, in the good faith judgment of the Borrower, no more restrictive with respect to the Borrower or any Restricted Subsidiary than customary market terms for Indebtedness of such type (and, in any event, are no more restrictive than the restrictions contained in this Agreement), or that the Borrower shall have determined in good faith will not affect its obligation or ability to make any payments required hereunder;</w:t>
      </w:r>
    </w:p>
    <w:p>
      <w:pPr>
        <w:spacing w:after="0" w:line="178" w:lineRule="exact"/>
        <w:rPr>
          <w:rFonts w:ascii="Times New Roman" w:cs="Times New Roman" w:eastAsia="Times New Roman" w:hAnsi="Times New Roman"/>
          <w:sz w:val="20"/>
          <w:szCs w:val="20"/>
          <w:color w:val="auto"/>
        </w:rPr>
      </w:pPr>
    </w:p>
    <w:p>
      <w:pPr>
        <w:ind w:right="40" w:firstLine="1045"/>
        <w:spacing w:after="0" w:line="268" w:lineRule="auto"/>
        <w:tabs>
          <w:tab w:leader="none" w:pos="183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by reason of any applicable Law, rule, regulation or order or are required by any Governmental Authority having jurisdiction over the Borrower or any Restricted Subsidiary;</w:t>
      </w:r>
    </w:p>
    <w:p>
      <w:pPr>
        <w:spacing w:after="0" w:line="160" w:lineRule="exact"/>
        <w:rPr>
          <w:rFonts w:ascii="Times New Roman" w:cs="Times New Roman" w:eastAsia="Times New Roman" w:hAnsi="Times New Roman"/>
          <w:sz w:val="20"/>
          <w:szCs w:val="20"/>
          <w:color w:val="auto"/>
        </w:rPr>
      </w:pPr>
    </w:p>
    <w:p>
      <w:pPr>
        <w:ind w:left="1440" w:hanging="395"/>
        <w:spacing w:after="0"/>
        <w:tabs>
          <w:tab w:leader="none" w:pos="144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customary restrictions contained in Indebtedness permitted to be incurred pursuant to </w:t>
      </w:r>
      <w:r>
        <w:rPr>
          <w:rFonts w:ascii="Times New Roman" w:cs="Times New Roman" w:eastAsia="Times New Roman" w:hAnsi="Times New Roman"/>
          <w:sz w:val="19"/>
          <w:szCs w:val="19"/>
          <w:u w:val="single" w:color="auto"/>
          <w:color w:val="auto"/>
        </w:rPr>
        <w:t>Section 7.03 (h)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 (k)</w:t>
      </w:r>
      <w:r>
        <w:rPr>
          <w:rFonts w:ascii="Times New Roman" w:cs="Times New Roman" w:eastAsia="Times New Roman" w:hAnsi="Times New Roman"/>
          <w:sz w:val="19"/>
          <w:szCs w:val="19"/>
          <w:color w:val="auto"/>
        </w:rPr>
        <w:t>,</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or</w:t>
      </w:r>
    </w:p>
    <w:p>
      <w:pPr>
        <w:spacing w:after="0" w:line="192" w:lineRule="exact"/>
        <w:rPr>
          <w:rFonts w:ascii="Times New Roman" w:cs="Times New Roman" w:eastAsia="Times New Roman" w:hAnsi="Times New Roman"/>
          <w:sz w:val="19"/>
          <w:szCs w:val="19"/>
          <w:color w:val="auto"/>
        </w:rPr>
      </w:pPr>
    </w:p>
    <w:p>
      <w:pPr>
        <w:ind w:left="1840" w:hanging="795"/>
        <w:spacing w:after="0"/>
        <w:tabs>
          <w:tab w:leader="none" w:pos="184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restrictions contained in the Second Lien Credit Documents and any Permitted Refinancing of any of the</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321310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6" w:right="339" w:bottom="1440" w:gutter="0" w:footer="0" w:header="0"/>
        </w:sectPr>
      </w:pPr>
    </w:p>
    <w:bookmarkStart w:id="263" w:name="page264"/>
    <w:bookmarkEnd w:id="263"/>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u w:val="single" w:color="auto"/>
          <w:color w:val="auto"/>
        </w:rPr>
        <w:t>Prepayments, Etc. of Junior Financing; Amendments to Junior Financing Documents and Organizational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757"/>
        <w:spacing w:after="0" w:line="268" w:lineRule="auto"/>
        <w:tabs>
          <w:tab w:leader="none" w:pos="1144"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Prepayments of Junior Financing</w:t>
      </w:r>
      <w:r>
        <w:rPr>
          <w:rFonts w:ascii="Times New Roman" w:cs="Times New Roman" w:eastAsia="Times New Roman" w:hAnsi="Times New Roman"/>
          <w:sz w:val="20"/>
          <w:szCs w:val="20"/>
          <w:color w:val="auto"/>
        </w:rPr>
        <w:t>. Prepay, repay, redeem, purchase, defease or otherwise satisfy prior to the scheduled maturity thereof any Junior Financing, except:</w:t>
      </w:r>
    </w:p>
    <w:p>
      <w:pPr>
        <w:spacing w:after="0" w:line="160"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thereof with the Net Cash Proceeds of, or in exchange for, any Permitted Refinancing;</w:t>
      </w:r>
    </w:p>
    <w:p>
      <w:pPr>
        <w:spacing w:after="0" w:line="214"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conversion of any Junior Financing to Equity Interests (other than Disqualified Equity Interests) of Holdings or any of its direct or indirect parents that are not Loan Parties;</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prepayment of Indebtedness of the Borrower or any Restricted Subsidiary owed to Holdings, the Borrower or a Restricted Subsidiary;</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0" w:lineRule="auto"/>
        <w:tabs>
          <w:tab w:leader="none" w:pos="220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prepayment, repayment, redemption, purchase, defeasance or satisfaction of any Junior Financing with the proceeds of (1) any other Junior Financing or Junior Lien Debt otherwise permitted to be incurred at such time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w:t>
      </w:r>
    </w:p>
    <w:p>
      <w:pPr>
        <w:spacing w:after="0" w:line="1" w:lineRule="exact"/>
        <w:rPr>
          <w:rFonts w:ascii="Times New Roman" w:cs="Times New Roman" w:eastAsia="Times New Roman" w:hAnsi="Times New Roman"/>
          <w:sz w:val="20"/>
          <w:szCs w:val="20"/>
          <w:color w:val="auto"/>
        </w:rPr>
      </w:pPr>
    </w:p>
    <w:p>
      <w:pPr>
        <w:jc w:val="both"/>
        <w:ind w:left="760" w:right="2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any Qualified Equity Interests or contribution to the common Equity Interests capital of the Borrower after the Closing Date (other than the Equity Contribution or any Specified Equity Contribution) that is Not Otherwise Applied;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prepayment, repayment, redemption, purchase, defeasance or satisfaction is made within 60 days after receipt of such proceeds of Qualified Equity Interests and no Default has occurred and is continuing or would result therefrom;</w:t>
      </w:r>
    </w:p>
    <w:p>
      <w:pPr>
        <w:spacing w:after="0" w:line="186"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prepayments, repayments, redemptions, purchases, defeasances or satisfactions in an aggregate amount not to exceed the sum of:</w:t>
      </w:r>
    </w:p>
    <w:p>
      <w:pPr>
        <w:spacing w:after="0" w:line="160"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2"/>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50% of Closing Date EBITDA and (B) 50% of TTM Consolidated Adjusted EBITDA of the Borrower on a Pro Forma Basis as of the applicable date of determination, and</w:t>
      </w:r>
    </w:p>
    <w:p>
      <w:pPr>
        <w:spacing w:after="0" w:line="156" w:lineRule="exact"/>
        <w:rPr>
          <w:rFonts w:ascii="Times New Roman" w:cs="Times New Roman" w:eastAsia="Times New Roman" w:hAnsi="Times New Roman"/>
          <w:sz w:val="20"/>
          <w:szCs w:val="20"/>
          <w:color w:val="auto"/>
        </w:rPr>
      </w:pPr>
    </w:p>
    <w:p>
      <w:pPr>
        <w:jc w:val="both"/>
        <w:ind w:left="1500" w:firstLine="754"/>
        <w:spacing w:after="0" w:line="275" w:lineRule="auto"/>
        <w:tabs>
          <w:tab w:leader="none" w:pos="2644" w:val="left"/>
        </w:tabs>
        <w:numPr>
          <w:ilvl w:val="2"/>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Available Amount at such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Event of Default shall have occurred and be continuing or would result therefrom (except to the extent such prepayment, repayment, redemption, purchase, defeasance or satisfaction is funded exclusively in reliance on </w:t>
      </w:r>
      <w:r>
        <w:rPr>
          <w:rFonts w:ascii="Times New Roman" w:cs="Times New Roman" w:eastAsia="Times New Roman" w:hAnsi="Times New Roman"/>
          <w:sz w:val="19"/>
          <w:szCs w:val="19"/>
          <w:u w:val="single" w:color="auto"/>
          <w:color w:val="auto"/>
        </w:rPr>
        <w:t>clauses (c)</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Available Amount);</w:t>
      </w:r>
    </w:p>
    <w:p>
      <w:pPr>
        <w:spacing w:after="0" w:line="156" w:lineRule="exact"/>
        <w:rPr>
          <w:rFonts w:ascii="Times New Roman" w:cs="Times New Roman" w:eastAsia="Times New Roman" w:hAnsi="Times New Roman"/>
          <w:sz w:val="19"/>
          <w:szCs w:val="19"/>
          <w:color w:val="auto"/>
        </w:rPr>
      </w:pPr>
    </w:p>
    <w:p>
      <w:pPr>
        <w:ind w:left="760" w:right="20" w:firstLine="1045"/>
        <w:spacing w:after="0" w:line="268" w:lineRule="auto"/>
        <w:tabs>
          <w:tab w:leader="none" w:pos="220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prepayment, repayment, redemption, purchase, defeasance or satisfaction of any Junior Financing within 60 days of giving notice thereof if at the date of such notice, such payment would have been permitted hereunder;</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prepayments, repayments, redemptions, purchases, defeasances or satisfactions, if the First Lien Net Leverage Ratio (after giving Pro Forma Effect to the incurrence of such payments and the use of proceeds thereof) for the Test Period immediately preceding the incurrence of such payments shall be less than or equal to the Closing Date First Lien Net Leverage Ratio less 0.50 to 1.00; and</w:t>
      </w:r>
    </w:p>
    <w:p>
      <w:pPr>
        <w:spacing w:after="0" w:line="178" w:lineRule="exact"/>
        <w:rPr>
          <w:rFonts w:ascii="Times New Roman" w:cs="Times New Roman" w:eastAsia="Times New Roman" w:hAnsi="Times New Roman"/>
          <w:sz w:val="20"/>
          <w:szCs w:val="20"/>
          <w:color w:val="auto"/>
        </w:rPr>
      </w:pPr>
    </w:p>
    <w:p>
      <w:pPr>
        <w:ind w:left="760" w:firstLine="1045"/>
        <w:spacing w:after="0" w:line="268" w:lineRule="auto"/>
        <w:tabs>
          <w:tab w:leader="none" w:pos="2599"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prepayments, repayments, redemptions, purchases, defeasances or satisfactions made on the Closing Date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4" w:name="page265"/>
    <w:bookmarkEnd w:id="264"/>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each of the following shall be permitted: payments of regularly scheduled principal and interest (including default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and any AHYDO catch-up payment) on Junior Financing, payments of closing and consent fees related to Junior Financing, indemnity and expense reimbursement payments in connection with Junior Financing, and mandatory prepayments, mandatory redemptions and mandatory purchases, in each case pursuant to the terms Junior Financing Documentation.</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The amount set forth in </w:t>
      </w:r>
      <w:r>
        <w:rPr>
          <w:rFonts w:ascii="Times New Roman" w:cs="Times New Roman" w:eastAsia="Times New Roman" w:hAnsi="Times New Roman"/>
          <w:sz w:val="20"/>
          <w:szCs w:val="20"/>
          <w:u w:val="single" w:color="auto"/>
          <w:color w:val="auto"/>
        </w:rPr>
        <w:t>Section 7.10(a)(v)(A)</w:t>
      </w:r>
      <w:r>
        <w:rPr>
          <w:rFonts w:ascii="Times New Roman" w:cs="Times New Roman" w:eastAsia="Times New Roman" w:hAnsi="Times New Roman"/>
          <w:sz w:val="20"/>
          <w:szCs w:val="20"/>
          <w:color w:val="auto"/>
        </w:rPr>
        <w:t xml:space="preserve"> may, in lieu of prepayments, repayments, redemptions, purchases, defeasance or satisfaction of any Junior Financing, be utilized by the Borrower or any Restricted Subsidiary to make or hold any Investments without regard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7.10(a)</w:t>
      </w:r>
      <w:r>
        <w:rPr>
          <w:rFonts w:ascii="Times New Roman" w:cs="Times New Roman" w:eastAsia="Times New Roman" w:hAnsi="Times New Roman"/>
          <w:sz w:val="20"/>
          <w:szCs w:val="20"/>
          <w:color w:val="auto"/>
        </w:rPr>
        <w:t>,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spacing w:after="0" w:line="183" w:lineRule="exact"/>
        <w:rPr>
          <w:sz w:val="20"/>
          <w:szCs w:val="20"/>
          <w:color w:val="auto"/>
        </w:rPr>
      </w:pPr>
    </w:p>
    <w:p>
      <w:pPr>
        <w:ind w:firstLine="757"/>
        <w:spacing w:after="0" w:line="268" w:lineRule="auto"/>
        <w:tabs>
          <w:tab w:leader="none" w:pos="1158"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Second Lien Credit Agreement and Junior Financing</w:t>
      </w:r>
      <w:r>
        <w:rPr>
          <w:rFonts w:ascii="Times New Roman" w:cs="Times New Roman" w:eastAsia="Times New Roman" w:hAnsi="Times New Roman"/>
          <w:sz w:val="20"/>
          <w:szCs w:val="20"/>
          <w:color w:val="auto"/>
        </w:rPr>
        <w:t>. Amend, modify or change in any manner without the consent of the Administrative Agent,</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7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Lien Credit Documents in a manner that is (or would be) materially adverse to the interests of the Lenders (taken as a whole), or</w:t>
      </w:r>
    </w:p>
    <w:p>
      <w:pPr>
        <w:spacing w:after="0" w:line="160" w:lineRule="exact"/>
        <w:rPr>
          <w:rFonts w:ascii="Times New Roman" w:cs="Times New Roman" w:eastAsia="Times New Roman" w:hAnsi="Times New Roman"/>
          <w:sz w:val="20"/>
          <w:szCs w:val="20"/>
          <w:color w:val="auto"/>
        </w:rPr>
      </w:pPr>
    </w:p>
    <w:p>
      <w:pPr>
        <w:ind w:left="760" w:firstLine="1045"/>
        <w:spacing w:after="0" w:line="268" w:lineRule="auto"/>
        <w:tabs>
          <w:tab w:leader="none" w:pos="2203"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Junior Financing Documentation in a manner that is (or would be) materially adverse to the interests of the Lenders (taken as a whole),</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each case, other than as a result of a Permitted Refinancing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within such five Business Day period that it disagrees with such determination (including a reasonably detailed description of the basis upon which it disagrees).</w:t>
      </w:r>
    </w:p>
    <w:p>
      <w:pPr>
        <w:spacing w:after="0" w:line="187" w:lineRule="exact"/>
        <w:rPr>
          <w:sz w:val="20"/>
          <w:szCs w:val="20"/>
          <w:color w:val="auto"/>
        </w:rPr>
      </w:pPr>
    </w:p>
    <w:p>
      <w:pPr>
        <w:jc w:val="both"/>
        <w:ind w:firstLine="757"/>
        <w:spacing w:after="0" w:line="242" w:lineRule="auto"/>
        <w:tabs>
          <w:tab w:leader="none" w:pos="114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Organizational Documents</w:t>
      </w:r>
      <w:r>
        <w:rPr>
          <w:rFonts w:ascii="Times New Roman" w:cs="Times New Roman" w:eastAsia="Times New Roman" w:hAnsi="Times New Roman"/>
          <w:sz w:val="20"/>
          <w:szCs w:val="20"/>
          <w:color w:val="auto"/>
        </w:rPr>
        <w:t xml:space="preserve">. Amend, modify or change its certificate or articles of incorporation (including by the filing or modification of any certificate or articles of designation), certificate of formation, limited liability company agreement or by-laws (or the equivalent organizational documents), as applicable, in each case, in any manner materially adverse to the interests of the Lenders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within such five Business Day period that it disagrees with such determination (including a reasonably detailed description of the basis upon which it disagrees).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5" w:name="page266"/>
    <w:bookmarkEnd w:id="265"/>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u w:val="single" w:color="auto"/>
          <w:color w:val="auto"/>
        </w:rPr>
        <w:t>Passive Holding Company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757" w:right="40" w:firstLine="757"/>
        <w:spacing w:after="0" w:line="268" w:lineRule="auto"/>
        <w:tabs>
          <w:tab w:leader="none" w:pos="388"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Holdings, engage in any active trade or business, it being agreed that the following activities (and activities incidental thereto) will not be prohibited:</w:t>
      </w:r>
    </w:p>
    <w:p>
      <w:pPr>
        <w:spacing w:after="0" w:line="160"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ownership of the Equity Interests of the Borrower;</w:t>
      </w:r>
    </w:p>
    <w:p>
      <w:pPr>
        <w:spacing w:after="0" w:line="214"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maintenance of its legal existence (including the ability to incur fees, costs and expenses relating to such</w:t>
      </w:r>
    </w:p>
    <w:p>
      <w:pPr>
        <w:spacing w:after="0" w:line="21" w:lineRule="exact"/>
        <w:rPr>
          <w:rFonts w:ascii="Times New Roman" w:cs="Times New Roman" w:eastAsia="Times New Roman" w:hAnsi="Times New Roman"/>
          <w:sz w:val="20"/>
          <w:szCs w:val="20"/>
          <w:color w:val="auto"/>
        </w:rPr>
      </w:pP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w:t>
      </w:r>
    </w:p>
    <w:p>
      <w:pPr>
        <w:spacing w:after="0" w:line="192" w:lineRule="exact"/>
        <w:rPr>
          <w:rFonts w:ascii="Times New Roman" w:cs="Times New Roman" w:eastAsia="Times New Roman" w:hAnsi="Times New Roman"/>
          <w:sz w:val="20"/>
          <w:szCs w:val="20"/>
          <w:color w:val="auto"/>
        </w:rPr>
      </w:pPr>
    </w:p>
    <w:p>
      <w:pPr>
        <w:ind w:left="3" w:right="40" w:firstLine="1045"/>
        <w:spacing w:after="0" w:line="268" w:lineRule="auto"/>
        <w:tabs>
          <w:tab w:leader="none" w:pos="144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performance of its obligations and payments with respect to any Indebtedness permitted to be incurred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any Qualified Holding Company Debt or any Permitted Refinancing of any of the foregoing;</w:t>
      </w:r>
    </w:p>
    <w:p>
      <w:pPr>
        <w:spacing w:after="0" w:line="160"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public offering of its common stock or any other issuance of its Equity Interests (including Qualified Equity</w:t>
      </w:r>
    </w:p>
    <w:p>
      <w:pPr>
        <w:spacing w:after="0" w:line="21" w:lineRule="exact"/>
        <w:rPr>
          <w:rFonts w:ascii="Times New Roman" w:cs="Times New Roman" w:eastAsia="Times New Roman" w:hAnsi="Times New Roman"/>
          <w:sz w:val="20"/>
          <w:szCs w:val="20"/>
          <w:color w:val="auto"/>
        </w:rPr>
      </w:pP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Interests);</w:t>
      </w:r>
    </w:p>
    <w:p>
      <w:pPr>
        <w:spacing w:after="0" w:line="192"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(i) payments or Restricted Payments to the extent otherwise permitted under this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(ii) Restricted Payments with any amounts received pursuant to transactions permitted under, and for the purposes contemplated by,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Qualified Holding Company Debt;</w:t>
      </w:r>
    </w:p>
    <w:p>
      <w:pPr>
        <w:spacing w:after="0" w:line="214"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contributions to the capital of its Subsidiaries;</w:t>
      </w:r>
    </w:p>
    <w:p>
      <w:pPr>
        <w:spacing w:after="0" w:line="214" w:lineRule="exact"/>
        <w:rPr>
          <w:rFonts w:ascii="Times New Roman" w:cs="Times New Roman" w:eastAsia="Times New Roman" w:hAnsi="Times New Roman"/>
          <w:sz w:val="20"/>
          <w:szCs w:val="20"/>
          <w:color w:val="auto"/>
        </w:rPr>
      </w:pPr>
    </w:p>
    <w:p>
      <w:pPr>
        <w:ind w:left="3" w:right="40" w:firstLine="1045"/>
        <w:spacing w:after="0" w:line="268" w:lineRule="auto"/>
        <w:tabs>
          <w:tab w:leader="none" w:pos="1842"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guaranteeing the obligations of the Borrower and its Subsidiaries in each case solely to the extent such obligations of the Borrower and its Subsidiaries are not prohibited hereunder;</w:t>
      </w:r>
    </w:p>
    <w:p>
      <w:pPr>
        <w:spacing w:after="0" w:line="160" w:lineRule="exact"/>
        <w:rPr>
          <w:rFonts w:ascii="Times New Roman" w:cs="Times New Roman" w:eastAsia="Times New Roman" w:hAnsi="Times New Roman"/>
          <w:sz w:val="20"/>
          <w:szCs w:val="20"/>
          <w:color w:val="auto"/>
        </w:rPr>
      </w:pPr>
    </w:p>
    <w:p>
      <w:pPr>
        <w:ind w:left="3" w:right="40" w:firstLine="1045"/>
        <w:spacing w:after="0" w:line="268" w:lineRule="auto"/>
        <w:tabs>
          <w:tab w:leader="none" w:pos="144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participating in tax, accounting and other administrative matters as a member of a consolidated, combined or unitary group that includes Holdings and the Borrower;</w:t>
      </w:r>
    </w:p>
    <w:p>
      <w:pPr>
        <w:spacing w:after="0" w:line="160" w:lineRule="exact"/>
        <w:rPr>
          <w:rFonts w:ascii="Times New Roman" w:cs="Times New Roman" w:eastAsia="Times New Roman" w:hAnsi="Times New Roman"/>
          <w:sz w:val="20"/>
          <w:szCs w:val="20"/>
          <w:color w:val="auto"/>
        </w:rPr>
      </w:pPr>
    </w:p>
    <w:p>
      <w:pPr>
        <w:ind w:left="3" w:right="60" w:firstLine="1045"/>
        <w:spacing w:after="0" w:line="268" w:lineRule="auto"/>
        <w:tabs>
          <w:tab w:leader="none" w:pos="144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 any cash or property received in connection with Restricted Payments made by the Borrower in accordance with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pending application thereof by Holdings;</w:t>
      </w:r>
    </w:p>
    <w:p>
      <w:pPr>
        <w:spacing w:after="0" w:line="160"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indemnification to officers and directors;</w:t>
      </w:r>
    </w:p>
    <w:p>
      <w:pPr>
        <w:spacing w:after="0" w:line="214"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Investments in assets that are Cash Equivalents; and</w:t>
      </w:r>
    </w:p>
    <w:p>
      <w:pPr>
        <w:spacing w:after="0" w:line="214" w:lineRule="exact"/>
        <w:rPr>
          <w:rFonts w:ascii="Times New Roman" w:cs="Times New Roman" w:eastAsia="Times New Roman" w:hAnsi="Times New Roman"/>
          <w:sz w:val="20"/>
          <w:szCs w:val="20"/>
          <w:color w:val="auto"/>
        </w:rPr>
      </w:pPr>
    </w:p>
    <w:p>
      <w:pPr>
        <w:ind w:left="1843" w:hanging="795"/>
        <w:spacing w:after="0"/>
        <w:tabs>
          <w:tab w:leader="none" w:pos="18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activities incidental to the businesses or activities described in clauses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7.11(a)</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jc w:val="both"/>
        <w:ind w:left="-757" w:firstLine="757"/>
        <w:spacing w:after="0" w:line="255" w:lineRule="auto"/>
        <w:tabs>
          <w:tab w:leader="none" w:pos="388"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may not merge, dissolve, liquidate or consolidated with or into any other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as long as no Default exists or would result therefrom, Holdings may merge or consolidate with any other Person if the following conditions are satisfied:</w:t>
      </w:r>
    </w:p>
    <w:p>
      <w:pPr>
        <w:spacing w:after="0" w:line="174"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be the continuing or surviving Person, or</w:t>
      </w:r>
    </w:p>
    <w:p>
      <w:pPr>
        <w:spacing w:after="0" w:line="214" w:lineRule="exact"/>
        <w:rPr>
          <w:rFonts w:ascii="Times New Roman" w:cs="Times New Roman" w:eastAsia="Times New Roman" w:hAnsi="Times New Roman"/>
          <w:sz w:val="20"/>
          <w:szCs w:val="20"/>
          <w:color w:val="auto"/>
        </w:rPr>
      </w:pPr>
    </w:p>
    <w:p>
      <w:pPr>
        <w:ind w:left="3" w:right="40" w:firstLine="1045"/>
        <w:spacing w:after="0" w:line="268" w:lineRule="auto"/>
        <w:tabs>
          <w:tab w:leader="none" w:pos="144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formed by or surviving any such merger, amalgamation or consolidation is not Holdings or is a Person into which Holdings has been liquidated,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66" w:name="page267"/>
    <w:bookmarkEnd w:id="266"/>
    <w:p>
      <w:pPr>
        <w:ind w:left="1500" w:firstLine="754"/>
        <w:spacing w:after="0" w:line="268" w:lineRule="auto"/>
        <w:tabs>
          <w:tab w:leader="none" w:pos="2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Holdings shall be an entity organized or existing under the laws of the United States, any state thereof or the District of Columbia,</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Holdings shall expressly assume all the obligations of Holdings under this Agreement and the other Loan Documents to which Holdings is a party pursuant to a supplement hereto or thereto in form reasonably satisfactory to the Administrative Agent,</w:t>
      </w:r>
    </w:p>
    <w:p>
      <w:pPr>
        <w:spacing w:after="0" w:line="176" w:lineRule="exact"/>
        <w:rPr>
          <w:rFonts w:ascii="Times New Roman" w:cs="Times New Roman" w:eastAsia="Times New Roman" w:hAnsi="Times New Roman"/>
          <w:sz w:val="20"/>
          <w:szCs w:val="20"/>
          <w:color w:val="auto"/>
        </w:rPr>
      </w:pPr>
    </w:p>
    <w:p>
      <w:pPr>
        <w:ind w:left="1500" w:firstLine="754"/>
        <w:spacing w:after="0" w:line="268" w:lineRule="auto"/>
        <w:tabs>
          <w:tab w:leader="none" w:pos="2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Holdings shall pledge 100% of the Equity Interest of the Borrower to the Collateral Agent as Collateral to secure the Obligations in form reasonably satisfactory to the Administrative Agent, and</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an officer’s certificate and an opinion of counsel, each stating that such merger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183"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20"/>
          <w:szCs w:val="20"/>
          <w:color w:val="auto"/>
        </w:rPr>
        <w:t>it being agreed that if the foregoing are satisfied, the Successor Holdings will succeed to, and be substituted for, Holdings under this Agreement.</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herein to the contrary, in the event of any merger, dissolution, liquidation, consolidation, amalgamation or Division of Holdings effected in accordance with this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the Borrower shall or shall cause, with respect to the surviving Person (or new direct parent entity) (x) promptly deliver or cause to be delivered to the Administrative Agent for further distribution by the Administrative Agent to each Lender (1) such information and documentation reasonably requested by the Administrative Agent or any Lender in order to comply with applicable “know your customer” and anti-money laundering rules and regulations, including the USA PATRIOT Act and (2) a Beneficial Ownership Certification and (y) do, execute, acknowledge, deliver, record, re-record, file, re-file, register and re-register any and all such further acts, deeds, certificates, assurances and other instruments as the Administrative Agent or Collateral Agent may reasonably request in order to perfect or continue the perfection of the Liens granted or purported to be granted by the Collateral Documents as promptly as practicable.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Covenant</w:t>
      </w:r>
    </w:p>
    <w:p>
      <w:pPr>
        <w:spacing w:after="0" w:line="19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So long as the Termination Conditions have not been satisfied, the Borrower and each of the Restricted Subsidiaries covenant and agree that:</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First Lien Net Leverage Ratio</w:t>
      </w:r>
      <w:r>
        <w:rPr>
          <w:rFonts w:ascii="Times New Roman" w:cs="Times New Roman" w:eastAsia="Times New Roman" w:hAnsi="Times New Roman"/>
          <w:sz w:val="20"/>
          <w:szCs w:val="20"/>
          <w:color w:val="auto"/>
        </w:rPr>
        <w:t xml:space="preserve">. Commencing with the Test Period ending on the last day of the second full fiscal quarter ended after the Closing Date, the Borrower shall not permit the First Lien Net Leverage Ratio on the last day of each Test Period to be greater than 8.25 to 1.00 if the aggregate outstanding principal amount of Revolving Loans, Swing Line Loans and Letters of Credit (but excluding (i) undrawn amounts under any Letters of Credit to the extent Cash Collateralized and (ii) undrawn amounts under any other Letters of Credit in an aggregate face amount of up to $7,500,000) exceeds (or exceeded) 35% of the then outstanding Revolving Commitments in effect on such date. To the extent required to be tested with respect to any Test Period pursuant to the preceding sentence, compliance with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shall be tested on the date that the Compliance Certificate for the applicable Test Period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7" w:name="page268"/>
    <w:bookmarkEnd w:id="267"/>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Borrower’s Right to Cure</w:t>
      </w:r>
      <w:r>
        <w:rPr>
          <w:rFonts w:ascii="Times New Roman" w:cs="Times New Roman" w:eastAsia="Times New Roman" w:hAnsi="Times New Roman"/>
          <w:sz w:val="20"/>
          <w:szCs w:val="20"/>
          <w:color w:val="auto"/>
        </w:rPr>
        <w:t xml:space="preserve">. Notwithstanding anything to the contrary contained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in the event that the First Lien Net Leverage Ratio is greater than the amount set forth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on the last day of any applicable Test Period, any equity contribution (in the form of (x) common Equity Interests or (y) preferred equity or other equity that is on terms reasonably acceptable to the Administrative Agent) made to the Borrower after the last day of such Test Period and on or prior to the day that is ten Business Days after the day on which financial statements are required to be delivered for such Test Period (such date, the “</w:t>
      </w:r>
      <w:r>
        <w:rPr>
          <w:rFonts w:ascii="Times New Roman" w:cs="Times New Roman" w:eastAsia="Times New Roman" w:hAnsi="Times New Roman"/>
          <w:sz w:val="20"/>
          <w:szCs w:val="20"/>
          <w:b w:val="1"/>
          <w:bCs w:val="1"/>
          <w:color w:val="auto"/>
        </w:rPr>
        <w:t>Cure Expiration Date</w:t>
      </w:r>
      <w:r>
        <w:rPr>
          <w:rFonts w:ascii="Times New Roman" w:cs="Times New Roman" w:eastAsia="Times New Roman" w:hAnsi="Times New Roman"/>
          <w:sz w:val="20"/>
          <w:szCs w:val="20"/>
          <w:color w:val="auto"/>
        </w:rPr>
        <w:t xml:space="preserve">”) will, at the request of the Borrower, be included in the calculation of Consolidated Adjusted EBITDA solely for the purposes of determining compliance with the financial covenant set forth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at the end of such Test Period and any subsequent period that includes a fiscal quarter in such Test Period (any such equity contribution, a “</w:t>
      </w:r>
      <w:r>
        <w:rPr>
          <w:rFonts w:ascii="Times New Roman" w:cs="Times New Roman" w:eastAsia="Times New Roman" w:hAnsi="Times New Roman"/>
          <w:sz w:val="20"/>
          <w:szCs w:val="20"/>
          <w:b w:val="1"/>
          <w:bCs w:val="1"/>
          <w:color w:val="auto"/>
        </w:rPr>
        <w:t>Specified Equity 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7" w:lineRule="exact"/>
        <w:rPr>
          <w:sz w:val="20"/>
          <w:szCs w:val="20"/>
          <w:color w:val="auto"/>
        </w:rPr>
      </w:pPr>
    </w:p>
    <w:p>
      <w:pPr>
        <w:jc w:val="both"/>
        <w:ind w:right="20" w:firstLine="757"/>
        <w:spacing w:after="0" w:line="253" w:lineRule="auto"/>
        <w:tabs>
          <w:tab w:leader="none" w:pos="114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Revolving Lender shall be required to make any new extension of credit under a Loan Document during the ten Business Day period referred to above if the Borrower has not received the proceeds of such Specified Equity Contribution prior to or concurrently with such extension;</w:t>
      </w:r>
    </w:p>
    <w:p>
      <w:pPr>
        <w:spacing w:after="0" w:line="176"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be permitted to so request that a Specified Equity Contribution be included in the calculation of Consolidated Adjusted EBITDA with respect to any fiscal quarter unless, after giving effect to such requested Specified Equity Contribution, there would be at least two fiscal quarters in the Relevant Four Fiscal Quarter Period in which no Specified Equity Contribution has been made;</w:t>
      </w:r>
    </w:p>
    <w:p>
      <w:pPr>
        <w:spacing w:after="0" w:line="1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five Specified Equity Contributions will be made in the aggregate;</w:t>
      </w:r>
    </w:p>
    <w:p>
      <w:pPr>
        <w:spacing w:after="0" w:line="214"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Specified Equity Contribution and the use of any proceeds therefrom will be no greater than the amount required to cause the Borrower to be in compliance with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proceeds of Specified Equity Contributions will be disregarded for all other purposes under the Loan Documents (including calculating Consolidated Adjusted EBITDA for purposes of determining basket levels, pricing (including the Applicable Rate and the Applicable Commitment Fee) and other items governed by reference to Consolidated Adjusted EBITDA or any ratio-based basket, and for purposes of the Restricted Payments covenant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the other negative covenants); and</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shall be no reduction in Indebtedness pursuant to a cash netting provision with the proceeds of any Specified Equity Contribution for purposes of determining compliance with the financial covenant set forth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for the fiscal quarter for which such Specified Equity Contribution was made.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and Remedies</w:t>
      </w:r>
    </w:p>
    <w:p>
      <w:pPr>
        <w:spacing w:after="0" w:line="193"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xml:space="preserve">. Each of the events referred to in clauses (a) through (k)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shall constitute an “Event of Default”:</w:t>
      </w:r>
    </w:p>
    <w:p>
      <w:pPr>
        <w:spacing w:after="0" w:line="161" w:lineRule="exact"/>
        <w:rPr>
          <w:sz w:val="20"/>
          <w:szCs w:val="20"/>
          <w:color w:val="auto"/>
        </w:rPr>
      </w:pPr>
    </w:p>
    <w:p>
      <w:pPr>
        <w:jc w:val="both"/>
        <w:ind w:right="20" w:firstLine="757"/>
        <w:spacing w:after="0" w:line="253" w:lineRule="auto"/>
        <w:tabs>
          <w:tab w:leader="none" w:pos="11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 or any Subsidiary Guarantor fails to pay (i) when and as required to be paid herein, any amount of principal of any Loan, or (ii) within five Business Days after the same becomes due, any interest on any Loan or any fee payable pursuant to the terms of a Loan Document; or</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158"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Borrower, any Subsidiary Guarantor or, in the case of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Holdings, fails to perform or observe any term, covenant or agreement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8" w:name="page269"/>
    <w:bookmarkEnd w:id="268"/>
    <w:p>
      <w:pPr>
        <w:ind w:left="2200" w:hanging="395"/>
        <w:spacing w:after="0"/>
        <w:tabs>
          <w:tab w:leader="none" w:pos="2200"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(solely with respect to the Borrower)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4" w:lineRule="auto"/>
        <w:tabs>
          <w:tab w:leader="none" w:pos="2217"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(any such failure to observe any term, covenant or agreement contained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 any failure to observe other Financial Covenants contained from time to time in a Loan Document, a “</w:t>
      </w:r>
      <w:r>
        <w:rPr>
          <w:rFonts w:ascii="Times New Roman" w:cs="Times New Roman" w:eastAsia="Times New Roman" w:hAnsi="Times New Roman"/>
          <w:sz w:val="20"/>
          <w:szCs w:val="20"/>
          <w:b w:val="1"/>
          <w:bCs w:val="1"/>
          <w:color w:val="auto"/>
        </w:rPr>
        <w:t>Financial Covenant Event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 Financial Covenant Event of Default shall not constitute an Event of Default with respect to any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Loans or any other Facility (other than the Revolving Facility incurred on the Closing Date unless such Financial Covenant is, by its terms, applicable to such other Facility) unless and until the date on which the Revolving Lenders have terminated all Revolving Commitments and declared all Revolving Loans to be immediately due and payable in accordance with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and such termination and declaration has not been rescinded (a “</w:t>
      </w:r>
      <w:r>
        <w:rPr>
          <w:rFonts w:ascii="Times New Roman" w:cs="Times New Roman" w:eastAsia="Times New Roman" w:hAnsi="Times New Roman"/>
          <w:sz w:val="20"/>
          <w:szCs w:val="20"/>
          <w:b w:val="1"/>
          <w:bCs w:val="1"/>
          <w:color w:val="auto"/>
        </w:rPr>
        <w:t>Financial Covenant Cross Default</w:t>
      </w:r>
      <w:r>
        <w:rPr>
          <w:rFonts w:ascii="Times New Roman" w:cs="Times New Roman" w:eastAsia="Times New Roman" w:hAnsi="Times New Roman"/>
          <w:sz w:val="20"/>
          <w:szCs w:val="20"/>
          <w:color w:val="auto"/>
        </w:rPr>
        <w:t>”); or</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The Borrower or any Subsidiary Guarantor fails to perform or observe any other covenant or agreement (not specified in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any Loan Document on its part to be performed or observed and such failure continues for thirty days after receipt by the Borrower of written notice thereof from the Administrative Agent; or</w:t>
      </w:r>
    </w:p>
    <w:p>
      <w:pPr>
        <w:spacing w:after="0" w:line="176"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by any Loan Party in any Loan Document, or in any document required to be delivered pursuant to the terms of a Loan Document, shall be untrue in any material respect (or, with respect to any representation, warranty, certification or statement already qualified by materiality or “Material Adverse Effect,” shall be untrue in any respect) when made and, to the extent capable of being cured, such incorrect representation or warranty shall remain incorrect for a period of thirty days after written notice thereof from the Administrative Agent to the Borrower; or</w:t>
      </w:r>
    </w:p>
    <w:p>
      <w:pPr>
        <w:spacing w:after="0" w:line="18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The Borrower or any Subsidiary Guarantor:</w:t>
      </w:r>
    </w:p>
    <w:p>
      <w:pPr>
        <w:spacing w:after="0" w:line="214"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make any payment of any principal or interest beyond the applicable grace period, if any, whether by scheduled maturity, required prepayment, acceleration, demand, or otherwise, in respect of its Material Indebtedness, or</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observe or perform any other agreement or condition relating to any Material Indebtedness, or any other event occurs , the effect of which default or other event is to cause, or to permit the holder or holders of any Material Indebtedness (or a trustee or agent on behalf of such holder or holders or beneficiary or beneficiaries) to cause, with the giving of notice if required, such Material Indebtedness to become due or to be repurchased, prepaid, defeased or redeemed (automatically or otherwise), or an offer to repurchase, prepay, defease or redeem such Indebtedness to be made, prior to its stated maturity;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apply to (1) any Indebtedness under a Loan Document, (2) terminations or similar events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respect to Indebtedness under Hedge Agreements, or (3) any Indebtedness held exclusively by Affiliates, (B) </w:t>
      </w:r>
      <w:r>
        <w:rPr>
          <w:rFonts w:ascii="Times New Roman" w:cs="Times New Roman" w:eastAsia="Times New Roman" w:hAnsi="Times New Roman"/>
          <w:sz w:val="20"/>
          <w:szCs w:val="20"/>
          <w:u w:val="single" w:color="auto"/>
          <w:color w:val="auto"/>
        </w:rPr>
        <w:t>clause (e)(ii)</w:t>
      </w:r>
      <w:r>
        <w:rPr>
          <w:rFonts w:ascii="Times New Roman" w:cs="Times New Roman" w:eastAsia="Times New Roman" w:hAnsi="Times New Roman"/>
          <w:sz w:val="20"/>
          <w:szCs w:val="20"/>
          <w:color w:val="auto"/>
        </w:rPr>
        <w:t xml:space="preserve"> shall not apply (i) to any secured Indebtedness that becomes due as a result of the voluntary sale or transfer of the property or assets securing such Indebtedness or (ii) to the failure to observe or perform any covenant that requires compliance with any measurement of financial or operational performance (including any leverage, interest coverage or fixed charge ratio or minimum EBITDA, a “</w:t>
      </w:r>
      <w:r>
        <w:rPr>
          <w:rFonts w:ascii="Times New Roman" w:cs="Times New Roman" w:eastAsia="Times New Roman" w:hAnsi="Times New Roman"/>
          <w:sz w:val="20"/>
          <w:szCs w:val="20"/>
          <w:b w:val="1"/>
          <w:bCs w:val="1"/>
          <w:color w:val="auto"/>
        </w:rPr>
        <w:t>Financial Covenant</w:t>
      </w:r>
      <w:r>
        <w:rPr>
          <w:rFonts w:ascii="Times New Roman" w:cs="Times New Roman" w:eastAsia="Times New Roman" w:hAnsi="Times New Roman"/>
          <w:sz w:val="20"/>
          <w:szCs w:val="20"/>
          <w:color w:val="auto"/>
        </w:rPr>
        <w:t xml:space="preserve">”) unless and until the holders of such Indebtedness have terminated all commitments (if any) and accelerated all obligations with respect thereto, and (C) </w:t>
      </w:r>
      <w:r>
        <w:rPr>
          <w:rFonts w:ascii="Times New Roman" w:cs="Times New Roman" w:eastAsia="Times New Roman" w:hAnsi="Times New Roman"/>
          <w:sz w:val="20"/>
          <w:szCs w:val="20"/>
          <w:u w:val="single" w:color="auto"/>
          <w:color w:val="auto"/>
        </w:rPr>
        <w:t>clause (e)(ii)</w:t>
      </w:r>
      <w:r>
        <w:rPr>
          <w:rFonts w:ascii="Times New Roman" w:cs="Times New Roman" w:eastAsia="Times New Roman" w:hAnsi="Times New Roman"/>
          <w:sz w:val="20"/>
          <w:szCs w:val="20"/>
          <w:color w:val="auto"/>
        </w:rPr>
        <w:t xml:space="preserve"> shall only apply if such failure is unremedied and is not waived by the holders of such Indebtedness prior to the termination of the Commitments and acceleration of the Loans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9" w:name="page270"/>
    <w:bookmarkEnd w:id="269"/>
    <w:p>
      <w:pPr>
        <w:jc w:val="both"/>
        <w:ind w:left="-757" w:firstLine="757"/>
        <w:spacing w:after="0" w:line="243" w:lineRule="auto"/>
        <w:tabs>
          <w:tab w:leader="none" w:pos="401"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The Borrower, Holdings or any Subsidiary Guarantor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186"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42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Borrower, Holdings or any Subsidiary Guarantor a final, enforceable, and non-appealable judgment for the payment of money in an aggregate amount exceeding the Threshold Amount (to the extent not covered by independent third-party insurance or another indemnity obligation) and such judgment or order shall not have been satisfied, vacated, discharged or stayed or bonded pending an appeal for a period of sixty consecutive days; or</w:t>
      </w:r>
    </w:p>
    <w:p>
      <w:pPr>
        <w:spacing w:after="0" w:line="178"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41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xml:space="preserve">. The material provisions of the Loan Documents, taken as a whole, at any time after their execution and delivery thereof and for any reason cease to be in full force and effect, except (A) as expressly permitted under a Loan Document (including as a result of a transaction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7.13(b)</w:t>
      </w:r>
      <w:r>
        <w:rPr>
          <w:rFonts w:ascii="Times New Roman" w:cs="Times New Roman" w:eastAsia="Times New Roman" w:hAnsi="Times New Roman"/>
          <w:sz w:val="20"/>
          <w:szCs w:val="20"/>
          <w:color w:val="auto"/>
        </w:rPr>
        <w:t>), (B) as a result of the satisfaction of the Obligations or (C) resulting from acts or omissions of a Secured Party or the application of applicable law; or</w:t>
      </w:r>
    </w:p>
    <w:p>
      <w:pPr>
        <w:spacing w:after="0" w:line="178"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 and Guarantee</w:t>
      </w:r>
      <w:r>
        <w:rPr>
          <w:rFonts w:ascii="Times New Roman" w:cs="Times New Roman" w:eastAsia="Times New Roman" w:hAnsi="Times New Roman"/>
          <w:sz w:val="20"/>
          <w:szCs w:val="20"/>
          <w:color w:val="auto"/>
        </w:rPr>
        <w:t>. Any:</w:t>
      </w:r>
    </w:p>
    <w:p>
      <w:pPr>
        <w:spacing w:after="0" w:line="214" w:lineRule="exact"/>
        <w:rPr>
          <w:rFonts w:ascii="Times New Roman" w:cs="Times New Roman" w:eastAsia="Times New Roman" w:hAnsi="Times New Roman"/>
          <w:sz w:val="20"/>
          <w:szCs w:val="20"/>
          <w:color w:val="auto"/>
        </w:rPr>
      </w:pPr>
    </w:p>
    <w:p>
      <w:pPr>
        <w:jc w:val="both"/>
        <w:ind w:left="3" w:firstLine="1045"/>
        <w:spacing w:after="0" w:line="257" w:lineRule="auto"/>
        <w:tabs>
          <w:tab w:leader="none" w:pos="1447"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Collateral Document with respect to a material portion of the Collateral after delivery thereof shall for any reason cease to create a valid and perfected Lien, except (A) as otherwise permitted by, or as a result of a transaction not prohibited by, the Loan Documents, (B) resulting from the failure of the Administrative Agent or the Collateral Agent to maintain possession or control of Collateral, (C) resulting from the making of a filing, or the failure to make a filing, under the Uniform Commercial Code,</w:t>
      </w:r>
    </w:p>
    <w:p>
      <w:pPr>
        <w:spacing w:after="0" w:line="3" w:lineRule="exact"/>
        <w:rPr>
          <w:rFonts w:ascii="Times New Roman" w:cs="Times New Roman" w:eastAsia="Times New Roman" w:hAnsi="Times New Roman"/>
          <w:sz w:val="19"/>
          <w:szCs w:val="19"/>
          <w:color w:val="auto"/>
        </w:rPr>
      </w:pPr>
    </w:p>
    <w:p>
      <w:pPr>
        <w:jc w:val="both"/>
        <w:ind w:left="3"/>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 as to Collateral consisting of real property to the extent that such losses are covered by a lender’s title insurance policy (unless the Borrower in good faith reasonably believes that payment thereunder will not be made by the applicable insurer) or (E) resulting from acts or omissions of a Secured Party or the application of applicable law; or</w:t>
      </w:r>
    </w:p>
    <w:p>
      <w:pPr>
        <w:spacing w:after="0" w:line="185" w:lineRule="exact"/>
        <w:rPr>
          <w:rFonts w:ascii="Times New Roman" w:cs="Times New Roman" w:eastAsia="Times New Roman" w:hAnsi="Times New Roman"/>
          <w:sz w:val="19"/>
          <w:szCs w:val="19"/>
          <w:color w:val="auto"/>
        </w:rPr>
      </w:pPr>
    </w:p>
    <w:p>
      <w:pPr>
        <w:jc w:val="both"/>
        <w:ind w:left="3" w:firstLine="1045"/>
        <w:spacing w:after="0" w:line="266" w:lineRule="auto"/>
        <w:tabs>
          <w:tab w:leader="none" w:pos="1447"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with respect to a Guarantor that is Holdings or a Material Subsidiary shall for any reason cease to be in full force and effect, except (A) as otherwise permitted by, or as a result of a transaction not prohibited by, the Loan Documents, (B) upon the satisfaction in full of the Obligations, (C) upon the release of such Guarantor as provided for under the Loan Document or in accordance with its terms or (D) resulting from acts or omissions of a Secured Party or the application of applicable law; or</w:t>
      </w:r>
    </w:p>
    <w:p>
      <w:pPr>
        <w:spacing w:after="0" w:line="164" w:lineRule="exact"/>
        <w:rPr>
          <w:rFonts w:ascii="Times New Roman" w:cs="Times New Roman" w:eastAsia="Times New Roman" w:hAnsi="Times New Roman"/>
          <w:sz w:val="19"/>
          <w:szCs w:val="19"/>
          <w:color w:val="auto"/>
        </w:rPr>
      </w:pPr>
    </w:p>
    <w:p>
      <w:pPr>
        <w:ind w:left="403" w:hanging="403"/>
        <w:spacing w:after="0"/>
        <w:tabs>
          <w:tab w:leader="none" w:pos="40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14"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401"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An ERISA Event shall have occurred and be continuous that, when taken alone or together with all other ERISA Events, has resulted or would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70" w:name="page271"/>
    <w:bookmarkEnd w:id="270"/>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9.02</w:t>
      </w:r>
      <w:r>
        <w:rPr>
          <w:sz w:val="20"/>
          <w:szCs w:val="20"/>
          <w:color w:val="auto"/>
        </w:rPr>
        <w:tab/>
      </w:r>
      <w:r>
        <w:rPr>
          <w:rFonts w:ascii="Times New Roman" w:cs="Times New Roman" w:eastAsia="Times New Roman" w:hAnsi="Times New Roman"/>
          <w:sz w:val="19"/>
          <w:szCs w:val="19"/>
          <w:u w:val="single" w:color="auto"/>
          <w:color w:val="auto"/>
        </w:rPr>
        <w:t>Remedies upon Event of Default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right="20" w:firstLine="757"/>
        <w:spacing w:after="0" w:line="268" w:lineRule="auto"/>
        <w:tabs>
          <w:tab w:leader="none" w:pos="11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below, if any Event of Default occurs and is continuing, the Administrative Agent may, and shall at the request of the Required Lenders, take any or all of the following actions:</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Commitments (including, for the avoidance of doubt, Delayed Draw Commitments) of each Lender and the obligation of each Issuing Bank to issue Letters of Credit to be terminated, whereupon such Commitments and obligation shall be terminated;</w:t>
      </w:r>
    </w:p>
    <w:p>
      <w:pPr>
        <w:spacing w:after="0" w:line="176" w:lineRule="exact"/>
        <w:rPr>
          <w:rFonts w:ascii="Times New Roman" w:cs="Times New Roman" w:eastAsia="Times New Roman" w:hAnsi="Times New Roman"/>
          <w:sz w:val="20"/>
          <w:szCs w:val="20"/>
          <w:color w:val="auto"/>
        </w:rPr>
      </w:pPr>
    </w:p>
    <w:p>
      <w:pPr>
        <w:jc w:val="both"/>
        <w:ind w:left="760" w:right="20" w:firstLine="1045"/>
        <w:spacing w:after="0" w:line="249" w:lineRule="auto"/>
        <w:tabs>
          <w:tab w:leader="none" w:pos="2203"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spacing w:after="0" w:line="178"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its Letters of Credit (in an amount equal to 103% of the maximum face amount of all outstanding Letters of Credit); and</w:t>
      </w:r>
    </w:p>
    <w:p>
      <w:pPr>
        <w:spacing w:after="0" w:line="160"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Issuing Banks and the Lenders all rights and remedies available to it, the Issuing Banks and the Lenders under the Loan Documents and/or under applicable Law;</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upon the occurrence of an actual or deemed entry of an order for relief with respect to the Borrower under any Debtor Relief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Law, the Commitments of each Lender and the obligations of each Issuing Bank to issue Letters of Credit shall automatically terminate, the unpaid principal amount of all outstanding Loans and all interest and other amounts as aforesaid shall automatically become due and payable and the obligation of the Borrower to Cash Collateralize the Letters of Credit as aforesaid shall automatically become effective, in each case without further act of the Administrative Agent or any Lender.</w:t>
      </w:r>
    </w:p>
    <w:p>
      <w:pPr>
        <w:spacing w:after="0" w:line="182" w:lineRule="exact"/>
        <w:rPr>
          <w:sz w:val="20"/>
          <w:szCs w:val="20"/>
          <w:color w:val="auto"/>
        </w:rPr>
      </w:pPr>
    </w:p>
    <w:p>
      <w:pPr>
        <w:jc w:val="both"/>
        <w:ind w:firstLine="757"/>
        <w:spacing w:after="0" w:line="246" w:lineRule="auto"/>
        <w:tabs>
          <w:tab w:leader="none" w:pos="114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Financial Covenant Event of Default has occurred and is continuing as a result of a breach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the Required Revolving Lenders may either (i) terminate the Revolving Commitments and/or (ii) take the actions specified in </w:t>
      </w:r>
      <w:r>
        <w:rPr>
          <w:rFonts w:ascii="Times New Roman" w:cs="Times New Roman" w:eastAsia="Times New Roman" w:hAnsi="Times New Roman"/>
          <w:sz w:val="20"/>
          <w:szCs w:val="20"/>
          <w:u w:val="single" w:color="auto"/>
          <w:color w:val="auto"/>
        </w:rPr>
        <w:t>Section 9.02(a)</w:t>
      </w:r>
      <w:r>
        <w:rPr>
          <w:rFonts w:ascii="Times New Roman" w:cs="Times New Roman" w:eastAsia="Times New Roman" w:hAnsi="Times New Roman"/>
          <w:sz w:val="20"/>
          <w:szCs w:val="20"/>
          <w:color w:val="auto"/>
        </w:rPr>
        <w:t xml:space="preserve"> in respect of the Revolving Commitments, the Revolving Loans, Letters of Credit and Swing Line Loans. The Required Lenders may take any of the actions specified in </w:t>
      </w:r>
      <w:r>
        <w:rPr>
          <w:rFonts w:ascii="Times New Roman" w:cs="Times New Roman" w:eastAsia="Times New Roman" w:hAnsi="Times New Roman"/>
          <w:sz w:val="20"/>
          <w:szCs w:val="20"/>
          <w:u w:val="single" w:color="auto"/>
          <w:color w:val="auto"/>
        </w:rPr>
        <w:t>Section 9.02(a)</w:t>
      </w:r>
      <w:r>
        <w:rPr>
          <w:rFonts w:ascii="Times New Roman" w:cs="Times New Roman" w:eastAsia="Times New Roman" w:hAnsi="Times New Roman"/>
          <w:sz w:val="20"/>
          <w:szCs w:val="20"/>
          <w:color w:val="auto"/>
        </w:rPr>
        <w:t xml:space="preserve"> in respect of a Financial Covenant Event of Default that has occurred and is continuing only upon the occurrence and during the continuance of a Financial Covenant Cross Default.</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if the only Event of Default then having occurred and continuing is the Financial Covenant Event of Default, then the Revolving Lenders and the Administrative Agent may not take any of the actions set forth in </w:t>
      </w:r>
      <w:r>
        <w:rPr>
          <w:rFonts w:ascii="Times New Roman" w:cs="Times New Roman" w:eastAsia="Times New Roman" w:hAnsi="Times New Roman"/>
          <w:sz w:val="20"/>
          <w:szCs w:val="20"/>
          <w:u w:val="single" w:color="auto"/>
          <w:color w:val="auto"/>
        </w:rPr>
        <w:t>Section 9.02(a) or (b)</w:t>
      </w:r>
      <w:r>
        <w:rPr>
          <w:rFonts w:ascii="Times New Roman" w:cs="Times New Roman" w:eastAsia="Times New Roman" w:hAnsi="Times New Roman"/>
          <w:sz w:val="20"/>
          <w:szCs w:val="20"/>
          <w:color w:val="auto"/>
        </w:rPr>
        <w:t xml:space="preserve"> during the period commencing on the date that the Administrative Agent receives a Notice of Intent to Cure and ending on the Cure Expiration Date with respect thereto in accordance with and to the extent permitted by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xml:space="preserve">. After the exercise of remedies provided for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after the Loans have automatically become immediately due and payable as set forth in the proviso to </w:t>
      </w:r>
      <w:r>
        <w:rPr>
          <w:rFonts w:ascii="Times New Roman" w:cs="Times New Roman" w:eastAsia="Times New Roman" w:hAnsi="Times New Roman"/>
          <w:sz w:val="20"/>
          <w:szCs w:val="20"/>
          <w:u w:val="single" w:color="auto"/>
          <w:color w:val="auto"/>
        </w:rPr>
        <w:t>Section 9.02(a)</w:t>
      </w:r>
      <w:r>
        <w:rPr>
          <w:rFonts w:ascii="Times New Roman" w:cs="Times New Roman" w:eastAsia="Times New Roman" w:hAnsi="Times New Roman"/>
          <w:sz w:val="20"/>
          <w:szCs w:val="20"/>
          <w:color w:val="auto"/>
        </w:rPr>
        <w:t>), any amounts received on account of the Obligations shall, subject to the Intercreditor Agreements, be applied by the Administrative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1" w:name="page272"/>
    <w:bookmarkEnd w:id="271"/>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 amounts (other than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interest, but including Attorney Costs payable under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and the Collateral Agent in their capacities as such;</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in full of Unfunded Advances/Participations (the amounts so applied to be distributed between or among,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applicable, the Administrative Agent and the Issuing Banks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amounts of Unfunded Advances/Participations owed to them on the date of any such distribution);</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Obligations constituting fees, indemnities and other amounts (other than principal,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Letter of Credit fees, Obligations under Secured Hedge Agreements and Cash Management Obligations) payable to the Lenders and the Issuing Banks (including Attorney Costs payable under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ratably among them in proportion to the amounts described in this clause Third payable to them;</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Obligations constituting accrued and unpaid Letter of Credit fees and interest on the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Letter of Credit Usage, ratably among the Lenders and the Issuing Banks in proportion to the respective amounts described in this clause Fourth held by them;</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(a) to payment of that portion of the Obligations constituting unpaid principal of the Loans, the Letter of Credit Usage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Obligations under Secured Hedge Agreements and Cash Management Obligations and (b) to Cash Collateralize Letters of Credit (to the extent not otherwise Cash Collateralized pursuant to the terms of this Agreement) (in an amount equal to 103% of the maximum face amount of all outstanding Letters of Credit) and to further permanently reduce the Revolving Commitments by the amount of such Cash Collateralization, ratably among the Secured Parties in proportion to the respective amounts described in this clause Fifth held by them;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amounts applied pursuant to the foregoing subclause (b) shall be paid to the Administrative Agent for the ratable account of the Issuing Banks to Cash Collateralize such Letters of Credit, (ii) subject to </w:t>
      </w:r>
      <w:r>
        <w:rPr>
          <w:rFonts w:ascii="Times New Roman" w:cs="Times New Roman" w:eastAsia="Times New Roman" w:hAnsi="Times New Roman"/>
          <w:sz w:val="20"/>
          <w:szCs w:val="20"/>
          <w:u w:val="single" w:color="auto"/>
          <w:color w:val="auto"/>
        </w:rPr>
        <w:t>Sections 2.04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amounts used to Cash Collateralize the aggregate undrawn amount of Letters of Credit pursuant to this clause Fifth shall be applied to satisfy drawings under such Letters of Credit as they occur and (c) upon the expiration of any Letter of Credit, the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share of Cash Collateral attributable to such expired Letter of Credit shall be applied by the Administrative Agent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accordance with the priority of payments set forth in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the payment of all other Obligations that are due and payable to the Administrative Agent and the other Secured Parties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date, ratably based upon the respective aggregate amounts of all such Obligations owing to the Administrative Agent and the other Secured Parties on such date; 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Obligations have been paid in full, to the Borrower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337820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2"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 and Other Agents</w:t>
      </w:r>
    </w:p>
    <w:p>
      <w:pPr>
        <w:spacing w:after="0" w:line="19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10.01</w:t>
      </w:r>
      <w:r>
        <w:rPr>
          <w:sz w:val="20"/>
          <w:szCs w:val="20"/>
          <w:color w:val="auto"/>
        </w:rPr>
        <w:tab/>
      </w:r>
      <w:r>
        <w:rPr>
          <w:rFonts w:ascii="Times New Roman" w:cs="Times New Roman" w:eastAsia="Times New Roman" w:hAnsi="Times New Roman"/>
          <w:sz w:val="19"/>
          <w:szCs w:val="19"/>
          <w:u w:val="single" w:color="auto"/>
          <w:color w:val="auto"/>
        </w:rPr>
        <w:t>Appointment and Authority of the Administrative Agent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2" w:lineRule="auto"/>
        <w:tabs>
          <w:tab w:leader="none" w:pos="11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each Issuing Bank hereby irrevocably appoints Jefferies Finance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(other than Sections 10.09 and 10.11) are solely for the benefit of the Administrative Agent and the Lenders, and the Borrower shall not have any rights as a third party beneficiary of any such provision.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 respect to any acts taken or omissions suffered by such Issuing Bank in connection with Letters of Credit issued by it or proposed to be issued by it and the Letter of Credit Documents pertaining to such Letters of Credit as fully as if the term “Agent” as used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the definition of “Agent Related Person” included such Issuing Bank with respect to such acts or omissions, and (ii) as additionally provided herein with respect to each Issuing Bank.</w:t>
      </w:r>
    </w:p>
    <w:p>
      <w:pPr>
        <w:spacing w:after="0" w:line="186"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irrevocably act as the “collateral agent” under the Loan Documents, and each of the Lenders (including in its capacities as a potential Hedge Bank and/or Cash Management Bank) and each of the Issuing Banks hereby irrevocably appoints and authorizes the Administrative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Sections 10.05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 Without limiting the generality of the foregoing, the Lenders hereby expressly authorize the Administrative Agent to execute any and all documents (including releases) with respect to the Collateral and the rights of the Secured Parties with respect thereto (including the Intercreditor Agreements), as contemplated by and in accordance with the provisions of this Agreement and the Collateral Documents and acknowledge and agree that any such action by any Agent shall bind the Lenders.</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10.02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Person serving as an Agent and its Affiliates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to the Lenders, and may accept fees and other consideration from the Borrower for services in connection herewith and otherwise without having to account for the same to the Lenders. The Lenders acknowledge that, pursuant to such activities, any Agent or its Affiliates may receive information regarding any Loan Party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3" w:name="page274"/>
    <w:bookmarkEnd w:id="273"/>
    <w:p>
      <w:pPr>
        <w:jc w:val="both"/>
        <w:spacing w:after="0" w:line="268" w:lineRule="auto"/>
        <w:rPr>
          <w:sz w:val="20"/>
          <w:szCs w:val="20"/>
          <w:color w:val="auto"/>
        </w:rPr>
      </w:pPr>
      <w:r>
        <w:rPr>
          <w:rFonts w:ascii="Times New Roman" w:cs="Times New Roman" w:eastAsia="Times New Roman" w:hAnsi="Times New Roman"/>
          <w:sz w:val="20"/>
          <w:szCs w:val="20"/>
          <w:color w:val="auto"/>
        </w:rPr>
        <w:t>Affiliates (including information that may be subject to confidentiality obligations in favor of such Loan Party or such Affiliate) and acknowledge that no Agent shall be under any obligation to provide such information to them.</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10.03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None of the Administrative Agent, any of the other Agents, any of their respective Affiliates, nor any of the officers, partners, directors, employees or agents of the foregoing shall have any duties or obligations except those expressly set forth herein and in the other Loan Documents. Without limiting the generality of the foregoing, an Agent (including the Administrative Agent) or any of their respective officers, partners, directors, employees or agents:</w:t>
      </w:r>
    </w:p>
    <w:p>
      <w:pPr>
        <w:spacing w:after="0" w:line="178" w:lineRule="exact"/>
        <w:rPr>
          <w:sz w:val="20"/>
          <w:szCs w:val="20"/>
          <w:color w:val="auto"/>
        </w:rPr>
      </w:pPr>
    </w:p>
    <w:p>
      <w:pPr>
        <w:jc w:val="both"/>
        <w:ind w:firstLine="757"/>
        <w:spacing w:after="0" w:line="246" w:lineRule="auto"/>
        <w:tabs>
          <w:tab w:leader="none" w:pos="11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Agent shall be required to take any action that, in its opinion or the opinion of its counsel, may expose such Agent to liability or that is contrary to any Loan Document or applicable Law,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w:t>
      </w:r>
    </w:p>
    <w:p>
      <w:pPr>
        <w:spacing w:after="0" w:line="183"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1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any Person serving as an Agent or any of its Affiliates in any capacity; and</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liable to the Lenders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9.02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 or (ii) in the absence of its own gross negligence or willful misconduct as determined by the final judgment of a court of competent jurisdiction, in connection with its duties expressly set forth herein. The Administrative Agent shall be deemed not to have knowledge of any Default or Event of Default unless and until notice describing such Default or Event of Default is given to the Administrative Agent by the Borrower or a Lender.</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 Agent-Related Person shall be responsible for or have any duty to ascertain or inquire into (i) any recital, statement, warranty or representation made in or in connection with this Agreement or any other Loan Document, (ii) the contents of any certificate, report, statement or agreement or other document delivered hereunder or thereunder or in connection herewith or therewith or referred to or provided for in, or received by the Administrative Agent under or in connection with this Agreement or any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4" w:name="page275"/>
    <w:bookmarkEnd w:id="274"/>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Document, (iii) the performance or observance of any of the covenants, agreements or other terms or conditions set forth herein or therein or the occurrence of any Default (including compliance with the terms and conditions of </w:t>
      </w:r>
      <w:r>
        <w:rPr>
          <w:rFonts w:ascii="Times New Roman" w:cs="Times New Roman" w:eastAsia="Times New Roman" w:hAnsi="Times New Roman"/>
          <w:sz w:val="20"/>
          <w:szCs w:val="20"/>
          <w:u w:val="single" w:color="auto"/>
          <w:color w:val="auto"/>
        </w:rPr>
        <w:t>Section 11.07(h)(iii)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(h)(iv)</w:t>
      </w:r>
      <w:r>
        <w:rPr>
          <w:rFonts w:ascii="Times New Roman" w:cs="Times New Roman" w:eastAsia="Times New Roman" w:hAnsi="Times New Roman"/>
          <w:sz w:val="20"/>
          <w:szCs w:val="20"/>
          <w:color w:val="auto"/>
        </w:rPr>
        <w:t xml:space="preserve">),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 or to inspect the properties, books or records of any Loan Party or any Affiliate thereof. The Administrative Agent shall have no responsibility or liability for monitoring or enforcing the list of Disqualified Lenders or for any assignment or participation to a Disqualified Lender.</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10.04 </w:t>
      </w:r>
      <w:r>
        <w:rPr>
          <w:rFonts w:ascii="Times New Roman" w:cs="Times New Roman" w:eastAsia="Times New Roman" w:hAnsi="Times New Roman"/>
          <w:sz w:val="20"/>
          <w:szCs w:val="20"/>
          <w:u w:val="single" w:color="auto"/>
          <w:color w:val="auto"/>
        </w:rPr>
        <w:t>Reliance by the Agents</w:t>
      </w:r>
      <w:r>
        <w:rPr>
          <w:rFonts w:ascii="Times New Roman" w:cs="Times New Roman" w:eastAsia="Times New Roman" w:hAnsi="Times New Roman"/>
          <w:sz w:val="20"/>
          <w:szCs w:val="20"/>
          <w:color w:val="auto"/>
        </w:rPr>
        <w:t>. The Agents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Administrative Agent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Each Agent shall be fully justified in failing or refusing to take any action that is not required or explicitly approved by the Lenders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Agents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Agents shall not be required to take any action that, in their opinion or in the opinion of their counsel, may expose such Agent to liability or that is contrary to any Loan Document or applicable Law.</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10.05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Article shall apply to any such sub agent and to the Agent-Related Persons of the Agents and any such sub agent, and shall apply to their respective activities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5" w:name="page276"/>
    <w:bookmarkEnd w:id="275"/>
    <w:p>
      <w:pPr>
        <w:jc w:val="both"/>
        <w:spacing w:after="0" w:line="242" w:lineRule="auto"/>
        <w:rPr>
          <w:sz w:val="20"/>
          <w:szCs w:val="20"/>
          <w:color w:val="auto"/>
        </w:rPr>
      </w:pPr>
      <w:r>
        <w:rPr>
          <w:rFonts w:ascii="Times New Roman" w:cs="Times New Roman" w:eastAsia="Times New Roman" w:hAnsi="Times New Roman"/>
          <w:sz w:val="20"/>
          <w:szCs w:val="20"/>
          <w:color w:val="auto"/>
        </w:rPr>
        <w:t>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w:t>
      </w:r>
    </w:p>
    <w:p>
      <w:pPr>
        <w:spacing w:after="0" w:line="186"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10.06</w:t>
      </w:r>
      <w:r>
        <w:rPr>
          <w:sz w:val="20"/>
          <w:szCs w:val="20"/>
          <w:color w:val="auto"/>
        </w:rPr>
        <w:tab/>
      </w:r>
      <w:r>
        <w:rPr>
          <w:rFonts w:ascii="Times New Roman" w:cs="Times New Roman" w:eastAsia="Times New Roman" w:hAnsi="Times New Roman"/>
          <w:sz w:val="19"/>
          <w:szCs w:val="19"/>
          <w:u w:val="single" w:color="auto"/>
          <w:color w:val="auto"/>
        </w:rPr>
        <w:t>Non-Reliance on Agents and Other Lenders; Disclosure of Information by Agents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1" w:lineRule="auto"/>
        <w:tabs>
          <w:tab w:leader="none" w:pos="1144"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Issuing Bank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86" w:lineRule="exact"/>
        <w:rPr>
          <w:rFonts w:ascii="Times New Roman" w:cs="Times New Roman" w:eastAsia="Times New Roman" w:hAnsi="Times New Roman"/>
          <w:sz w:val="20"/>
          <w:szCs w:val="20"/>
          <w:color w:val="auto"/>
        </w:rPr>
      </w:pPr>
    </w:p>
    <w:p>
      <w:pPr>
        <w:jc w:val="both"/>
        <w:ind w:firstLine="757"/>
        <w:spacing w:after="0" w:line="273" w:lineRule="auto"/>
        <w:tabs>
          <w:tab w:leader="none" w:pos="1144"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by delivering its signature page to this Agreement or an Assignment and Assumption and funding its Term Loan and/or Revolving Loans on the Closing Date, shall be deemed to have acknowledged receipt of, and consented to and approved, each Loan Document and each other document required to be approved by any Agent, Required Lenders or Lenders, as applicable on the Closing Date.</w:t>
      </w:r>
    </w:p>
    <w:p>
      <w:pPr>
        <w:spacing w:after="0" w:line="157" w:lineRule="exact"/>
        <w:rPr>
          <w:rFonts w:ascii="Times New Roman" w:cs="Times New Roman" w:eastAsia="Times New Roman" w:hAnsi="Times New Roman"/>
          <w:sz w:val="19"/>
          <w:szCs w:val="19"/>
          <w:color w:val="auto"/>
        </w:rPr>
      </w:pPr>
    </w:p>
    <w:p>
      <w:pPr>
        <w:jc w:val="both"/>
        <w:ind w:firstLine="757"/>
        <w:spacing w:after="0" w:line="253" w:lineRule="auto"/>
        <w:tabs>
          <w:tab w:leader="none" w:pos="1144"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6" w:name="page277"/>
    <w:bookmarkEnd w:id="276"/>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SECTION 10.07 </w:t>
      </w:r>
      <w:r>
        <w:rPr>
          <w:rFonts w:ascii="Times New Roman" w:cs="Times New Roman" w:eastAsia="Times New Roman" w:hAnsi="Times New Roman"/>
          <w:sz w:val="19"/>
          <w:szCs w:val="19"/>
          <w:u w:val="single" w:color="auto"/>
          <w:color w:val="auto"/>
        </w:rPr>
        <w:t>Indemnification of Agents</w:t>
      </w:r>
      <w:r>
        <w:rPr>
          <w:rFonts w:ascii="Times New Roman" w:cs="Times New Roman" w:eastAsia="Times New Roman" w:hAnsi="Times New Roman"/>
          <w:sz w:val="19"/>
          <w:szCs w:val="19"/>
          <w:color w:val="auto"/>
        </w:rPr>
        <w:t xml:space="preserve">. Whether or not the transactions contemplated hereby are consummated, the Lenders shall indemnify upon demand the Administrative Agent, each Agent, each Issuing Bank, the Swing Line Lender and each other Agent-Related Person (solely to the extent any such Agent-Related Person was performing services on behalf of any Agent, any Issuing Bank or the Swing Line Lender, as applicable) (to the extent not reimbursed by or on behalf of any Loan Party and without limiting the obligation of any Loan Party to do so), pro rata, and hold harmless the Administrative Agent, each Agent, each Issuing Bank, the Swing Line Lender and each other Agent-Related Person (solely to the extent any such Agent-Related Person was performing services on behalf of any Agent, each Issuing Bank or the Swing Line Lender, as applicable) from and against any and all Indemnified Liabilities incurred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each Issuing Bank or Swing Line Lender is entitled to indemnification under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solely in its capacity and role as an Issuing Bank or as a Swing Line Lender, as applicable, only the Revolving Lenders shall be required to indemnify the applicable Issuing Bank or the Swing Line Lender, as the case may be, in accordance with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(determined as of the time that the applicable payment is sought based on each Revolving Lender’s Pro Rata Share thereof at such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If any indemnity furnished to any Agent, any Issuing Bank or the Swing Line Lender for any purpose shall, in the opinion of such Agent, such Issuing Bank or the Swing Line Lender, as applicable, be insufficient or become impaired, such Agent, such Issuing Bank or the Swing Line Lender, as applicable, may call for additional indemnity and cease, or not commence, to do the acts indemnified against until such additional indemnity is furnished;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in no event shall this sentence require any Lender to indemnify any Agent, any Issuing Bank or the Swing Line Lender against any Indemnified Liabilities in excess of such Lender’s pro rata share thereof;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this sentence shall not be deemed to require any Lender to indemnify any Agent, any Issuing Bank or the Swing Line Lender against any Indemnified Liabilities described in the first proviso in the immediately preceding sentence. In the case of any investigation, litigation or proceeding giving rise to any Indemnified Liabilities,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applies whether any such investigation, litigation or proceeding is brought by any Lender or any other Person. Without limitation of the foregoing, each Lender shall reimburse each Agent, each Issuing Bank and the Swing Line Lender, as applicable, upon demand for its ratable share of any costs or out-of-pocket expenses (including Attorney Costs) incurred by such Agent, such Issuing Bank or the Swing Line Lender,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such Issuing Bank or the Swing Line Lender, as applicable, is not reimbursed for such expenses by or on behalf of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the failure of any Lender to indemnify or reimburse such Agent, such Issuing Bank or the Swing Line Lender, as applicable, shall not relieve any other Lender of its obligation in respect thereof. The undertaking in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shall survive termination of the Aggregate Commitments, the payment of all other Obligations and the resignation of the Administrative Agent, Collateral Agent, other Agents, any Issuing Bank and the Swing Line Lender.</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10.08 </w:t>
      </w:r>
      <w:r>
        <w:rPr>
          <w:rFonts w:ascii="Times New Roman" w:cs="Times New Roman" w:eastAsia="Times New Roman" w:hAnsi="Times New Roman"/>
          <w:sz w:val="20"/>
          <w:szCs w:val="20"/>
          <w:u w:val="single" w:color="auto"/>
          <w:color w:val="auto"/>
        </w:rPr>
        <w:t>No Other Duties; Other Agents, Lead Arrangers, Managers, Etc.</w:t>
      </w:r>
      <w:r>
        <w:rPr>
          <w:rFonts w:ascii="Times New Roman" w:cs="Times New Roman" w:eastAsia="Times New Roman" w:hAnsi="Times New Roman"/>
          <w:sz w:val="20"/>
          <w:szCs w:val="20"/>
          <w:color w:val="auto"/>
        </w:rPr>
        <w:t xml:space="preserve"> Jefferies Finance, BMOCM, UBS and Nomura are each hereby appointed as Lead Arrangers hereunder, and each Lender hereby authorizes each of Jefferies Finance, BMOCM, UBS and Nomura to act as Lead Arrangers in accordance with the terms hereof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7" w:name="page278"/>
    <w:bookmarkEnd w:id="277"/>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Each Agent hereby agrees to act in its capacity as such upon the express conditions contained herein and the other Loan Documents, as applicable. Anything herein to the contrary notwithstanding, none of the Lead Arrangers or the other Agents listed on the cover page hereof (or any of their respective Affiliates) shall have any powers, duties or responsibilities under this Agreement or any of the other Loan Documents, except (x) in its capacity, as applicable, as the Administrative Agent, the Collateral Agent or a Lender hereunder and (y) as provided in </w:t>
      </w:r>
      <w:r>
        <w:rPr>
          <w:rFonts w:ascii="Times New Roman" w:cs="Times New Roman" w:eastAsia="Times New Roman" w:hAnsi="Times New Roman"/>
          <w:sz w:val="20"/>
          <w:szCs w:val="20"/>
          <w:u w:val="single" w:color="auto"/>
          <w:color w:val="auto"/>
        </w:rPr>
        <w:t>Section 11.01(d)</w:t>
      </w:r>
      <w:r>
        <w:rPr>
          <w:rFonts w:ascii="Times New Roman" w:cs="Times New Roman" w:eastAsia="Times New Roman" w:hAnsi="Times New Roman"/>
          <w:sz w:val="20"/>
          <w:szCs w:val="20"/>
          <w:color w:val="auto"/>
        </w:rPr>
        <w:t xml:space="preserve"> and the last sentence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such Persons shall have the benefit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Without limiting the foregoing, none of the Lenders or other Persons so identified shall have or be deemed to have any agency or fiduciary or trust relationship with any Lender, Holdings,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spacing w:after="0" w:line="18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SECTION 10.09 </w:t>
      </w:r>
      <w:r>
        <w:rPr>
          <w:rFonts w:ascii="Times New Roman" w:cs="Times New Roman" w:eastAsia="Times New Roman" w:hAnsi="Times New Roman"/>
          <w:sz w:val="20"/>
          <w:szCs w:val="20"/>
          <w:u w:val="single" w:color="auto"/>
          <w:color w:val="auto"/>
        </w:rPr>
        <w:t>Resignation of Administrative Agent or Collateral Agent</w:t>
      </w:r>
      <w:r>
        <w:rPr>
          <w:rFonts w:ascii="Times New Roman" w:cs="Times New Roman" w:eastAsia="Times New Roman" w:hAnsi="Times New Roman"/>
          <w:sz w:val="20"/>
          <w:szCs w:val="20"/>
          <w:color w:val="auto"/>
        </w:rPr>
        <w:t xml:space="preserve">. The Administrative Agent or the Collateral Agent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thirty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meeting the qualifications set forth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Administrative Agent or Collateral Agent, as applicable, shall notify the Borrower and the Lenders that no qualifying Person has accepted such appointment, then such resignation shall nonetheless become effective in accordance with such notice and (a)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 as a successor of such Agent is appointed) and (b) except for any indemnity payments or other amounts owed to the retiring or retired Administrative Agents,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If neither the Required Lenders nor the Administrative Agent have appointed a successor Administrative Agent, the Required Lenders shall be deemed to have succeeded to and become vested with all the rights, powers, privileges and duties of the retiring Administrative Agent (subject to the proviso in the sentence above). Upon the acceptance of a successor’s appointment as Administrative Agent or Collateral Agent, as applicable,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Administrative Agent or Collateral Agent, as applicable (other than any rights to indemnity payments or other amounts owed to the retiring or retired Administrative Agent), and the retiring Administrative Agent or Collateral Agent, as applicable, shall be discharged from all of its duties and obligations hereunder or under the other Loan Documents (if not already discharged therefrom as provided above in this Section). 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Article and </w:t>
      </w:r>
      <w:r>
        <w:rPr>
          <w:rFonts w:ascii="Times New Roman" w:cs="Times New Roman" w:eastAsia="Times New Roman" w:hAnsi="Times New Roman"/>
          <w:sz w:val="20"/>
          <w:szCs w:val="20"/>
          <w:u w:val="single" w:color="auto"/>
          <w:color w:val="auto"/>
        </w:rPr>
        <w:t>Sections 10.07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11.05</w:t>
      </w:r>
      <w:r>
        <w:rPr>
          <w:rFonts w:ascii="Times New Roman" w:cs="Times New Roman" w:eastAsia="Times New Roman" w:hAnsi="Times New Roman"/>
          <w:sz w:val="20"/>
          <w:szCs w:val="20"/>
          <w:color w:val="auto"/>
        </w:rPr>
        <w:t xml:space="preserv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8" w:name="page279"/>
    <w:bookmarkEnd w:id="278"/>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Administrative Agent May File Proofs of Claim; Credit Bidding</w:t>
      </w:r>
      <w:r>
        <w:rPr>
          <w:rFonts w:ascii="Times New Roman" w:cs="Times New Roman" w:eastAsia="Times New Roman" w:hAnsi="Times New Roman"/>
          <w:sz w:val="20"/>
          <w:szCs w:val="20"/>
          <w:color w:val="auto"/>
        </w:rPr>
        <w:t>. In case of the pendency of any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3" w:lineRule="exact"/>
        <w:rPr>
          <w:sz w:val="20"/>
          <w:szCs w:val="20"/>
          <w:color w:val="auto"/>
        </w:rPr>
      </w:pPr>
    </w:p>
    <w:p>
      <w:pPr>
        <w:ind w:right="40" w:firstLine="757"/>
        <w:spacing w:after="0" w:line="268" w:lineRule="auto"/>
        <w:tabs>
          <w:tab w:leader="none" w:pos="1144"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60"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20"/>
          <w:szCs w:val="20"/>
          <w:u w:val="single" w:color="auto"/>
          <w:color w:val="auto"/>
        </w:rPr>
        <w:t>Sections 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8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Agents and their respective agents and counsel, and any other amounts due the Administrative Agent under </w:t>
      </w:r>
      <w:r>
        <w:rPr>
          <w:rFonts w:ascii="Times New Roman" w:cs="Times New Roman" w:eastAsia="Times New Roman" w:hAnsi="Times New Roman"/>
          <w:sz w:val="20"/>
          <w:szCs w:val="20"/>
          <w:u w:val="single" w:color="auto"/>
          <w:color w:val="auto"/>
        </w:rPr>
        <w:t>Sections 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To the extent that the payment of any such compensation, expenses, disbursements and advances of the Administrative Agent, its agents and counsel, and any other amounts due the Administrative Agent under </w:t>
      </w:r>
      <w:r>
        <w:rPr>
          <w:rFonts w:ascii="Times New Roman" w:cs="Times New Roman" w:eastAsia="Times New Roman" w:hAnsi="Times New Roman"/>
          <w:sz w:val="20"/>
          <w:szCs w:val="20"/>
          <w:u w:val="single" w:color="auto"/>
          <w:color w:val="auto"/>
        </w:rPr>
        <w:t>Sections 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the Security Agreement) pursuant to a deed in lieu of foreclosure or otherwise) and in such manner purchase (either directly or through one or more acquisition vehicles) all or any portion of the Collateral (i) at any sale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9" w:name="page280"/>
    <w:bookmarkEnd w:id="279"/>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(g) of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of this Agreement,</w:t>
      </w:r>
    </w:p>
    <w:p>
      <w:pPr>
        <w:spacing w:after="0" w:line="8" w:lineRule="exact"/>
        <w:rPr>
          <w:sz w:val="20"/>
          <w:szCs w:val="20"/>
          <w:color w:val="auto"/>
        </w:rPr>
      </w:pPr>
    </w:p>
    <w:p>
      <w:pPr>
        <w:jc w:val="both"/>
        <w:ind w:firstLine="8"/>
        <w:spacing w:after="0"/>
        <w:tabs>
          <w:tab w:leader="none" w:pos="315"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7"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10.11</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757"/>
        <w:spacing w:after="0" w:line="268" w:lineRule="auto"/>
        <w:tabs>
          <w:tab w:leader="none" w:pos="114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Agent, each Lenders (including in its capacities as a potential Cash Management Bank and a potential Hedge Bank), each Issuing Bank and each other Secured Party agrees that, notwithstanding anything to the contrary in any Loan Document:</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property granted to or held by an Agent or in favor of any Secured Party under any Loan Document will be automatically and immediately released, and each Secured Party irrevocably authorizes and directs the Agents to enter into, and each agrees that it will enter into, the necessary or advisable documents requested by the Borrower and associated therewith, upon the occurrence of any of the following events (each, a “</w:t>
      </w:r>
      <w:r>
        <w:rPr>
          <w:rFonts w:ascii="Times New Roman" w:cs="Times New Roman" w:eastAsia="Times New Roman" w:hAnsi="Times New Roman"/>
          <w:sz w:val="20"/>
          <w:szCs w:val="20"/>
          <w:b w:val="1"/>
          <w:bCs w:val="1"/>
          <w:color w:val="auto"/>
        </w:rPr>
        <w:t>Lien Release Event</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1500" w:right="240" w:firstLine="754"/>
        <w:spacing w:after="0" w:line="249" w:lineRule="auto"/>
        <w:tabs>
          <w:tab w:leader="none" w:pos="2644" w:val="left"/>
        </w:tabs>
        <w:numPr>
          <w:ilvl w:val="2"/>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in full in cash of all the Obligations (other than (1) Secured Cash Management Obligations, Secured Swap Obligations and contingent obligations in respect of which no claim has been made and (2) obligations in respect of Letters of Credit that have been backstopped or cash collateralized on terms satisfactory to the applicable Issuing Bank);</w:t>
      </w:r>
    </w:p>
    <w:p>
      <w:pPr>
        <w:spacing w:after="0" w:line="178" w:lineRule="exact"/>
        <w:rPr>
          <w:rFonts w:ascii="Times New Roman" w:cs="Times New Roman" w:eastAsia="Times New Roman" w:hAnsi="Times New Roman"/>
          <w:sz w:val="20"/>
          <w:szCs w:val="20"/>
          <w:color w:val="auto"/>
        </w:rPr>
      </w:pPr>
    </w:p>
    <w:p>
      <w:pPr>
        <w:ind w:left="1500" w:right="800" w:firstLine="754"/>
        <w:spacing w:after="0" w:line="268" w:lineRule="auto"/>
        <w:tabs>
          <w:tab w:leader="none" w:pos="2644" w:val="left"/>
        </w:tabs>
        <w:numPr>
          <w:ilvl w:val="2"/>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the property subject to such Lien as part of, or in connection with, a transaction that is permitted (or not prohibited) by the terms of the Loan Documents to any Person that is not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0" w:name="page281"/>
    <w:bookmarkEnd w:id="280"/>
    <w:p>
      <w:pPr>
        <w:ind w:left="1500" w:right="200" w:firstLine="754"/>
        <w:spacing w:after="0" w:line="268" w:lineRule="auto"/>
        <w:tabs>
          <w:tab w:leader="none" w:pos="2644"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property owned by any Guarantor, the release of such Guarantor from its obligations under its Guaranty pursuant to clause (iii) below;</w:t>
      </w:r>
    </w:p>
    <w:p>
      <w:pPr>
        <w:spacing w:after="0" w:line="160" w:lineRule="exact"/>
        <w:rPr>
          <w:rFonts w:ascii="Times New Roman" w:cs="Times New Roman" w:eastAsia="Times New Roman" w:hAnsi="Times New Roman"/>
          <w:sz w:val="20"/>
          <w:szCs w:val="20"/>
          <w:color w:val="auto"/>
        </w:rPr>
      </w:pPr>
    </w:p>
    <w:p>
      <w:pPr>
        <w:ind w:left="1500" w:right="520" w:firstLine="754"/>
        <w:spacing w:after="0" w:line="268" w:lineRule="auto"/>
        <w:tabs>
          <w:tab w:leader="none" w:pos="2644"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approval, authorization or ratification of the release of such Lien by the Required Lenders, or such percentage as may be required pursuant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property becoming an Excluded Asset, Excluded Equity Interest or an asset owned by an Excluded</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19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assets owned by such Excluded Subsidiary, upon any Person becoming an Excluded Subsidiary;</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and/or</w:t>
      </w:r>
    </w:p>
    <w:p>
      <w:pPr>
        <w:spacing w:after="0" w:line="192"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property becoming subject to a Securitization Financing to the extent required by the terms of such Securitization Financing;</w:t>
      </w:r>
    </w:p>
    <w:p>
      <w:pPr>
        <w:spacing w:after="0" w:line="156" w:lineRule="exact"/>
        <w:rPr>
          <w:rFonts w:ascii="Times New Roman" w:cs="Times New Roman" w:eastAsia="Times New Roman" w:hAnsi="Times New Roman"/>
          <w:sz w:val="20"/>
          <w:szCs w:val="20"/>
          <w:color w:val="auto"/>
        </w:rPr>
      </w:pPr>
    </w:p>
    <w:p>
      <w:pPr>
        <w:jc w:val="both"/>
        <w:ind w:left="760" w:firstLine="1045"/>
        <w:spacing w:after="0" w:line="255" w:lineRule="auto"/>
        <w:tabs>
          <w:tab w:leader="none" w:pos="2203"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request of the Borrower (such request, the “ </w:t>
      </w:r>
      <w:r>
        <w:rPr>
          <w:rFonts w:ascii="Times New Roman" w:cs="Times New Roman" w:eastAsia="Times New Roman" w:hAnsi="Times New Roman"/>
          <w:sz w:val="20"/>
          <w:szCs w:val="20"/>
          <w:b w:val="1"/>
          <w:bCs w:val="1"/>
          <w:color w:val="auto"/>
        </w:rPr>
        <w:t>Release/Subordination Event</w:t>
      </w:r>
      <w:r>
        <w:rPr>
          <w:rFonts w:ascii="Times New Roman" w:cs="Times New Roman" w:eastAsia="Times New Roman" w:hAnsi="Times New Roman"/>
          <w:sz w:val="20"/>
          <w:szCs w:val="20"/>
          <w:color w:val="auto"/>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Guarantor will be automatically and immediately released from its obligations under the Guaranty as a result of (A) such Subsidiary Guarantor ceasing to be a Subsidiary, (B) such Subsidiary Guarantor ceasing to be a Material Subsidiary, or (C) such Subsidiary Guarantor becoming an Excluded Subsidiary (clauses (A)-(C), each a “</w:t>
      </w:r>
      <w:r>
        <w:rPr>
          <w:rFonts w:ascii="Times New Roman" w:cs="Times New Roman" w:eastAsia="Times New Roman" w:hAnsi="Times New Roman"/>
          <w:sz w:val="20"/>
          <w:szCs w:val="20"/>
          <w:b w:val="1"/>
          <w:bCs w:val="1"/>
          <w:color w:val="auto"/>
        </w:rPr>
        <w:t>Guaranty Release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 and each Secured Party irrevocably authorizes and directs the Agents to enter into, and each agrees it will enter into,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and advisable documents requested by the Borrower to (1) release such Subsidiary Guarantor from its obligations under the Guaranty and (2) release any Liens granted by such Subsidiary or Liens on the Equity Interests of such Subsidiary; and</w:t>
      </w:r>
    </w:p>
    <w:p>
      <w:pPr>
        <w:spacing w:after="0" w:line="182" w:lineRule="exact"/>
        <w:rPr>
          <w:rFonts w:ascii="Times New Roman" w:cs="Times New Roman" w:eastAsia="Times New Roman" w:hAnsi="Times New Roman"/>
          <w:sz w:val="20"/>
          <w:szCs w:val="20"/>
          <w:color w:val="auto"/>
        </w:rPr>
      </w:pPr>
    </w:p>
    <w:p>
      <w:pPr>
        <w:jc w:val="both"/>
        <w:ind w:left="760" w:firstLine="1045"/>
        <w:spacing w:after="0" w:line="243" w:lineRule="auto"/>
        <w:tabs>
          <w:tab w:leader="none" w:pos="2203"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Collateral Agent will exclusively exercise the rights and remedies under the Loan Documents, and neither the Lenders nor any other Secured Party will exercise such rights and remedies (other than the Required Lenders through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preclude any Lender from exercising any right of set-off in accordance with the provisions of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 xml:space="preserve"> or from exercising rights and remedies (other than the enforcement of Collateral) with respect to any payment default after the occurrence of the Maturity Date with respect to any Loans made by it or filing proofs of claim or appearing and filing pleadings on its own behalf during the pendency of a proceeding relative to any Loan Party under the United States Bankruptcy Code or any other Federal, state or foreign bankruptcy, insolvency, receivership or similar law.</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Each Agent, each Lender and each other Secured Party agrees that it will promptly take such action and execute any such documents as may be reasonably requested by the Borrower (such actions and such execution, the “</w:t>
      </w:r>
      <w:r>
        <w:rPr>
          <w:rFonts w:ascii="Times New Roman" w:cs="Times New Roman" w:eastAsia="Times New Roman" w:hAnsi="Times New Roman"/>
          <w:sz w:val="20"/>
          <w:szCs w:val="20"/>
          <w:b w:val="1"/>
          <w:bCs w:val="1"/>
          <w:color w:val="auto"/>
        </w:rPr>
        <w:t>Release Actions</w:t>
      </w:r>
      <w:r>
        <w:rPr>
          <w:rFonts w:ascii="Times New Roman" w:cs="Times New Roman" w:eastAsia="Times New Roman" w:hAnsi="Times New Roman"/>
          <w:sz w:val="20"/>
          <w:szCs w:val="20"/>
          <w:color w:val="auto"/>
        </w:rPr>
        <w:t>”), at the Borrower’s sole cost and expense, in connection with a Lien Release Event, Subordination/Release Event or Guaranty Release Event and that such actions are not discretionary. Without limitation, the Release Actions may include, as applicable, (a) executing (if required) and delivering to the Loan Parties (or any designee of the Loan Parties) any such lien releases, mortgage releases, discharges of security interests, pledges and guarantees and other similar discharge or release documents, as are reasonably requested by a Loan Party in connection with the release, as of record, of the Liens (and all notices of security interests and Liens previously filed) the subject of a Lien Release Event or Release/Subordination Event or the release of any applicable Guarantee in connection with a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1" w:name="page282"/>
    <w:bookmarkEnd w:id="281"/>
    <w:p>
      <w:pPr>
        <w:jc w:val="both"/>
        <w:spacing w:after="0" w:line="268" w:lineRule="auto"/>
        <w:rPr>
          <w:sz w:val="20"/>
          <w:szCs w:val="20"/>
          <w:color w:val="auto"/>
        </w:rPr>
      </w:pPr>
      <w:r>
        <w:rPr>
          <w:rFonts w:ascii="Times New Roman" w:cs="Times New Roman" w:eastAsia="Times New Roman" w:hAnsi="Times New Roman"/>
          <w:sz w:val="20"/>
          <w:szCs w:val="20"/>
          <w:color w:val="auto"/>
        </w:rPr>
        <w:t>Release Event and (b) delivering to the Loan Parties (or any designee of the Loan Parties) all instruments evidencing pledged debt and all equity certificates and any other collateral previously delivered in physical form by the Loan Parties to a Secured Party.</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connection with any Lien Release Event, Release/Subordination Event, Guarantee Release Event or Release Action, each of the Collateral Agent and the Administrative Agent shall be entitled to rely and shall rely exclusively on an officer’s certificate of the Borrower (the “</w:t>
      </w:r>
      <w:r>
        <w:rPr>
          <w:rFonts w:ascii="Times New Roman" w:cs="Times New Roman" w:eastAsia="Times New Roman" w:hAnsi="Times New Roman"/>
          <w:sz w:val="20"/>
          <w:szCs w:val="20"/>
          <w:b w:val="1"/>
          <w:bCs w:val="1"/>
          <w:color w:val="auto"/>
        </w:rPr>
        <w:t>Release Certificate</w:t>
      </w:r>
      <w:r>
        <w:rPr>
          <w:rFonts w:ascii="Times New Roman" w:cs="Times New Roman" w:eastAsia="Times New Roman" w:hAnsi="Times New Roman"/>
          <w:sz w:val="20"/>
          <w:szCs w:val="20"/>
          <w:color w:val="auto"/>
        </w:rPr>
        <w:t>”) confirming that (a) such Lien Release Event, Subordination/Release Event or a Guaranty Release Event, as applicable, has occurred or will upon consummation of an identified transaction (an “</w:t>
      </w:r>
      <w:r>
        <w:rPr>
          <w:rFonts w:ascii="Times New Roman" w:cs="Times New Roman" w:eastAsia="Times New Roman" w:hAnsi="Times New Roman"/>
          <w:sz w:val="20"/>
          <w:szCs w:val="20"/>
          <w:b w:val="1"/>
          <w:bCs w:val="1"/>
          <w:color w:val="auto"/>
        </w:rPr>
        <w:t>Identified Transaction</w:t>
      </w:r>
      <w:r>
        <w:rPr>
          <w:rFonts w:ascii="Times New Roman" w:cs="Times New Roman" w:eastAsia="Times New Roman" w:hAnsi="Times New Roman"/>
          <w:sz w:val="20"/>
          <w:szCs w:val="20"/>
          <w:color w:val="auto"/>
        </w:rPr>
        <w:t>”) occur, (b) the conditions to any such Lien Release Event, Subordination/Release Event or Guaranty Release Event have occurred or will occur upon consummation of an Identified Transaction, and (c) 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Section.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w:t>
      </w:r>
    </w:p>
    <w:p>
      <w:pPr>
        <w:spacing w:after="0" w:line="171" w:lineRule="exact"/>
        <w:rPr>
          <w:sz w:val="20"/>
          <w:szCs w:val="20"/>
          <w:color w:val="auto"/>
        </w:rPr>
      </w:pPr>
    </w:p>
    <w:p>
      <w:pPr>
        <w:ind w:right="60" w:firstLine="757"/>
        <w:spacing w:after="0" w:line="268" w:lineRule="auto"/>
        <w:tabs>
          <w:tab w:leader="none" w:pos="1144"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contained in any of the Loan Documents to the contrary notwithstanding, each Agent, each Lender and each Secured Party hereby agree that:</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w:t>
      </w:r>
    </w:p>
    <w:p>
      <w:pPr>
        <w:spacing w:after="0" w:line="182" w:lineRule="exact"/>
        <w:rPr>
          <w:rFonts w:ascii="Times New Roman" w:cs="Times New Roman" w:eastAsia="Times New Roman" w:hAnsi="Times New Roman"/>
          <w:sz w:val="20"/>
          <w:szCs w:val="20"/>
          <w:color w:val="auto"/>
        </w:rPr>
      </w:pPr>
    </w:p>
    <w:p>
      <w:pPr>
        <w:jc w:val="both"/>
        <w:ind w:left="760" w:firstLine="1045"/>
        <w:spacing w:after="0" w:line="250" w:lineRule="auto"/>
        <w:tabs>
          <w:tab w:leader="none" w:pos="2203"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foreclosure or similar enforcement action by the Collateral Agent on any of the Collateral pursuant to a public or private sale or other disposition (including, without limitation, pursuant to Section 363(k), Section 1129(b)</w:t>
      </w:r>
    </w:p>
    <w:p>
      <w:pPr>
        <w:spacing w:after="0" w:line="1" w:lineRule="exact"/>
        <w:rPr>
          <w:rFonts w:ascii="Times New Roman" w:cs="Times New Roman" w:eastAsia="Times New Roman" w:hAnsi="Times New Roman"/>
          <w:sz w:val="20"/>
          <w:szCs w:val="20"/>
          <w:color w:val="auto"/>
        </w:rPr>
      </w:pPr>
    </w:p>
    <w:p>
      <w:pPr>
        <w:jc w:val="both"/>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(2)(a)(ii) or otherwise of the U.S. Bankruptcy Code), only the Collateral Agent (except with respect to a “credit bid” pursuant to Section 363(k), Section 1129(b)(2)(a)(ii) or otherwise of the U.S. Bankruptcy Code) may be the purchaser or licensor of any or all of such Collateral at any such sale or other disposition, and the Collateral Agent,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2" w:name="page283"/>
    <w:bookmarkEnd w:id="282"/>
    <w:p>
      <w:pPr>
        <w:ind w:left="3"/>
        <w:spacing w:after="0" w:line="268" w:lineRule="auto"/>
        <w:rPr>
          <w:sz w:val="20"/>
          <w:szCs w:val="20"/>
          <w:color w:val="auto"/>
        </w:rPr>
      </w:pPr>
      <w:r>
        <w:rPr>
          <w:rFonts w:ascii="Times New Roman" w:cs="Times New Roman" w:eastAsia="Times New Roman" w:hAnsi="Times New Roman"/>
          <w:sz w:val="20"/>
          <w:szCs w:val="20"/>
          <w:color w:val="auto"/>
        </w:rPr>
        <w:t>Loan Document Obligations as a credit on account of the purchase price for any collateral payable by the Collateral Agent at such sale or other disposition;</w:t>
      </w:r>
    </w:p>
    <w:p>
      <w:pPr>
        <w:spacing w:after="0" w:line="161" w:lineRule="exact"/>
        <w:rPr>
          <w:sz w:val="20"/>
          <w:szCs w:val="20"/>
          <w:color w:val="auto"/>
        </w:rPr>
      </w:pPr>
    </w:p>
    <w:p>
      <w:pPr>
        <w:jc w:val="both"/>
        <w:ind w:left="3" w:firstLine="1045"/>
        <w:spacing w:after="0" w:line="262" w:lineRule="auto"/>
        <w:tabs>
          <w:tab w:leader="none" w:pos="1447"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any Loan Documents shall require the creation, perfection or maintenance of pledges of or security interests in, or the obtaining of title insurance or abstracts with respect to, any Excluded Assets and any other particular assets, if and for so long as, in the reasonable judgment of the Collateral Agent,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spacing w:after="0" w:line="169" w:lineRule="exact"/>
        <w:rPr>
          <w:rFonts w:ascii="Times New Roman" w:cs="Times New Roman" w:eastAsia="Times New Roman" w:hAnsi="Times New Roman"/>
          <w:sz w:val="19"/>
          <w:szCs w:val="19"/>
          <w:color w:val="auto"/>
        </w:rPr>
      </w:pPr>
    </w:p>
    <w:p>
      <w:pPr>
        <w:jc w:val="both"/>
        <w:ind w:left="3" w:firstLine="1045"/>
        <w:spacing w:after="0" w:line="246" w:lineRule="auto"/>
        <w:tabs>
          <w:tab w:leader="none" w:pos="1447"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spacing w:after="0" w:line="183" w:lineRule="exact"/>
        <w:rPr>
          <w:rFonts w:ascii="Times New Roman" w:cs="Times New Roman" w:eastAsia="Times New Roman" w:hAnsi="Times New Roman"/>
          <w:sz w:val="20"/>
          <w:szCs w:val="20"/>
          <w:color w:val="auto"/>
        </w:rPr>
      </w:pPr>
    </w:p>
    <w:p>
      <w:pPr>
        <w:jc w:val="both"/>
        <w:ind w:left="3" w:firstLine="1045"/>
        <w:spacing w:after="0" w:line="249" w:lineRule="auto"/>
        <w:tabs>
          <w:tab w:leader="none" w:pos="1447"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the Equity Interests and assets of a Foreign Subsidiary that becomes a Loan Party, no actions required by the Laws of any non-U.S. jurisdiction shall be required in order to create any security interests in any assets or to perfect such security interests (including any intellectual property registered in any non-U.S. jurisdiction) (it being understood that there shall be no security agreements or pledge agreements governed under the Laws of any non-U.S. jurisdiction); and</w:t>
      </w:r>
    </w:p>
    <w:p>
      <w:pPr>
        <w:spacing w:after="0" w:line="178"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control agreements or control shall be required with respect to assets (other than in respect of Pledged Equity or Pledged Debt) requiring perfection through control agreements or perfection by “control” (as defined in the Uniform Commercial Code).</w:t>
      </w:r>
    </w:p>
    <w:p>
      <w:pPr>
        <w:spacing w:after="0" w:line="176" w:lineRule="exact"/>
        <w:rPr>
          <w:sz w:val="20"/>
          <w:szCs w:val="20"/>
          <w:color w:val="auto"/>
        </w:rPr>
      </w:pPr>
    </w:p>
    <w:p>
      <w:pPr>
        <w:ind w:left="3"/>
        <w:spacing w:after="0"/>
        <w:tabs>
          <w:tab w:leader="none" w:pos="1563"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u w:val="single" w:color="auto"/>
          <w:color w:val="auto"/>
        </w:rPr>
        <w:t>Appointment of Supplemental Administrative Agents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57" w:firstLine="757"/>
        <w:spacing w:after="0" w:line="242" w:lineRule="auto"/>
        <w:tabs>
          <w:tab w:leader="none" w:pos="388"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20"/>
          <w:szCs w:val="20"/>
          <w:b w:val="1"/>
          <w:bCs w:val="1"/>
          <w:color w:val="auto"/>
        </w:rPr>
        <w:t>Supplemental Administrative Agent</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Supplemental Administrative Agents</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757" w:firstLine="757"/>
        <w:spacing w:after="0" w:line="246" w:lineRule="auto"/>
        <w:tabs>
          <w:tab w:leader="none" w:pos="388"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314960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83" w:name="page284"/>
    <w:bookmarkEnd w:id="283"/>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of </w:t>
      </w:r>
      <w:r>
        <w:rPr>
          <w:rFonts w:ascii="Times New Roman" w:cs="Times New Roman" w:eastAsia="Times New Roman" w:hAnsi="Times New Roman"/>
          <w:sz w:val="20"/>
          <w:szCs w:val="20"/>
          <w:u w:val="single" w:color="auto"/>
          <w:color w:val="auto"/>
        </w:rPr>
        <w:t>Sections 11.04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11.05</w:t>
      </w:r>
      <w:r>
        <w:rPr>
          <w:rFonts w:ascii="Times New Roman" w:cs="Times New Roman" w:eastAsia="Times New Roman" w:hAnsi="Times New Roman"/>
          <w:sz w:val="20"/>
          <w:szCs w:val="20"/>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3" w:lineRule="exact"/>
        <w:rPr>
          <w:sz w:val="20"/>
          <w:szCs w:val="20"/>
          <w:color w:val="auto"/>
        </w:rPr>
      </w:pPr>
    </w:p>
    <w:p>
      <w:pPr>
        <w:jc w:val="both"/>
        <w:ind w:firstLine="757"/>
        <w:spacing w:after="0" w:line="244" w:lineRule="auto"/>
        <w:tabs>
          <w:tab w:leader="none" w:pos="114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xml:space="preserve"> The Administrative Agent and the Collateral Agent are authorized to enter into the Intercreditor Agreements (and any amendments, amendments and restatements, restatements or waivers of or supplements to or other modifications to, such agreements in connection with the incurrence by any Loan Party of any Permitted Pari Passu Secured Refinancing Debt or any Permitted Junior Secured Refinancing Debt, in order to permit such Indebtedness to be secured by a valid, perfected lien (with such priority as may be designated by the Borrower or relevant Subsidiary, to the extent such priority is permitted by the Loan Documents)), and the Lenders acknowledge that the Intercreditor Agreements will be binding upon them. Each Lender (i) understands, acknowledges and agrees that Liens may be created on the Collateral pursuant to the definitive documents governing such Indebtedness, which liens shall be subject to the terms and conditions of any Intercreditor Agreement, (ii) hereby agrees that it will be bound by and will take no actions contrary to the provisions of any Intercreditor Agreement and (iii)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Permitted Pari Passu Secured Refinancing Debt or any Permitted Junior Secured Refinancing Debt, in order to permit such Indebtedness to be secured by a valid, perfected lien (with such priority as may be designated by the Borrower or relevant Subsidiary, to the extent such priority is permitted by the Loan Documents)), and to subject the Liens on the Collateral securing the Obligations to the provisions thereof.</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Secured Cash Management Agreements and Secured Hedge Agreements</w:t>
      </w:r>
      <w:r>
        <w:rPr>
          <w:rFonts w:ascii="Times New Roman" w:cs="Times New Roman" w:eastAsia="Times New Roman" w:hAnsi="Times New Roman"/>
          <w:sz w:val="20"/>
          <w:szCs w:val="20"/>
          <w:color w:val="auto"/>
        </w:rPr>
        <w:t xml:space="preserve">. Except as otherwise expressly set forth herein or in any Guaranty or any Collateral Document, no Cash Management Bank or Hedge Bank that obtains the benefits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4" w:name="page285"/>
    <w:bookmarkEnd w:id="284"/>
    <w:p>
      <w:pPr>
        <w:jc w:val="both"/>
        <w:spacing w:after="0" w:line="268" w:lineRule="auto"/>
        <w:rPr>
          <w:sz w:val="20"/>
          <w:szCs w:val="20"/>
          <w:color w:val="auto"/>
        </w:rPr>
      </w:pPr>
      <w:r>
        <w:rPr>
          <w:rFonts w:ascii="Times New Roman" w:cs="Times New Roman" w:eastAsia="Times New Roman" w:hAnsi="Times New Roman"/>
          <w:sz w:val="20"/>
          <w:szCs w:val="20"/>
          <w:color w:val="auto"/>
        </w:rPr>
        <w:t>supporting documentation as the Administrative Agent may request, from the applicable Cash Management Bank or Hedge Bank, as the case may be.</w:t>
      </w:r>
    </w:p>
    <w:p>
      <w:pPr>
        <w:spacing w:after="0" w:line="1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10.15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92"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10.16</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at least one of the following is and will be true:</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5" w:name="page286"/>
    <w:bookmarkEnd w:id="285"/>
    <w:p>
      <w:pPr>
        <w:ind w:left="760" w:right="20" w:firstLine="745"/>
        <w:spacing w:after="0" w:line="268" w:lineRule="auto"/>
        <w:tabs>
          <w:tab w:leader="none" w:pos="190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0"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none of the Administrative Agent or any other Lead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XI</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9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11.01 </w:t>
      </w:r>
      <w:r>
        <w:rPr>
          <w:rFonts w:ascii="Times New Roman" w:cs="Times New Roman" w:eastAsia="Times New Roman" w:hAnsi="Times New Roman"/>
          <w:sz w:val="20"/>
          <w:szCs w:val="20"/>
          <w:u w:val="single" w:color="auto"/>
          <w:color w:val="auto"/>
        </w:rPr>
        <w:t>Amendments, Waivers, Etc.</w:t>
      </w:r>
      <w:r>
        <w:rPr>
          <w:rFonts w:ascii="Times New Roman" w:cs="Times New Roman" w:eastAsia="Times New Roman" w:hAnsi="Times New Roman"/>
          <w:sz w:val="20"/>
          <w:szCs w:val="20"/>
          <w:color w:val="auto"/>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amendment, waiver or consent shall:</w:t>
      </w:r>
    </w:p>
    <w:p>
      <w:pPr>
        <w:spacing w:after="0" w:line="183" w:lineRule="exact"/>
        <w:rPr>
          <w:sz w:val="20"/>
          <w:szCs w:val="20"/>
          <w:color w:val="auto"/>
        </w:rPr>
      </w:pPr>
    </w:p>
    <w:p>
      <w:pPr>
        <w:jc w:val="both"/>
        <w:ind w:firstLine="757"/>
        <w:spacing w:after="0" w:line="249" w:lineRule="auto"/>
        <w:tabs>
          <w:tab w:leader="none" w:pos="1144"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extend the final expiration date of any Letter of Credit beyond the Letter of Credit Expiration Date, without the written consent of each Lender directly and adversely affected thereby (it being understood that a waiver of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or the waiver of any Default, mandatory prepayment or mandatory reduction of the Commitments shall not constitute an extension or increase of any Commitment of any Lender);</w:t>
      </w:r>
    </w:p>
    <w:p>
      <w:pPr>
        <w:spacing w:after="0" w:line="178"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4" w:val="left"/>
        </w:tabs>
        <w:numPr>
          <w:ilvl w:val="1"/>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postpone any date scheduled for, or reduce the amount of, any payment of principal or interest with respect to any Loan or Letter of Credit or with respect to any fees payable under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without the written consent of each Lender directly and adversely affected thereby, it being understood that (i) the waiver of (or amendment to the terms of) any mandatory prepayment of the Loans shall not constitute a postponement of any date scheduled for the payment of principal or interest, (ii) the agreement, consent or waiver by (A) the Required Revolving Lenders to postpone or reduce or waive unused commitment fees as set forth in the paragraph immediately succeeding the table in the definition of “Applicable Commitment Fee,” (B) the Required Revolving Lenders to postpone or reduce or waive interest with respect to Revolving Loans as set forth in the paragraph immediately succeeding the table in the definition of “Applicable Rate”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xml:space="preserve"> or (C) the Required Facility Lenders of interest with respect to any Initial Term Loans (including the Delayed Draw Term Loans, if any) as set forth in the paragraph immediately succeeding the table in the definition of “Applicable Rate”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in any such case, shall not constitute a postponement of any date scheduled for, or a reduction in the amount of, any payment of interest or any payment of fees and</w:t>
      </w:r>
    </w:p>
    <w:p>
      <w:pPr>
        <w:spacing w:after="0" w:line="2" w:lineRule="exact"/>
        <w:rPr>
          <w:rFonts w:ascii="Times New Roman" w:cs="Times New Roman" w:eastAsia="Times New Roman" w:hAnsi="Times New Roman"/>
          <w:sz w:val="19"/>
          <w:szCs w:val="19"/>
          <w:color w:val="auto"/>
        </w:rPr>
      </w:pPr>
    </w:p>
    <w:p>
      <w:pPr>
        <w:jc w:val="both"/>
        <w:ind w:firstLine="8"/>
        <w:spacing w:after="0" w:line="242" w:lineRule="auto"/>
        <w:tabs>
          <w:tab w:leader="none" w:pos="361"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waiver of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or the waiver of any Default (other than a Default under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or mandatory reduction of the Commitments shall not constitute a postponement of any date scheduled for, or a reduction in the amount of, any payment of interest or any payment of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6" w:name="page287"/>
    <w:bookmarkEnd w:id="286"/>
    <w:p>
      <w:pPr>
        <w:jc w:val="both"/>
        <w:ind w:left="-757" w:firstLine="757"/>
        <w:spacing w:after="0" w:line="241" w:lineRule="auto"/>
        <w:tabs>
          <w:tab w:leader="none" w:pos="38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Letter of Credit or any fees or other amounts payable hereunder or under any other Loan Document (except as expressly set forth in clause (iii) of the second proviso immediately succeeding clause (g)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without the written consent of each Lender directly and adversely affected thereby, it being understood that (i) any change to the definitions of First Lien Net Leverage Ratio or in the component definitions thereof shall not constitute a reduction in the rate of interest, (ii) the agreement, consent or waiver by the Required Revolving Lenders to waive or reduce interest or unused commitment fees as set forth in the paragraph immediately succeeding the table in the definitions of “Applicable Rate” and “Applicable Commitment Fee”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not constitute a reduction in the rate of interest specified herein or any fees or other amounts payable hereunder or under any other Loan Document, and (iii) the agreement, consent or waiver by the Required Facility Lenders to waive or reduce interest with respect to the Initial Term Loans (including the Delayed Draw Term Loans, if any) as set forth in the paragraph immediately succeeding the table in the definition of “Applicable Rate”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not constitute a reduction in the rate of interest specified herein or any fees or other amounts payable hereunder or under any other Loan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only the consent of the Required Lenders shall be necessary to amend the definition of “Default Rate” and (B) with respect to any Facility, only the consent of the Required Facility Lenders or, solely with respect to the Revolving Facility, the Required Revolving Lenders, shall be necessary to waive any obligation of the Borrower to pay interest at the Default Rate;</w:t>
      </w:r>
    </w:p>
    <w:p>
      <w:pPr>
        <w:spacing w:after="0" w:line="191" w:lineRule="exact"/>
        <w:rPr>
          <w:rFonts w:ascii="Times New Roman" w:cs="Times New Roman" w:eastAsia="Times New Roman" w:hAnsi="Times New Roman"/>
          <w:sz w:val="20"/>
          <w:szCs w:val="20"/>
          <w:color w:val="auto"/>
        </w:rPr>
      </w:pPr>
    </w:p>
    <w:p>
      <w:pPr>
        <w:jc w:val="both"/>
        <w:ind w:left="-757" w:firstLine="757"/>
        <w:spacing w:after="0" w:line="245" w:lineRule="auto"/>
        <w:tabs>
          <w:tab w:leader="none" w:pos="38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(i)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(except as expressly set forth in clause (i) of the second proviso immediately succeeding clause (g)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or the definition of “Required Lenders,” “Required Facility Lenders” or “Pro Rata Share” or any other provision specifying the number of Lenders or portion of the Loans or Commitments required to take any action under the Loan Documents, without the written consent of each Lender, (ii) the definition of “Required Revolving Lenders” without the consent of each Revolving Lender or (iii) the definition of “Required Delayed Draw Lenders” without the consent of each Lender holding Delayed Draw Commitments;</w:t>
      </w:r>
    </w:p>
    <w:p>
      <w:pPr>
        <w:spacing w:after="0" w:line="182"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connection with a transfer or other transaction permitted under the Loan Documents, release all or substantially all of the Collateral in any transaction or series of related transactions, without the written consent of each Lender;</w:t>
      </w:r>
    </w:p>
    <w:p>
      <w:pPr>
        <w:spacing w:after="0" w:line="160" w:lineRule="exact"/>
        <w:rPr>
          <w:rFonts w:ascii="Times New Roman" w:cs="Times New Roman" w:eastAsia="Times New Roman" w:hAnsi="Times New Roman"/>
          <w:sz w:val="20"/>
          <w:szCs w:val="20"/>
          <w:color w:val="auto"/>
        </w:rPr>
      </w:pPr>
    </w:p>
    <w:p>
      <w:pPr>
        <w:ind w:left="-757" w:right="20" w:firstLine="757"/>
        <w:spacing w:after="0" w:line="268" w:lineRule="auto"/>
        <w:tabs>
          <w:tab w:leader="none" w:pos="38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connection with a transfer or other transaction permitted under the Loan Documents, release all or substantially all of the aggregate value of the Guaranty or all or substantially all of the Guarantors, without the written consent of each Lender; or</w:t>
      </w:r>
    </w:p>
    <w:p>
      <w:pPr>
        <w:spacing w:after="0" w:line="156" w:lineRule="exact"/>
        <w:rPr>
          <w:rFonts w:ascii="Times New Roman" w:cs="Times New Roman" w:eastAsia="Times New Roman" w:hAnsi="Times New Roman"/>
          <w:sz w:val="20"/>
          <w:szCs w:val="20"/>
          <w:color w:val="auto"/>
        </w:rPr>
      </w:pPr>
    </w:p>
    <w:p>
      <w:pPr>
        <w:ind w:left="403" w:hanging="403"/>
        <w:spacing w:after="0"/>
        <w:tabs>
          <w:tab w:leader="none" w:pos="40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modify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without the written consent of each lender directly and adversely affected thereby;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18"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or consent shall, unless in writing and signed by an Issuing Bank in addition to the Lenders required above, affect the rights or duties of, or any fees or other amounts payable to, such Issuing Bank under this Agreement, any Issuance Notice or any other Loan Document relating to any Letter of Credit issued or to be issued by it,</w:t>
      </w:r>
    </w:p>
    <w:p>
      <w:pPr>
        <w:spacing w:after="0" w:line="176" w:lineRule="exact"/>
        <w:rPr>
          <w:rFonts w:ascii="Times New Roman" w:cs="Times New Roman" w:eastAsia="Times New Roman" w:hAnsi="Times New Roman"/>
          <w:sz w:val="20"/>
          <w:szCs w:val="20"/>
          <w:color w:val="auto"/>
        </w:rPr>
      </w:pPr>
    </w:p>
    <w:p>
      <w:pPr>
        <w:jc w:val="both"/>
        <w:ind w:left="3" w:firstLine="1045"/>
        <w:spacing w:after="0" w:line="253" w:lineRule="auto"/>
        <w:tabs>
          <w:tab w:leader="none" w:pos="1447"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of consent shall, unless in writing and signed by the Swing Line Lender in addition to the Lenders required above, affect the rights or duties of, or any fees or other amounts payable to, the Swing Line Lender under this Agreement or any other Loan Document,</w:t>
      </w:r>
    </w:p>
    <w:p>
      <w:pPr>
        <w:spacing w:after="0" w:line="176" w:lineRule="exact"/>
        <w:rPr>
          <w:rFonts w:ascii="Times New Roman" w:cs="Times New Roman" w:eastAsia="Times New Roman" w:hAnsi="Times New Roman"/>
          <w:sz w:val="20"/>
          <w:szCs w:val="20"/>
          <w:color w:val="auto"/>
        </w:rPr>
      </w:pPr>
    </w:p>
    <w:p>
      <w:pPr>
        <w:ind w:left="3" w:right="20" w:firstLine="1045"/>
        <w:spacing w:after="0" w:line="268" w:lineRule="auto"/>
        <w:tabs>
          <w:tab w:leader="none" w:pos="1447"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or consent shall, unless in writing and signed by the Administrative Agent in addition to the Lenders required above, affect the rights or duties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300990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87" w:name="page288"/>
    <w:bookmarkEnd w:id="287"/>
    <w:p>
      <w:pPr>
        <w:ind w:left="760"/>
        <w:spacing w:after="0"/>
        <w:rPr>
          <w:sz w:val="20"/>
          <w:szCs w:val="20"/>
          <w:color w:val="auto"/>
        </w:rPr>
      </w:pPr>
      <w:r>
        <w:rPr>
          <w:rFonts w:ascii="Times New Roman" w:cs="Times New Roman" w:eastAsia="Times New Roman" w:hAnsi="Times New Roman"/>
          <w:sz w:val="20"/>
          <w:szCs w:val="20"/>
          <w:color w:val="auto"/>
        </w:rPr>
        <w:t>any fees or other amounts payable to, the Administrative Agent under this Agreement or any other Loan Document,</w:t>
      </w:r>
    </w:p>
    <w:p>
      <w:pPr>
        <w:spacing w:after="0" w:line="215" w:lineRule="exact"/>
        <w:rPr>
          <w:sz w:val="20"/>
          <w:szCs w:val="20"/>
          <w:color w:val="auto"/>
        </w:rPr>
      </w:pPr>
    </w:p>
    <w:p>
      <w:pPr>
        <w:jc w:val="both"/>
        <w:ind w:left="760" w:firstLine="1045"/>
        <w:spacing w:after="0" w:line="253" w:lineRule="auto"/>
        <w:tabs>
          <w:tab w:leader="none" w:pos="220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or consent shall, unless in writing and signed by the Collateral Agent in addition to the Lenders required above, affect the rights or duties of, or any fees or other amounts payable to, the Collateral Agent under this Agreement or any other Loan Document,</w:t>
      </w:r>
    </w:p>
    <w:p>
      <w:pPr>
        <w:spacing w:after="0" w:line="176" w:lineRule="exact"/>
        <w:rPr>
          <w:rFonts w:ascii="Times New Roman" w:cs="Times New Roman" w:eastAsia="Times New Roman" w:hAnsi="Times New Roman"/>
          <w:sz w:val="20"/>
          <w:szCs w:val="20"/>
          <w:color w:val="auto"/>
        </w:rPr>
      </w:pPr>
    </w:p>
    <w:p>
      <w:pPr>
        <w:ind w:left="760" w:firstLine="1045"/>
        <w:spacing w:after="0" w:line="268" w:lineRule="auto"/>
        <w:tabs>
          <w:tab w:leader="none" w:pos="223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11.07(g)</w:t>
      </w:r>
      <w:r>
        <w:rPr>
          <w:rFonts w:ascii="Times New Roman" w:cs="Times New Roman" w:eastAsia="Times New Roman" w:hAnsi="Times New Roman"/>
          <w:sz w:val="20"/>
          <w:szCs w:val="20"/>
          <w:color w:val="auto"/>
        </w:rPr>
        <w:t xml:space="preserve"> may not be amended, waived or otherwise modified without the consent of each Granting Lender all or any part of whose Loans are being funded by an SPC at the time of such amendment, waiver or other modification,</w:t>
      </w:r>
    </w:p>
    <w:p>
      <w:pPr>
        <w:spacing w:after="0" w:line="160" w:lineRule="exact"/>
        <w:rPr>
          <w:rFonts w:ascii="Times New Roman" w:cs="Times New Roman" w:eastAsia="Times New Roman" w:hAnsi="Times New Roman"/>
          <w:sz w:val="20"/>
          <w:szCs w:val="20"/>
          <w:color w:val="auto"/>
        </w:rPr>
      </w:pPr>
    </w:p>
    <w:p>
      <w:pPr>
        <w:jc w:val="both"/>
        <w:ind w:left="760" w:firstLine="1045"/>
        <w:spacing w:after="0" w:line="253" w:lineRule="auto"/>
        <w:tabs>
          <w:tab w:leader="none" w:pos="220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Required Revolving Lenders, Required Delayed Draw Lender or Required Facility Lenders, as applicable, shall be required with respect to any amendment that by its terms adversely affects the rights of Lenders under such Facility in respect of payments hereunder in a manner different than such amendment affects other Facilities,</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Required Revolving Lenders (but without the consent of other Lenders, including the Required Lenders) shall be required (x) to amend, waive or otherwise modify any provision of the paragraph immediately succeeding the table in the definition of “Applicable Rate”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which provides for an agreement, consent or waiver by the Required Revolving Lenders and (y) to amend, modify or waive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with respect to making Revolving Loans, Swing Line Loans or the issuance of Letters of Credit,</w:t>
      </w:r>
    </w:p>
    <w:p>
      <w:pPr>
        <w:spacing w:after="0" w:line="183"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599"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only the Required Delayed Draw Lenders shall be required to amend, waive or otherwise modify any condition precedent set forth in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with respect to the making of Delayed Draw Term Loans, and</w:t>
      </w:r>
    </w:p>
    <w:p>
      <w:pPr>
        <w:spacing w:after="0" w:line="160"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Lender or Issuing Bank consent is required to effect any amendment or supplement to the Intercreditor Agreement or any other intercreditor agreement that is,</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adding the holders of Pari Passu Lien Debt, Junior Lien Debt, Incremental Equivalent Debt, Permitted Pari Passu Secured Refinancing Debt or Permitted Junior Secured Refinancing Debt (or a Debt Representative with respect thereto)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p>
    <w:p>
      <w:pPr>
        <w:spacing w:after="0" w:line="18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contemplated by the Intercreditor Agreement or any other intercreditor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notwithstanding the foregoing,</w:t>
      </w:r>
    </w:p>
    <w:p>
      <w:pPr>
        <w:spacing w:after="0" w:line="219" w:lineRule="exact"/>
        <w:rPr>
          <w:sz w:val="20"/>
          <w:szCs w:val="20"/>
          <w:color w:val="auto"/>
        </w:rPr>
      </w:pPr>
    </w:p>
    <w:p>
      <w:pPr>
        <w:jc w:val="both"/>
        <w:ind w:left="760" w:firstLine="745"/>
        <w:spacing w:after="0" w:line="246" w:lineRule="auto"/>
        <w:tabs>
          <w:tab w:leader="none" w:pos="1904"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and until a Financial Covenant Cross Default has occurred and remains continuing, only the consent of the Required Revolving Lenders shall be necessary to, and upon the occurrence and continuance of a Financial Covenant Cross Default, the consent of the Required Lenders shall be necessary to (A) waive or consent to any Financial Covenant Event of Default or amend or modify the terms of, or waive or consent to any Default or Event of Default with respect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(including the related definitions as used in such Sections, but not as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8" w:name="page289"/>
    <w:bookmarkEnd w:id="288"/>
    <w:p>
      <w:pPr>
        <w:jc w:val="both"/>
        <w:ind w:left="3"/>
        <w:spacing w:after="0" w:line="246" w:lineRule="auto"/>
        <w:rPr>
          <w:sz w:val="20"/>
          <w:szCs w:val="20"/>
          <w:color w:val="auto"/>
        </w:rPr>
      </w:pPr>
      <w:r>
        <w:rPr>
          <w:rFonts w:ascii="Times New Roman" w:cs="Times New Roman" w:eastAsia="Times New Roman" w:hAnsi="Times New Roman"/>
          <w:sz w:val="20"/>
          <w:szCs w:val="20"/>
          <w:color w:val="auto"/>
        </w:rPr>
        <w:t>other Sections of this Agreement) and no such amendment, modification, waiver or consent shall be permitted (1) without the consent of the Required Revolving Lenders (unless and until a Financial Covenant Cross Default has occurred) and (2) without the consent of the Required Lenders (upon the occurrence and during the continuance of a Financial Covenant Cross Default) and/or</w:t>
      </w:r>
    </w:p>
    <w:p>
      <w:pPr>
        <w:spacing w:after="0" w:line="3" w:lineRule="exact"/>
        <w:rPr>
          <w:sz w:val="20"/>
          <w:szCs w:val="20"/>
          <w:color w:val="auto"/>
        </w:rPr>
      </w:pPr>
    </w:p>
    <w:p>
      <w:pPr>
        <w:jc w:val="both"/>
        <w:ind w:left="3" w:hanging="3"/>
        <w:spacing w:after="0"/>
        <w:tabs>
          <w:tab w:leader="none" w:pos="346"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this sentence. Notwithstanding that, upon the occurrence of a Financial Covenant Cross Default, the consent of the Required Lenders shall be necessary to waive or consent to any Default or Event of Default resulting from a Financial Covenant Event of Default as set forth in the immediately preceding sentence, only the consent of the Required Revolving Lenders shall be necessary to (a) amend or modify the terms and provisions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(in each case, whether or not a Financial Covenant Cross Default has occurred) and/or (b) amend this sentence,</w:t>
      </w:r>
    </w:p>
    <w:p>
      <w:pPr>
        <w:spacing w:after="0" w:line="190" w:lineRule="exact"/>
        <w:rPr>
          <w:rFonts w:ascii="Times New Roman" w:cs="Times New Roman" w:eastAsia="Times New Roman" w:hAnsi="Times New Roman"/>
          <w:sz w:val="20"/>
          <w:szCs w:val="20"/>
          <w:color w:val="auto"/>
        </w:rPr>
      </w:pPr>
    </w:p>
    <w:p>
      <w:pPr>
        <w:jc w:val="both"/>
        <w:ind w:left="3" w:firstLine="745"/>
        <w:spacing w:after="0" w:line="257" w:lineRule="auto"/>
        <w:tabs>
          <w:tab w:leader="none" w:pos="1148" w:val="left"/>
        </w:tabs>
        <w:numPr>
          <w:ilvl w:val="1"/>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w:t>
      </w:r>
    </w:p>
    <w:p>
      <w:pPr>
        <w:spacing w:after="0" w:line="3" w:lineRule="exact"/>
        <w:rPr>
          <w:rFonts w:ascii="Times New Roman" w:cs="Times New Roman" w:eastAsia="Times New Roman" w:hAnsi="Times New Roman"/>
          <w:sz w:val="19"/>
          <w:szCs w:val="19"/>
          <w:color w:val="auto"/>
        </w:rPr>
      </w:pPr>
    </w:p>
    <w:p>
      <w:pPr>
        <w:jc w:val="both"/>
        <w:ind w:left="3" w:hanging="3"/>
        <w:spacing w:after="0" w:line="239" w:lineRule="auto"/>
        <w:tabs>
          <w:tab w:leader="none" w:pos="32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include appropriately the Lenders holding such credit facilities in any determination of the Required Lenders, and (III) if at any time (A) the Administrative Agent determines (which determination shall be conclusive absent manifest error) that (i) the circumstances set forth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have arisen and such circumstances are unlikely to be temporary or (ii) the circumstances set forth in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have not arisen, but the supervisor for the administrator of ICE LIBOR (or the successor thereto with respect to ICE LIBOR), or a Governmental Authority having jurisdiction over the Administrative Agent, has made a public statement identifying a specific date after which ICE LIBOR shall no longer be used for determining interest rates for loans or (B) the Required Lenders (including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request an amendment to this Agreement as a result of the discontinuation of ICE LIBOR, then, in each case, the Administrative Agent and the Borrower shall endeavor to establish an alternate rate of interest to the Eurocurrency Rate that gives due consideration to the then prevailing market convention for determining a rate of interest for syndicated loans in the United States at such time (which rate shall in no event be less than 0.00%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and may enter into an amendment to this Agreement and the other Loan Documents to amend and/or replace the definition of “Eurocurrency Rate” (and the ancillary terms and other provisions with respect thereto) to reflect such alternate rate of interest and such other related changes to this Agreement (and such other Loan Documents as may be applicable) with the consent of only the Borrower and the Administrative Agent, in each case, only so long as the Administrative Agent provides the Lenders with written notice of the terms thereof at least five Business Days prior to the effectiveness of any such amendment and the Required Lenders do not object thereto during such notice period, and</w:t>
      </w:r>
    </w:p>
    <w:p>
      <w:pPr>
        <w:spacing w:after="0" w:line="197" w:lineRule="exact"/>
        <w:rPr>
          <w:rFonts w:ascii="Times New Roman" w:cs="Times New Roman" w:eastAsia="Times New Roman" w:hAnsi="Times New Roman"/>
          <w:sz w:val="20"/>
          <w:szCs w:val="20"/>
          <w:color w:val="auto"/>
        </w:rPr>
      </w:pPr>
    </w:p>
    <w:p>
      <w:pPr>
        <w:jc w:val="both"/>
        <w:ind w:left="3" w:firstLine="745"/>
        <w:spacing w:after="0" w:line="253" w:lineRule="auto"/>
        <w:tabs>
          <w:tab w:leader="none" w:pos="1148"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amended with the written consent of the Borrower and the Lenders providing the Replacement Loans (as defined below) to permit the refinancing, replacement or exchange of all outstanding Term Loans of any Class (“</w:t>
      </w:r>
      <w:r>
        <w:rPr>
          <w:rFonts w:ascii="Times New Roman" w:cs="Times New Roman" w:eastAsia="Times New Roman" w:hAnsi="Times New Roman"/>
          <w:sz w:val="20"/>
          <w:szCs w:val="20"/>
          <w:b w:val="1"/>
          <w:bCs w:val="1"/>
          <w:color w:val="auto"/>
        </w:rPr>
        <w:t>Refinanced Loans</w:t>
      </w:r>
      <w:r>
        <w:rPr>
          <w:rFonts w:ascii="Times New Roman" w:cs="Times New Roman" w:eastAsia="Times New Roman" w:hAnsi="Times New Roman"/>
          <w:sz w:val="20"/>
          <w:szCs w:val="20"/>
          <w:color w:val="auto"/>
        </w:rPr>
        <w:t>”) with replacement term loans (“</w:t>
      </w:r>
      <w:r>
        <w:rPr>
          <w:rFonts w:ascii="Times New Roman" w:cs="Times New Roman" w:eastAsia="Times New Roman" w:hAnsi="Times New Roman"/>
          <w:sz w:val="20"/>
          <w:szCs w:val="20"/>
          <w:b w:val="1"/>
          <w:bCs w:val="1"/>
          <w:color w:val="auto"/>
        </w:rPr>
        <w:t>Replacement Loans</w:t>
      </w:r>
      <w:r>
        <w:rPr>
          <w:rFonts w:ascii="Times New Roman" w:cs="Times New Roman" w:eastAsia="Times New Roman" w:hAnsi="Times New Roman"/>
          <w:sz w:val="20"/>
          <w:szCs w:val="20"/>
          <w:color w:val="auto"/>
        </w:rPr>
        <w:t xml:space="preserve">”)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6" w:lineRule="exact"/>
        <w:rPr>
          <w:rFonts w:ascii="Times New Roman" w:cs="Times New Roman" w:eastAsia="Times New Roman" w:hAnsi="Times New Roman"/>
          <w:sz w:val="20"/>
          <w:szCs w:val="20"/>
          <w:color w:val="auto"/>
        </w:rPr>
      </w:pPr>
    </w:p>
    <w:p>
      <w:pPr>
        <w:jc w:val="both"/>
        <w:ind w:left="743" w:firstLine="754"/>
        <w:spacing w:after="0" w:line="249" w:lineRule="auto"/>
        <w:tabs>
          <w:tab w:leader="none" w:pos="1887" w:val="left"/>
        </w:tabs>
        <w:numPr>
          <w:ilvl w:val="2"/>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such Replacement Loans shall not exceed the aggregate principal amount of such Refinanced Loans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 the amount of all unpaid, accrued, or capitalized interest, penalties, premiums (including tender premiums), and other amounts payable with respect to any such Refinanced Loans and (ii) underwriting discounts, fees, commissions, costs, expenses and other amounts payable with respect to such Replacement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311785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289" w:name="page290"/>
    <w:bookmarkEnd w:id="289"/>
    <w:p>
      <w:pPr>
        <w:ind w:left="1500" w:right="20" w:firstLine="754"/>
        <w:spacing w:after="0" w:line="268" w:lineRule="auto"/>
        <w:tabs>
          <w:tab w:leader="none" w:pos="264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such Replacement Loans shall not be shorter than the remaining Weighted Average Life to Maturity of such Refinanced Loans at the time of such refinancing, and</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tabs>
          <w:tab w:leader="none" w:pos="2644"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such Replacement Loans shall be on terms and conditions that are, taken as a whole, not materially more favorable to the lenders or holders providing such Indebtedness than, those applicable to the Initial Term Loans, as determined in good faith by a Responsible Officer of the Borrower in its reasonable judgment (except (x) for covenants applicable only to periods after the Latest Maturity Date of the Term Loans at the time of incurrence and (y) any term or condition to the extent such term or condition is also added for the benefit of the Lenders under the Term Loans) or (2) solely to the extent that any terms and conditions applicable to any Replacement Loans are not the same as, or substantially similar to, those then applicable to the Term Loans, shall otherwise reflect customary market terms and conditions at the time of such incurrence, including with respect to high yield debt securities to the extent applicable, as determined in good faith by a Responsible Officer of the Borrower in its reasonable judgment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certificate of a Responsible Officer delivered to the Administrative Agent at least four Business Days (or such shorter period as may be agreed by the Administrative Agent) prior to the incurrence of such Replacement Loans, together with a reasonably detailed description of the material covenants and events of default of such Indebtedness or drafts of the documentation relating thereto, stating that the Borrower has determined in good faith that such terms and conditions satisfy the requirement of this clause (C) shall be conclusive evidence that such material covenants and events of default satisfy such requirement unless the Administrative Agent notifies the Borrower within such four Business Day (or shorter) period that it disagrees with such determination (including a description of the basis upon which it disagrees));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this clause (C) will not apply to (w) terms addressed in the other clauses of this clause (iii), (x) interest rate, rate floors, fees, funding discounts and other pricing terms and optional prepayment provisions, (y) redemption, prepayment or other premiums, and (z) optional prepayment or redemption terms. For the avoidance of doubt, any Affiliated Lender that provides any Replacement Loans shall be subject to the limitations on Affiliated Lenders set forth in </w:t>
      </w:r>
      <w:r>
        <w:rPr>
          <w:rFonts w:ascii="Times New Roman" w:cs="Times New Roman" w:eastAsia="Times New Roman" w:hAnsi="Times New Roman"/>
          <w:sz w:val="20"/>
          <w:szCs w:val="20"/>
          <w:u w:val="single" w:color="auto"/>
          <w:color w:val="auto"/>
        </w:rPr>
        <w:t>Section 11.07(h)</w:t>
      </w:r>
      <w:r>
        <w:rPr>
          <w:rFonts w:ascii="Times New Roman" w:cs="Times New Roman" w:eastAsia="Times New Roman" w:hAnsi="Times New Roman"/>
          <w:sz w:val="20"/>
          <w:szCs w:val="20"/>
          <w:color w:val="auto"/>
        </w:rPr>
        <w:t xml:space="preserve"> (including the Affiliated Lender Term Loan Cap).</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any right to approve or disapprove any amendment, waiver or consent hereunder (and any amendment, waiver or consent which by its terms requires the consent of all Lenders, the Required Lenders, the Required Facility Lenders, the Required Delayed Draw Lenders or each affected Lender may be effected with the consent of the applicable Lenders other than Defaulting Lenders), except that (1) the Commitment of any Defaulting Lender may not be increased or extended without the consent of such Defaulting Lender and (2)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In addition, notwithstanding anything to the contrary contained in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no amendment, modification or waiver of this Agreement or any Loan Document altering the ratable treatment of Obligations arising under Secured Hedge Agreements or under Cash Management Obligations resulting in such Obligations being junior in right of payment to principal on the Loans or resulting in Obligations owing to any Hedge Bank or any Cash Management Obligations becoming unsecured (other than releases of Liens permitted in accordance with the terms hereof), in each case in a manner materially adverse to any Hedge Bank or any Cash Management Bank, shall be effective without the written consent of such Hedge Bank or such Cash Management Bank,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0" w:name="page291"/>
    <w:bookmarkEnd w:id="290"/>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In addition, notwithstanding anything to the contrary contained in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the Guaranty, the Collateral Documents and related documents executed by Holdings,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(as reasonably determined by the Administrative Agent and the Borrower) or (iii) to cause such Guaranty, Collateral Document or other document to be consistent with this Agreement and the other Loan Documents.</w:t>
      </w:r>
    </w:p>
    <w:p>
      <w:pPr>
        <w:spacing w:after="0" w:line="18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11.02</w:t>
      </w:r>
      <w:r>
        <w:rPr>
          <w:sz w:val="20"/>
          <w:szCs w:val="20"/>
          <w:color w:val="auto"/>
        </w:rPr>
        <w:tab/>
      </w:r>
      <w:r>
        <w:rPr>
          <w:rFonts w:ascii="Times New Roman" w:cs="Times New Roman" w:eastAsia="Times New Roman" w:hAnsi="Times New Roman"/>
          <w:sz w:val="19"/>
          <w:szCs w:val="19"/>
          <w:u w:val="single" w:color="auto"/>
          <w:color w:val="auto"/>
        </w:rPr>
        <w:t>Notices and Other Communications; Facsimile Copies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as follows, and all notices and other communications expressly permitted hereunder to be given by telephone shall be made to the applicable telephone number, as follows:</w:t>
      </w:r>
    </w:p>
    <w:p>
      <w:pPr>
        <w:spacing w:after="0" w:line="178" w:lineRule="exact"/>
        <w:rPr>
          <w:rFonts w:ascii="Times New Roman" w:cs="Times New Roman" w:eastAsia="Times New Roman" w:hAnsi="Times New Roman"/>
          <w:sz w:val="20"/>
          <w:szCs w:val="20"/>
          <w:color w:val="auto"/>
        </w:rPr>
      </w:pPr>
    </w:p>
    <w:p>
      <w:pPr>
        <w:ind w:left="760" w:firstLine="1045"/>
        <w:spacing w:after="0" w:line="253" w:lineRule="auto"/>
        <w:tabs>
          <w:tab w:leader="none" w:pos="2203"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Holdings, the Borrower, the Issuing Banks, the Swing Line Lender, the Collateral Agent or the Administrative Agent, to the address, fax number,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ind w:left="760" w:right="20" w:firstLine="1045"/>
        <w:spacing w:after="0" w:line="268" w:lineRule="auto"/>
        <w:tabs>
          <w:tab w:leader="none" w:pos="2203"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electronic mail addresses or telephone number specified in its Administrative Questionnaire.</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and notices deposited in the United States mail with postage prepaid and properly addressed shall be deemed to have been given within three Business Days of such deposit;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notice to any Agent shall be effective until received by such Agent. Notices and other communications delivered through electronic communications to the extent provided in subsection (b) below shall be effective as provided in such subsection (b).</w:t>
      </w:r>
    </w:p>
    <w:p>
      <w:pPr>
        <w:spacing w:after="0" w:line="184" w:lineRule="exact"/>
        <w:rPr>
          <w:sz w:val="20"/>
          <w:szCs w:val="20"/>
          <w:color w:val="auto"/>
        </w:rPr>
      </w:pPr>
    </w:p>
    <w:p>
      <w:pPr>
        <w:jc w:val="both"/>
        <w:ind w:firstLine="757"/>
        <w:spacing w:after="0" w:line="244" w:lineRule="auto"/>
        <w:tabs>
          <w:tab w:leader="none" w:pos="1171"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w:t>
      </w:r>
      <w:r>
        <w:rPr>
          <w:rFonts w:ascii="Times New Roman" w:cs="Times New Roman" w:eastAsia="Times New Roman" w:hAnsi="Times New Roman"/>
          <w:sz w:val="20"/>
          <w:szCs w:val="20"/>
          <w:color w:val="auto"/>
        </w:rPr>
        <w:t xml:space="preserve">. Notices and other communications to any Agent, the Lenders, the Swing Line Lender and the Issuing Banks hereunder may be delivered or furnished by electronic communication (including e-mail and Internet or intranet websites, including the Platform) pursuant to procedures approved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 any Agent, Lender, Swing Line Lender or the Issuing Banks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Receipt</w:t>
      </w:r>
      <w:r>
        <w:rPr>
          <w:rFonts w:ascii="Times New Roman" w:cs="Times New Roman" w:eastAsia="Times New Roman" w:hAnsi="Times New Roman"/>
          <w:sz w:val="20"/>
          <w:szCs w:val="20"/>
          <w:color w:val="auto"/>
        </w:rPr>
        <w:t xml:space="preserve">.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1" w:name="page292"/>
    <w:bookmarkEnd w:id="291"/>
    <w:p>
      <w:pPr>
        <w:jc w:val="both"/>
        <w:spacing w:after="0" w:line="249" w:lineRule="auto"/>
        <w:rPr>
          <w:sz w:val="20"/>
          <w:szCs w:val="20"/>
          <w:color w:val="auto"/>
        </w:rPr>
      </w:pPr>
      <w:r>
        <w:rPr>
          <w:rFonts w:ascii="Times New Roman" w:cs="Times New Roman" w:eastAsia="Times New Roman" w:hAnsi="Times New Roman"/>
          <w:sz w:val="20"/>
          <w:szCs w:val="20"/>
          <w:color w:val="auto"/>
        </w:rPr>
        <w:t>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8" w:lineRule="exact"/>
        <w:rPr>
          <w:sz w:val="20"/>
          <w:szCs w:val="20"/>
          <w:color w:val="auto"/>
        </w:rPr>
      </w:pPr>
    </w:p>
    <w:p>
      <w:pPr>
        <w:jc w:val="both"/>
        <w:ind w:firstLine="757"/>
        <w:spacing w:after="0" w:line="249" w:lineRule="auto"/>
        <w:tabs>
          <w:tab w:leader="none" w:pos="114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any Lender, the Swing Line Lender or any Issuing Bank as determined by a final, non-appealable judgment of a court of competent jurisdiction.</w:t>
      </w:r>
    </w:p>
    <w:p>
      <w:pPr>
        <w:spacing w:after="0" w:line="178"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4"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Platform</w:t>
      </w:r>
      <w:r>
        <w:rPr>
          <w:rFonts w:ascii="Times New Roman" w:cs="Times New Roman" w:eastAsia="Times New Roman" w:hAnsi="Times New Roman"/>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cs="Times New Roman" w:eastAsia="Times New Roman" w:hAnsi="Times New Roman"/>
          <w:sz w:val="19"/>
          <w:szCs w:val="19"/>
          <w:b w:val="1"/>
          <w:bCs w:val="1"/>
          <w:color w:val="auto"/>
        </w:rPr>
        <w:t>Agent Parties</w:t>
      </w:r>
      <w:r>
        <w:rPr>
          <w:rFonts w:ascii="Times New Roman" w:cs="Times New Roman" w:eastAsia="Times New Roman" w:hAnsi="Times New Roman"/>
          <w:sz w:val="19"/>
          <w:szCs w:val="19"/>
          <w:color w:val="auto"/>
        </w:rPr>
        <w:t xml:space="preserve">”) have any liability to Holdings, the Borrower, any Lender, the Swing Line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event shall any Agent Party have any liability to Holdings, the Borrower, any Lender, the Swing Line Lender, any 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w:t>
      </w:r>
    </w:p>
    <w:p>
      <w:pPr>
        <w:spacing w:after="0" w:line="183" w:lineRule="exact"/>
        <w:rPr>
          <w:rFonts w:ascii="Times New Roman" w:cs="Times New Roman" w:eastAsia="Times New Roman" w:hAnsi="Times New Roman"/>
          <w:sz w:val="19"/>
          <w:szCs w:val="19"/>
          <w:color w:val="auto"/>
        </w:rPr>
      </w:pPr>
    </w:p>
    <w:p>
      <w:pPr>
        <w:jc w:val="both"/>
        <w:ind w:firstLine="757"/>
        <w:spacing w:after="0" w:line="244" w:lineRule="auto"/>
        <w:tabs>
          <w:tab w:leader="none" w:pos="114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w:t>
      </w:r>
      <w:r>
        <w:rPr>
          <w:rFonts w:ascii="Times New Roman" w:cs="Times New Roman" w:eastAsia="Times New Roman" w:hAnsi="Times New Roman"/>
          <w:sz w:val="20"/>
          <w:szCs w:val="20"/>
          <w:color w:val="auto"/>
        </w:rPr>
        <w:t>. Each of Holdings, the Borrower, the Administrative Agent, the Swing Line Lender and the Issuing Banks may change its address, fax or telephone number for notices and other communications hereunder by notice to the other parties hereto. Each other Lender may change its address, fax or telephone number for notices and other communications hereunder by notice to the Borrower, the Administrative Agent, the Collateral Agent, the Swing Line Lender and the Issuing Banks.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83"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the Administrative Agent, the Issuing Banks and the Lenders</w:t>
      </w:r>
      <w:r>
        <w:rPr>
          <w:rFonts w:ascii="Times New Roman" w:cs="Times New Roman" w:eastAsia="Times New Roman" w:hAnsi="Times New Roman"/>
          <w:sz w:val="20"/>
          <w:szCs w:val="20"/>
          <w:color w:val="auto"/>
        </w:rPr>
        <w:t>. The Administrative Agent, the Issuing Banks and the Lenders shall be entitled to rely and act upon any notices (including Committed Loan Notices, Swing Line Loan Requests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2" w:name="page293"/>
    <w:bookmarkEnd w:id="292"/>
    <w:p>
      <w:pPr>
        <w:jc w:val="both"/>
        <w:spacing w:after="0" w:line="246" w:lineRule="auto"/>
        <w:rPr>
          <w:sz w:val="20"/>
          <w:szCs w:val="20"/>
          <w:color w:val="auto"/>
        </w:rPr>
      </w:pPr>
      <w:r>
        <w:rPr>
          <w:rFonts w:ascii="Times New Roman" w:cs="Times New Roman" w:eastAsia="Times New Roman" w:hAnsi="Times New Roman"/>
          <w:sz w:val="20"/>
          <w:szCs w:val="20"/>
          <w:color w:val="auto"/>
        </w:rPr>
        <w:t>telephonic communications with the Administrative Agent may be recorded by the Administrative Agent, and each of the parties hereto hereby consents to such recording. The Borrower shall indemnify the Administrative Agent, the Issuing Banks and the Lenders and each Agent-Related Person from all losses, costs, expenses and liabilities resulting from the reliance by such Person on each notice purportedly given by or on behalf of the Borrower in the absence of gross negligence, bad faith or willful misconduct as determined in a final and non-appealable judgment by a court of competent jurisdiction.</w:t>
      </w:r>
    </w:p>
    <w:p>
      <w:pPr>
        <w:spacing w:after="0" w:line="183" w:lineRule="exact"/>
        <w:rPr>
          <w:sz w:val="20"/>
          <w:szCs w:val="20"/>
          <w:color w:val="auto"/>
        </w:rPr>
      </w:pPr>
    </w:p>
    <w:p>
      <w:pPr>
        <w:jc w:val="both"/>
        <w:ind w:firstLine="757"/>
        <w:spacing w:after="0" w:line="242" w:lineRule="auto"/>
        <w:tabs>
          <w:tab w:leader="none" w:pos="1158"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Private-Side Information Contacts</w:t>
      </w:r>
      <w:r>
        <w:rPr>
          <w:rFonts w:ascii="Times New Roman" w:cs="Times New Roman" w:eastAsia="Times New Roman" w:hAnsi="Times New Roman"/>
          <w:sz w:val="20"/>
          <w:szCs w:val="20"/>
          <w:color w:val="auto"/>
        </w:rPr>
        <w:t>.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with respect to Holdings,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11.03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Article IX for the benefit of all the Lenders and the Issuing Banks;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Issuing Bank or the Swing Line Lender from exercising on its own behalf the rights and remedies that inure to its benefit (solely in its capacity as an Issuing Bank or the Swing Line Lender, as applicable) hereunder and under the other Loan Documents, (iii) any Lender from exercising setoff rights in accordance with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(iv) any Lender from filing proofs of claim or appearing and filing pleadings on its own behalf during the pendency of a proceeding relative to the Borrower under any Debtor Relief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(B) in addition to the matters set forth in clauses (ii), (iii) and (iv) of the preceding proviso and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any Lender may, with the consent of the Required Lenders, enforce any rights or remedies available to it and as authorized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3" w:name="page294"/>
    <w:bookmarkEnd w:id="293"/>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SECTION 11.04 </w:t>
      </w:r>
      <w:r>
        <w:rPr>
          <w:rFonts w:ascii="Times New Roman" w:cs="Times New Roman" w:eastAsia="Times New Roman" w:hAnsi="Times New Roman"/>
          <w:sz w:val="20"/>
          <w:szCs w:val="20"/>
          <w:u w:val="single" w:color="auto"/>
          <w:color w:val="auto"/>
        </w:rPr>
        <w:t>Attorney Costs and Expenses</w:t>
      </w:r>
      <w:r>
        <w:rPr>
          <w:rFonts w:ascii="Times New Roman" w:cs="Times New Roman" w:eastAsia="Times New Roman" w:hAnsi="Times New Roman"/>
          <w:sz w:val="20"/>
          <w:szCs w:val="20"/>
          <w:color w:val="auto"/>
        </w:rPr>
        <w:t xml:space="preserve">. The Borrower agrees (a) if the Closing Date occurs, to pay or reimburse the Administrative Agent, the Collateral Agent, the Lead Arrangers, the Supplemental Administrative Agents, the Issuing Banks and the Swing Line Lender for all reasonable and documented in reasonable detail out-of-pocket expenses incurred on or after the Closing Date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Attorney Costs of one primary counsel and, if reasonably necessary, one local counsel in each relevant jurisdiction material to the interests of the Lenders taken as a whole (which may be a single local counsel acting in multiple material jurisdictions), and (b) to pay or reimburse the Administrative Agent, the Collateral Agent, the Lead Arrangers, the Supplemental Administrative Agents, the Issuing Banks, the Swing Line Lender and the Lenders for all reasonable and documented in reasonable detail out-of-pocket costs and expenses incurred in connection with the enforcement or protection of any rights or remedies under this Agreement or the other Loan Documents (including all such costs and expenses incurred during any legal proceeding, including any proceeding under any Debtor Relief Law, and including all Attorney Costs of one counsel to the Administrative Agent, the Collateral Agent, the Lead Arrangers, the Supplemental Administrative Agents, the Issuing Banks, the Swing Line Lender and the Lenders taken as a whole (and, if reasonably necessary, one local counsel in any relevant material jurisdiction (which may be a single local counsel acting in multiple material jurisdictions) and, solely in the event of a conflict of interest between the Administrative Agent, the Collateral Agent, the Lead Arrangers, the Supplemental Administrative Agents, the Issuing Banks, the Swing Line Lender and the Lenders, where the Person or Persons affected by such conflict of interest inform the Borrower in writing of such conflict of interest, one additional counsel in each relevant material jurisdiction to each group of affected Persons similarly situated taken as a whole)). The agreements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be paid promptly following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11.05 </w:t>
      </w: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and hold harmless the Administrative Agent, any Supplemental Administrative Agent, the Collateral Agent, the Issuing Banks, the Swing Line Lender, each Lender, each Lead Arranger, each Joint Bookrunner and their respective Affiliates, directors, officers, directors, employees, agents, advisors, partners, shareholders, trustees, controlling persons, and other representatives (collectively, the “</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from and against any and all liabilities, obligations, losses, damages, penalties, 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(but limited, in the case of legal fees and expenses, to the Attorney Costs of one counsel to all Indemnitees taken as a whole and, if reasonably necessary, a single local counsel for all Indemnitees taken as a whole in each relevant jurisdiction that is material to the interest of such Indemnitees (which may be a single local counsel acting in multiple material jurisdictions), and solely in the case of a conflict of interest between Indemnitees (where the Indemnitee affected by such conflict of interest informs the Borrower in writing of such conflict of interest), one additional counsel in each relevant jurisdiction to each group of affected Indemnitees similarly situated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4" w:name="page295"/>
    <w:bookmarkEnd w:id="294"/>
    <w:p>
      <w:pPr>
        <w:jc w:val="both"/>
        <w:ind w:firstLine="757"/>
        <w:spacing w:after="0" w:line="253" w:lineRule="auto"/>
        <w:tabs>
          <w:tab w:leader="none" w:pos="114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w:t>
      </w:r>
    </w:p>
    <w:p>
      <w:pPr>
        <w:spacing w:after="0" w:line="214" w:lineRule="exact"/>
        <w:rPr>
          <w:rFonts w:ascii="Times New Roman" w:cs="Times New Roman" w:eastAsia="Times New Roman" w:hAnsi="Times New Roman"/>
          <w:sz w:val="20"/>
          <w:szCs w:val="20"/>
          <w:color w:val="auto"/>
        </w:rPr>
      </w:pPr>
    </w:p>
    <w:p>
      <w:pPr>
        <w:jc w:val="both"/>
        <w:ind w:right="20" w:firstLine="757"/>
        <w:spacing w:after="0" w:line="253" w:lineRule="auto"/>
        <w:tabs>
          <w:tab w:leader="none" w:pos="114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Commitment, Loan,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or alleged presence or release of, or exposure to, any Hazardous Materials on or from any property currently or formerly owned or operated by the Borrower or any other Loan Party, or any Environmental Claim or Environmental Liability arising out of the activities or operations of or otherwise related to the Borrower or any other Loan Party, or</w:t>
      </w:r>
    </w:p>
    <w:p>
      <w:pPr>
        <w:spacing w:after="0" w:line="176"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cs="Times New Roman" w:eastAsia="Times New Roman" w:hAnsi="Times New Roman"/>
          <w:sz w:val="20"/>
          <w:szCs w:val="20"/>
          <w:b w:val="1"/>
          <w:bCs w:val="1"/>
          <w:color w:val="auto"/>
        </w:rPr>
        <w:t>Indemnified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such indemnity shall not, as to any Indemnitee, be available to the extent that a court of competent jurisdiction determines in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final-non-appealable judgment that any such liabilities, obligations, losses, damages, penalties, claims, demands, actions, judgments, suits, costs, expenses or disbursements resulted from (i) the gross negligence, bad faith or willful misconduct of such Indemnitee or of any Related Indemnified Person of such Indemnitee, (ii) a material breach of any obligations of such Indemnitee under any Loan Document by such Indemnitee or Related Indemnified Person, or (iii) any dispute solely among Indemnitees or of any Related Indemnified Person of such Indemnitee other than any claims against an Indemnitee in its capacity or in fulfilling its role as the Administrative Agent, the Collateral Agent, an Issuing Bank, the Swing Line Lender or a Lead Arranger (or other Agent role) under the Facility and other than any claims arising out of any act or omission of the Borrower or any of its Affiliates. To the extent that the undertakings to indemnify and hold harmless set forth in this </w:t>
      </w:r>
      <w:r>
        <w:rPr>
          <w:rFonts w:ascii="Times New Roman" w:cs="Times New Roman" w:eastAsia="Times New Roman" w:hAnsi="Times New Roman"/>
          <w:sz w:val="19"/>
          <w:szCs w:val="19"/>
          <w:u w:val="single" w:color="auto"/>
          <w:color w:val="auto"/>
        </w:rPr>
        <w:t>Section 11.05</w:t>
      </w:r>
      <w:r>
        <w:rPr>
          <w:rFonts w:ascii="Times New Roman" w:cs="Times New Roman" w:eastAsia="Times New Roman" w:hAnsi="Times New Roman"/>
          <w:sz w:val="19"/>
          <w:szCs w:val="19"/>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IntraLinks or other similar information transmission systems in connection with this Agreement, except to the extent resulting from the willful misconduct, bad faith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cs="Times New Roman" w:eastAsia="Times New Roman" w:hAnsi="Times New Roman"/>
          <w:sz w:val="19"/>
          <w:szCs w:val="19"/>
          <w:u w:val="single" w:color="auto"/>
          <w:color w:val="auto"/>
        </w:rPr>
        <w:t>Section 11.05</w:t>
      </w:r>
      <w:r>
        <w:rPr>
          <w:rFonts w:ascii="Times New Roman" w:cs="Times New Roman" w:eastAsia="Times New Roman" w:hAnsi="Times New Roman"/>
          <w:sz w:val="19"/>
          <w:szCs w:val="19"/>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19"/>
          <w:szCs w:val="19"/>
          <w:u w:val="single" w:color="auto"/>
          <w:color w:val="auto"/>
        </w:rPr>
        <w:t>Section 11.05</w:t>
      </w:r>
      <w:r>
        <w:rPr>
          <w:rFonts w:ascii="Times New Roman" w:cs="Times New Roman" w:eastAsia="Times New Roman" w:hAnsi="Times New Roman"/>
          <w:sz w:val="19"/>
          <w:szCs w:val="19"/>
          <w:color w:val="auto"/>
        </w:rPr>
        <w:t xml:space="preserve"> (after the determination of a court of competent jurisdiction, if required pursuant to the terms of this </w:t>
      </w:r>
      <w:r>
        <w:rPr>
          <w:rFonts w:ascii="Times New Roman" w:cs="Times New Roman" w:eastAsia="Times New Roman" w:hAnsi="Times New Roman"/>
          <w:sz w:val="19"/>
          <w:szCs w:val="19"/>
          <w:u w:val="single" w:color="auto"/>
          <w:color w:val="auto"/>
        </w:rPr>
        <w:t>Section 11.05</w:t>
      </w:r>
      <w:r>
        <w:rPr>
          <w:rFonts w:ascii="Times New Roman" w:cs="Times New Roman" w:eastAsia="Times New Roman" w:hAnsi="Times New Roman"/>
          <w:sz w:val="19"/>
          <w:szCs w:val="19"/>
          <w:color w:val="auto"/>
        </w:rPr>
        <w:t>) shall be paid within twenty Business Days after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5" w:name="page296"/>
    <w:bookmarkEnd w:id="29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demand therefor. The agreements in this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shall survive the resignation of the Administrative Agent, the Collateral Agent, the Swing Line Lender or any Issuing Bank, replacement of any Lender, the termination of the Aggregate Commitments and the repayment, satisfaction or discharge of all the other Obligations. This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shall not apply to Taxes, except it shall apply to any taxes that represent losses, claims, damages, etc. arising from a non-tax claim (including a value added tax or similar tax charged with respect to the supply of legal or other services).</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11.06 </w:t>
      </w:r>
      <w:r>
        <w:rPr>
          <w:rFonts w:ascii="Times New Roman" w:cs="Times New Roman" w:eastAsia="Times New Roman" w:hAnsi="Times New Roman"/>
          <w:sz w:val="20"/>
          <w:szCs w:val="20"/>
          <w:u w:val="single" w:color="auto"/>
          <w:color w:val="auto"/>
        </w:rPr>
        <w:t>Marshaling; Payments Set Aside</w:t>
      </w:r>
      <w:r>
        <w:rPr>
          <w:rFonts w:ascii="Times New Roman" w:cs="Times New Roman" w:eastAsia="Times New Roman" w:hAnsi="Times New Roman"/>
          <w:sz w:val="20"/>
          <w:szCs w:val="20"/>
          <w:color w:val="auto"/>
        </w:rPr>
        <w:t xml:space="preserve">.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Federal Funds Rate from time to time in effect.</w:t>
      </w:r>
    </w:p>
    <w:p>
      <w:pPr>
        <w:spacing w:after="0" w:line="194"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11.07</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9" w:lineRule="auto"/>
        <w:tabs>
          <w:tab w:leader="none" w:pos="1144"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that neither Holdings nor the Borrower may, except as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7.11(b)</w:t>
      </w:r>
      <w:r>
        <w:rPr>
          <w:rFonts w:ascii="Times New Roman" w:cs="Times New Roman" w:eastAsia="Times New Roman" w:hAnsi="Times New Roman"/>
          <w:sz w:val="20"/>
          <w:szCs w:val="20"/>
          <w:color w:val="auto"/>
        </w:rPr>
        <w:t>, assign or otherwise transfer any of its rights or obligations hereunder without the prior written consent of the Administrative Agent and each Lender and no Lender may assign or otherwise transfer any of its rights or obligations hereunder except,</w:t>
      </w:r>
    </w:p>
    <w:p>
      <w:pPr>
        <w:spacing w:after="0" w:line="178"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 assignee in accordance with the provisions of subsection (b) of this Section,</w:t>
      </w:r>
    </w:p>
    <w:p>
      <w:pPr>
        <w:spacing w:after="0" w:line="214"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participation in accordance with the provisions of subsection (d) of this Section,</w:t>
      </w:r>
    </w:p>
    <w:p>
      <w:pPr>
        <w:spacing w:after="0" w:line="214"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way of pledge or assignment of a security interest subject to the restrictions of subsection (f) of this Section, or</w:t>
      </w:r>
    </w:p>
    <w:p>
      <w:pPr>
        <w:spacing w:after="0" w:line="226" w:lineRule="exact"/>
        <w:rPr>
          <w:rFonts w:ascii="Times New Roman" w:cs="Times New Roman" w:eastAsia="Times New Roman" w:hAnsi="Times New Roman"/>
          <w:sz w:val="19"/>
          <w:szCs w:val="19"/>
          <w:color w:val="auto"/>
        </w:rPr>
      </w:pPr>
    </w:p>
    <w:p>
      <w:pPr>
        <w:ind w:left="760" w:firstLine="1045"/>
        <w:spacing w:after="0" w:line="268" w:lineRule="auto"/>
        <w:tabs>
          <w:tab w:leader="none" w:pos="2203"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 SPC in accordance with the provisions of subsection (g) of this Section (and any other attempted assignment or transfer by any party hereto shall be null and void).</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of each of the Administrative Agent, the Issuing Banks and the Lenders)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6" w:name="page297"/>
    <w:bookmarkEnd w:id="296"/>
    <w:p>
      <w:pPr>
        <w:jc w:val="both"/>
        <w:ind w:left="-757" w:firstLine="757"/>
        <w:spacing w:after="0" w:line="249" w:lineRule="auto"/>
        <w:tabs>
          <w:tab w:leader="none" w:pos="414"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11.07(b)</w:t>
      </w:r>
      <w:r>
        <w:rPr>
          <w:rFonts w:ascii="Times New Roman" w:cs="Times New Roman" w:eastAsia="Times New Roman" w:hAnsi="Times New Roman"/>
          <w:sz w:val="20"/>
          <w:szCs w:val="20"/>
          <w:color w:val="auto"/>
        </w:rPr>
        <w:t xml:space="preserve">, participations in Letters of Credit and in Swing Line Loans) at the time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8" w:lineRule="exact"/>
        <w:rPr>
          <w:rFonts w:ascii="Times New Roman" w:cs="Times New Roman" w:eastAsia="Times New Roman" w:hAnsi="Times New Roman"/>
          <w:sz w:val="20"/>
          <w:szCs w:val="20"/>
          <w:color w:val="auto"/>
        </w:rPr>
      </w:pPr>
    </w:p>
    <w:p>
      <w:pPr>
        <w:ind w:left="1443" w:hanging="395"/>
        <w:spacing w:after="0"/>
        <w:tabs>
          <w:tab w:leader="none" w:pos="1443" w:val="left"/>
        </w:tabs>
        <w:numPr>
          <w:ilvl w:val="2"/>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43" w:firstLine="754"/>
        <w:spacing w:after="0" w:line="249" w:lineRule="auto"/>
        <w:tabs>
          <w:tab w:leader="none" w:pos="1887" w:val="left"/>
        </w:tabs>
        <w:numPr>
          <w:ilvl w:val="3"/>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Term Loans at the time held by it, in the case of an assignment of the entire remaining amount of the assigning Lender’s Revolving Commitment and Revolving Loans at the time held by it or in the case of an assignment to a Lender, an Affiliate of a Lender or an Approved Fund, no minimum amount need be assigned; and</w:t>
      </w:r>
    </w:p>
    <w:p>
      <w:pPr>
        <w:spacing w:after="0" w:line="178" w:lineRule="exact"/>
        <w:rPr>
          <w:rFonts w:ascii="Times New Roman" w:cs="Times New Roman" w:eastAsia="Times New Roman" w:hAnsi="Times New Roman"/>
          <w:sz w:val="20"/>
          <w:szCs w:val="20"/>
          <w:color w:val="auto"/>
        </w:rPr>
      </w:pPr>
    </w:p>
    <w:p>
      <w:pPr>
        <w:jc w:val="both"/>
        <w:ind w:left="743" w:firstLine="754"/>
        <w:spacing w:after="0" w:line="259" w:lineRule="auto"/>
        <w:tabs>
          <w:tab w:leader="none" w:pos="1887" w:val="left"/>
        </w:tabs>
        <w:numPr>
          <w:ilvl w:val="3"/>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assignment not described in subsection (b)(i)(A) of this Section, such assignment shall be in an aggregate amount of not less than (1) with respect to the assigning Lender’s Term Loans, $1,000,000 and (2) with respect to the assigning Lender’s Revolving Commitment and Revolving Loans, $2,500,000, unless in each case of clauses</w:t>
      </w:r>
    </w:p>
    <w:p>
      <w:pPr>
        <w:spacing w:after="0" w:line="2" w:lineRule="exact"/>
        <w:rPr>
          <w:rFonts w:ascii="Times New Roman" w:cs="Times New Roman" w:eastAsia="Times New Roman" w:hAnsi="Times New Roman"/>
          <w:sz w:val="19"/>
          <w:szCs w:val="19"/>
          <w:color w:val="auto"/>
        </w:rPr>
      </w:pPr>
    </w:p>
    <w:p>
      <w:pPr>
        <w:jc w:val="both"/>
        <w:ind w:left="743" w:firstLine="5"/>
        <w:spacing w:after="0" w:line="242" w:lineRule="auto"/>
        <w:tabs>
          <w:tab w:leader="none" w:pos="1028"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(2) each of the Administrative Agent, and so long as no Specified Event of Default has occurred and is continuing at the time of such assignment, the Borrower otherwise consents (such consent not to be unreasonably withheld or delayed).</w:t>
      </w:r>
    </w:p>
    <w:p>
      <w:pPr>
        <w:spacing w:after="0" w:line="185" w:lineRule="exact"/>
        <w:rPr>
          <w:rFonts w:ascii="Times New Roman" w:cs="Times New Roman" w:eastAsia="Times New Roman" w:hAnsi="Times New Roman"/>
          <w:sz w:val="20"/>
          <w:szCs w:val="20"/>
          <w:color w:val="auto"/>
        </w:rPr>
      </w:pPr>
    </w:p>
    <w:p>
      <w:pPr>
        <w:jc w:val="both"/>
        <w:ind w:left="3" w:firstLine="1045"/>
        <w:spacing w:after="0" w:line="256" w:lineRule="auto"/>
        <w:tabs>
          <w:tab w:leader="none" w:pos="1447" w:val="left"/>
        </w:tabs>
        <w:numPr>
          <w:ilvl w:val="2"/>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Each partial assignment of Term Loans or Delayed Draw Commitments shall be made as an assignment of a proportionate part of all the assigning Lender’s rights and obligations under this Agreement with respect to the Term Loans or Delayed Draw Commitments assigned, and each partial assignment of Revolving Commitments and/or Revolving Loans shall be made as an assignment of a proportionate part of all the assigning Lender’s rights and obligations under this Agreement with respect to the Revolving Commitments and/or Revolving Loans being assigned, except that this clause (ii) shall not</w:t>
      </w:r>
    </w:p>
    <w:p>
      <w:pPr>
        <w:spacing w:after="0" w:line="2" w:lineRule="exact"/>
        <w:rPr>
          <w:rFonts w:ascii="Times New Roman" w:cs="Times New Roman" w:eastAsia="Times New Roman" w:hAnsi="Times New Roman"/>
          <w:sz w:val="19"/>
          <w:szCs w:val="19"/>
          <w:color w:val="auto"/>
        </w:rPr>
      </w:pPr>
    </w:p>
    <w:p>
      <w:pPr>
        <w:ind w:left="3" w:hanging="3"/>
        <w:spacing w:after="0" w:line="245" w:lineRule="auto"/>
        <w:tabs>
          <w:tab w:leader="none" w:pos="31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to the Swing Line Lender’s rights and obligations in respect of Swing Line Loans or (y) prohibit any Lender from assigning all or a portion of its rights and obligations among separate Facilities on a non-pro rata basis.</w:t>
      </w:r>
    </w:p>
    <w:p>
      <w:pPr>
        <w:spacing w:after="0" w:line="182" w:lineRule="exact"/>
        <w:rPr>
          <w:rFonts w:ascii="Times New Roman" w:cs="Times New Roman" w:eastAsia="Times New Roman" w:hAnsi="Times New Roman"/>
          <w:sz w:val="20"/>
          <w:szCs w:val="20"/>
          <w:color w:val="auto"/>
        </w:rPr>
      </w:pPr>
    </w:p>
    <w:p>
      <w:pPr>
        <w:ind w:left="1463" w:hanging="415"/>
        <w:spacing w:after="0"/>
        <w:tabs>
          <w:tab w:leader="none" w:pos="1463" w:val="left"/>
        </w:tabs>
        <w:numPr>
          <w:ilvl w:val="2"/>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Section</w:t>
      </w:r>
    </w:p>
    <w:p>
      <w:pPr>
        <w:spacing w:after="0" w:line="21" w:lineRule="exact"/>
        <w:rPr>
          <w:rFonts w:ascii="Times New Roman" w:cs="Times New Roman" w:eastAsia="Times New Roman" w:hAnsi="Times New Roman"/>
          <w:sz w:val="20"/>
          <w:szCs w:val="20"/>
          <w:color w:val="auto"/>
        </w:rPr>
      </w:pP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11.07(b)(i)(B)</w:t>
      </w:r>
      <w:r>
        <w:rPr>
          <w:rFonts w:ascii="Times New Roman" w:cs="Times New Roman" w:eastAsia="Times New Roman" w:hAnsi="Times New Roman"/>
          <w:sz w:val="20"/>
          <w:szCs w:val="20"/>
          <w:color w:val="auto"/>
        </w:rPr>
        <w:t xml:space="preserve"> of this Section and the following:</w:t>
      </w:r>
    </w:p>
    <w:p>
      <w:pPr>
        <w:spacing w:after="0" w:line="192" w:lineRule="exact"/>
        <w:rPr>
          <w:rFonts w:ascii="Times New Roman" w:cs="Times New Roman" w:eastAsia="Times New Roman" w:hAnsi="Times New Roman"/>
          <w:sz w:val="20"/>
          <w:szCs w:val="20"/>
          <w:color w:val="auto"/>
        </w:rPr>
      </w:pPr>
    </w:p>
    <w:p>
      <w:pPr>
        <w:jc w:val="both"/>
        <w:ind w:left="743" w:firstLine="754"/>
        <w:spacing w:after="0" w:line="244" w:lineRule="auto"/>
        <w:tabs>
          <w:tab w:leader="none" w:pos="1887" w:val="left"/>
        </w:tabs>
        <w:numPr>
          <w:ilvl w:val="3"/>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 Specified Event of Default has occurred and is continuing at the time of such assignment or (2) such assignment is made (a) with respect to Term Loans or Delayed Draw Commitments to a Lender, an Affiliate of a Lender or an Approved Fund and (b) with respect to Revolving Commitments and Revolving Loans, to a Revolving Lender or an Affiliate of the assigning Revolving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Borrower shall be deemed to have consented to any assignment of Term Loans or Delayed Draw Commitments if the Borrower does not respond within ten Business Days of a written request for its consent with respect to such assignment;</w:t>
      </w:r>
    </w:p>
    <w:p>
      <w:pPr>
        <w:spacing w:after="0" w:line="183" w:lineRule="exact"/>
        <w:rPr>
          <w:rFonts w:ascii="Times New Roman" w:cs="Times New Roman" w:eastAsia="Times New Roman" w:hAnsi="Times New Roman"/>
          <w:sz w:val="20"/>
          <w:szCs w:val="20"/>
          <w:color w:val="auto"/>
        </w:rPr>
      </w:pPr>
    </w:p>
    <w:p>
      <w:pPr>
        <w:jc w:val="both"/>
        <w:ind w:left="743" w:firstLine="754"/>
        <w:spacing w:after="0" w:line="253" w:lineRule="auto"/>
        <w:tabs>
          <w:tab w:leader="none" w:pos="1887" w:val="left"/>
        </w:tabs>
        <w:numPr>
          <w:ilvl w:val="3"/>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Administrative Agent (such consent not to be unreasonably withheld or delayed) shall be required if such assignment is to a Person that is not a Lender, an Affiliate of such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consent of the Administrative Agent shall not be required for any assignment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310515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7" w:right="339" w:bottom="1440" w:gutter="0" w:footer="0" w:header="0"/>
        </w:sectPr>
      </w:pPr>
    </w:p>
    <w:bookmarkStart w:id="297" w:name="page298"/>
    <w:bookmarkEnd w:id="297"/>
    <w:p>
      <w:pPr>
        <w:ind w:left="740" w:right="20"/>
        <w:spacing w:after="0" w:line="268" w:lineRule="auto"/>
        <w:rPr>
          <w:sz w:val="20"/>
          <w:szCs w:val="20"/>
          <w:color w:val="auto"/>
        </w:rPr>
      </w:pPr>
      <w:r>
        <w:rPr>
          <w:rFonts w:ascii="Times New Roman" w:cs="Times New Roman" w:eastAsia="Times New Roman" w:hAnsi="Times New Roman"/>
          <w:sz w:val="20"/>
          <w:szCs w:val="20"/>
          <w:color w:val="auto"/>
        </w:rPr>
        <w:t xml:space="preserve">Affiliated Lender or a Person that upon effectiveness of an assignment would be an Affiliated Lender, except for the separate consent rights of the Administrative Agent pursuant to clause (h)(v)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740" w:right="20" w:firstLine="754"/>
        <w:spacing w:after="0" w:line="268" w:lineRule="auto"/>
        <w:tabs>
          <w:tab w:leader="none" w:pos="1884" w:val="left"/>
        </w:tabs>
        <w:numPr>
          <w:ilvl w:val="2"/>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assignments of Revolving Loans and/or Revolving Commitments, the Swing Line Lender (such consent not to be unreasonably withheld, conditioned or delayed); and</w:t>
      </w:r>
    </w:p>
    <w:p>
      <w:pPr>
        <w:spacing w:after="0" w:line="160"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1884" w:val="left"/>
        </w:tabs>
        <w:numPr>
          <w:ilvl w:val="2"/>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assignments of Revolving Loans and/or Revolving Commitments, each Issuing Bank (such consent not to be unreasonably withheld, conditioned or delayed).</w:t>
      </w:r>
    </w:p>
    <w:p>
      <w:pPr>
        <w:spacing w:after="0" w:line="160" w:lineRule="exact"/>
        <w:rPr>
          <w:rFonts w:ascii="Times New Roman" w:cs="Times New Roman" w:eastAsia="Times New Roman" w:hAnsi="Times New Roman"/>
          <w:sz w:val="20"/>
          <w:szCs w:val="20"/>
          <w:color w:val="auto"/>
        </w:rPr>
      </w:pPr>
    </w:p>
    <w:p>
      <w:pPr>
        <w:jc w:val="both"/>
        <w:ind w:firstLine="1045"/>
        <w:spacing w:after="0" w:line="243" w:lineRule="auto"/>
        <w:tabs>
          <w:tab w:leader="none" w:pos="1470"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Administrative Agent may, in its sole discretion, elect to waive such processing and recordation fee in the case of any assignment and (B) no processing and recordation fee shall be payable in connection with an assignments by or to a Lead Arranger or its Affiliates. The Eligible Assignee, if it is not a Lender, shall deliver to the Administrative Agent an Administrative Questionnaire and any tax forms required under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as applicable. Upon receipt of the processing and recordation fee and any written consent to assignment required by </w:t>
      </w:r>
      <w:r>
        <w:rPr>
          <w:rFonts w:ascii="Times New Roman" w:cs="Times New Roman" w:eastAsia="Times New Roman" w:hAnsi="Times New Roman"/>
          <w:sz w:val="20"/>
          <w:szCs w:val="20"/>
          <w:u w:val="single" w:color="auto"/>
          <w:color w:val="auto"/>
        </w:rPr>
        <w:t>Section 11.07(b)(iii)</w:t>
      </w:r>
      <w:r>
        <w:rPr>
          <w:rFonts w:ascii="Times New Roman" w:cs="Times New Roman" w:eastAsia="Times New Roman" w:hAnsi="Times New Roman"/>
          <w:sz w:val="20"/>
          <w:szCs w:val="20"/>
          <w:color w:val="auto"/>
        </w:rPr>
        <w:t>, the Administrative Agent shall promptly accept such Assignment and Assumption and record the information contained therein in the Register.</w:t>
      </w:r>
    </w:p>
    <w:p>
      <w:pPr>
        <w:spacing w:after="0" w:line="186" w:lineRule="exact"/>
        <w:rPr>
          <w:rFonts w:ascii="Times New Roman" w:cs="Times New Roman" w:eastAsia="Times New Roman" w:hAnsi="Times New Roman"/>
          <w:sz w:val="20"/>
          <w:szCs w:val="20"/>
          <w:color w:val="auto"/>
        </w:rPr>
      </w:pPr>
    </w:p>
    <w:p>
      <w:pPr>
        <w:ind w:left="1440" w:hanging="395"/>
        <w:spacing w:after="0"/>
        <w:tabs>
          <w:tab w:leader="none" w:pos="1440"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Assignments to Certain Persons</w:t>
      </w:r>
      <w:r>
        <w:rPr>
          <w:rFonts w:ascii="Times New Roman" w:cs="Times New Roman" w:eastAsia="Times New Roman" w:hAnsi="Times New Roman"/>
          <w:sz w:val="20"/>
          <w:szCs w:val="20"/>
          <w:color w:val="auto"/>
        </w:rPr>
        <w:t>. No such assignment shall be made,</w:t>
      </w:r>
    </w:p>
    <w:p>
      <w:pPr>
        <w:spacing w:after="0" w:line="214"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2"/>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Holdings, the Borrower or any of the Borrower’s Subsidiaries except as permitted under </w:t>
      </w:r>
      <w:r>
        <w:rPr>
          <w:rFonts w:ascii="Times New Roman" w:cs="Times New Roman" w:eastAsia="Times New Roman" w:hAnsi="Times New Roman"/>
          <w:sz w:val="20"/>
          <w:szCs w:val="20"/>
          <w:u w:val="single" w:color="auto"/>
          <w:color w:val="auto"/>
        </w:rPr>
        <w:t>Section 2.07(a)</w:t>
      </w:r>
    </w:p>
    <w:p>
      <w:pPr>
        <w:spacing w:after="0" w:line="21" w:lineRule="exact"/>
        <w:rPr>
          <w:rFonts w:ascii="Times New Roman" w:cs="Times New Roman" w:eastAsia="Times New Roman" w:hAnsi="Times New Roman"/>
          <w:sz w:val="20"/>
          <w:szCs w:val="20"/>
          <w:color w:val="auto"/>
        </w:rPr>
      </w:pPr>
    </w:p>
    <w:p>
      <w:pPr>
        <w:ind w:left="1080" w:hanging="335"/>
        <w:spacing w:after="0"/>
        <w:tabs>
          <w:tab w:leader="none" w:pos="1080" w:val="left"/>
        </w:tabs>
        <w:numPr>
          <w:ilvl w:val="0"/>
          <w:numId w:val="3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or under subsection (l) below,</w:t>
      </w:r>
    </w:p>
    <w:p>
      <w:pPr>
        <w:spacing w:after="0" w:line="192" w:lineRule="exact"/>
        <w:rPr>
          <w:rFonts w:ascii="Times New Roman" w:cs="Times New Roman" w:eastAsia="Times New Roman" w:hAnsi="Times New Roman"/>
          <w:sz w:val="20"/>
          <w:szCs w:val="20"/>
          <w:u w:val="single" w:color="auto"/>
          <w:color w:val="auto"/>
        </w:rPr>
      </w:pPr>
    </w:p>
    <w:p>
      <w:pPr>
        <w:ind w:left="740" w:right="60" w:firstLine="754"/>
        <w:spacing w:after="0" w:line="268" w:lineRule="auto"/>
        <w:tabs>
          <w:tab w:leader="none" w:pos="1884" w:val="left"/>
        </w:tabs>
        <w:numPr>
          <w:ilvl w:val="2"/>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subsection (h) below, any of the Borrower’s Affiliates (other than Holdings or any of the Borrower’s Subsidiaries),</w:t>
      </w:r>
    </w:p>
    <w:p>
      <w:pPr>
        <w:spacing w:after="0" w:line="160" w:lineRule="exact"/>
        <w:rPr>
          <w:rFonts w:ascii="Times New Roman" w:cs="Times New Roman" w:eastAsia="Times New Roman" w:hAnsi="Times New Roman"/>
          <w:sz w:val="20"/>
          <w:szCs w:val="20"/>
          <w:color w:val="auto"/>
        </w:rPr>
      </w:pPr>
    </w:p>
    <w:p>
      <w:pPr>
        <w:ind w:left="740" w:firstLine="754"/>
        <w:spacing w:after="0" w:line="268" w:lineRule="auto"/>
        <w:tabs>
          <w:tab w:leader="none" w:pos="1884" w:val="left"/>
        </w:tabs>
        <w:numPr>
          <w:ilvl w:val="2"/>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Defaulting Lender or any of its Subsidiaries, or any Person who, upon becoming a Lender hereunder, would constitute any of the foregoing persons described in this clause,</w:t>
      </w:r>
    </w:p>
    <w:p>
      <w:pPr>
        <w:spacing w:after="0" w:line="160"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2"/>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natural person, or</w:t>
      </w:r>
    </w:p>
    <w:p>
      <w:pPr>
        <w:spacing w:after="0" w:line="214"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2"/>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Disqualified Lender or Lender who has become a Disqualified Lender.</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To the extent that any assignment is purported to be made to a Disqualified Lender (notwithstanding clause (E) of the foregoing sentence), such Disqualified Lender shall be required immediately (and in any event within five Business Days) to assign all Loans and Commitments then owned by such Disqualified Lender to another Lender (other than a Defaulting Lender) or Eligible Assignee (and the Borrower shall be entitled to seek specific performance in any applicable court of law or equity to enforce this sentence).</w:t>
      </w:r>
    </w:p>
    <w:p>
      <w:pPr>
        <w:spacing w:after="0" w:line="164" w:lineRule="exact"/>
        <w:rPr>
          <w:sz w:val="20"/>
          <w:szCs w:val="20"/>
          <w:color w:val="auto"/>
        </w:rPr>
      </w:pPr>
    </w:p>
    <w:p>
      <w:pPr>
        <w:jc w:val="both"/>
        <w:ind w:firstLine="1045"/>
        <w:spacing w:after="0" w:line="273" w:lineRule="auto"/>
        <w:tabs>
          <w:tab w:leader="none" w:pos="1443" w:val="left"/>
        </w:tabs>
        <w:numPr>
          <w:ilvl w:val="0"/>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Lenders Assignments</w:t>
      </w:r>
      <w:r>
        <w:rPr>
          <w:rFonts w:ascii="Times New Roman" w:cs="Times New Roman" w:eastAsia="Times New Roman" w:hAnsi="Times New Roman"/>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299085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6" w:right="339" w:bottom="1440" w:gutter="0" w:footer="0" w:header="0"/>
        </w:sectPr>
      </w:pPr>
    </w:p>
    <w:bookmarkStart w:id="298" w:name="page299"/>
    <w:bookmarkEnd w:id="298"/>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the Swing Line Lender and each other Lender hereunder (and interest accrued thereon), and (B) acquire (and fund as appropriate) its full Pro Rata Share of all Loans and participations in Letters of Credit and Swing 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clause (c) of this Section (and, in the case of an Affiliated Lender or a Person that, after giving effect to such assignment, would become an Affiliated Lender, subject to the requirements of clause (h) of this Section), from and after the effective date specified in each Assignment and Assumption, the assignee thereunder shall be a party to this Agreement (except in the case of an assignment to or purchase by Holdings, the Borrower or any of Holdings’ Subsidiaries) and, to the extent of the interest assigned by such Assignment and Assumption and as permitted by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11.05</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anything contained in any of the Loan Documents to the contrary notwithstanding, each Issuing Bank shall continue to have all rights and obligations with respect to any Letters of Credit issued by it until the cancellation or expiration of such Letters of Credit and the reimbursement of any amounts drawn thereunder. Upon request, and the surrender by the assigning Lender of its applicable Notes,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8" w:lineRule="exact"/>
        <w:rPr>
          <w:sz w:val="20"/>
          <w:szCs w:val="20"/>
          <w:color w:val="auto"/>
        </w:rPr>
      </w:pPr>
    </w:p>
    <w:p>
      <w:pPr>
        <w:jc w:val="both"/>
        <w:ind w:firstLine="757"/>
        <w:spacing w:after="0" w:line="255" w:lineRule="auto"/>
        <w:tabs>
          <w:tab w:leader="none" w:pos="1144" w:val="left"/>
        </w:tabs>
        <w:numPr>
          <w:ilvl w:val="0"/>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The Administrative Agent, acting solely for this purpose as a non-fiduciary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owing to each Lender pursuant to the terms hereof from time to time (the “</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(but only, in the case of a Lender at the Administrative Agent’s Office and with respect to any entry relating to such Lender’s Commitments, Loans, Letter of Credit Obligations and other Obligations), at any reasonable time and from time to time upon reasonable prior notice. This </w:t>
      </w:r>
      <w:r>
        <w:rPr>
          <w:rFonts w:ascii="Times New Roman" w:cs="Times New Roman" w:eastAsia="Times New Roman" w:hAnsi="Times New Roman"/>
          <w:sz w:val="19"/>
          <w:szCs w:val="19"/>
          <w:u w:val="single" w:color="auto"/>
          <w:color w:val="auto"/>
        </w:rPr>
        <w:t>Section 11.07(c)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9" w:name="page300"/>
    <w:bookmarkEnd w:id="299"/>
    <w:p>
      <w:pPr>
        <w:jc w:val="both"/>
        <w:ind w:left="-757" w:firstLine="757"/>
        <w:spacing w:after="0"/>
        <w:tabs>
          <w:tab w:leader="none" w:pos="388"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the Administrative Agent, the Issuing Banks, the Swing Line Lender or any other Person sell participations to any Person (other than a natural person, a Disqualified Lender or the Borrower or any of the Borrower’s Affiliates or Subsidiaries) (each,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Letters of Credit and/or Swing 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of the first paragraph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(other than clause (d) and (g) thereof) that directly and adversely affects such Participant. Subject to subsection (e) of this Section, the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(subject to the requirements of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as applicable (it being understood that the documentation required under such Sections shall be delivered to the participating Lender)),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(through the applicable Lender) to the same extent as if it were a Lender and had acquired its interest by assignment pursuant to subsection (b) of this Section. To the extent permitted by applicable Law, each Participant also shall be entitled to the benefits of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as though it were a Lender. To the extent that any participation is purported to be made to a Disqualified Lender, such transaction shall be required immediately (and in any event within five Business Days) to be unwound and shall be deemed null and void (and the Borrower shall be entitled to seek specific performance in any applicable court of law or equity to enforce this sentence).</w:t>
      </w:r>
    </w:p>
    <w:p>
      <w:pPr>
        <w:spacing w:after="0" w:line="200" w:lineRule="exact"/>
        <w:rPr>
          <w:rFonts w:ascii="Times New Roman" w:cs="Times New Roman" w:eastAsia="Times New Roman" w:hAnsi="Times New Roman"/>
          <w:sz w:val="20"/>
          <w:szCs w:val="20"/>
          <w:color w:val="auto"/>
        </w:rPr>
      </w:pPr>
    </w:p>
    <w:p>
      <w:pPr>
        <w:jc w:val="both"/>
        <w:ind w:left="-757" w:firstLine="757"/>
        <w:spacing w:after="0" w:line="241" w:lineRule="auto"/>
        <w:tabs>
          <w:tab w:leader="none" w:pos="388"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 Each Lender that sells a participation shall (acting solely for this purpose as a non-fiduciary agent of the Borrower) maintain a register complying with the requirements of Sections 163(f), 871(h) and 881(c)(2) of the Code and the Treasury regulations (or any other relevant or successor provisions of the Code or of such Treasury regulations) issued thereunder relating to the exemption from withholding for portfolio interest on which is entered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3" w:lineRule="exact"/>
        <w:rPr>
          <w:rFonts w:ascii="Times New Roman" w:cs="Times New Roman" w:eastAsia="Times New Roman" w:hAnsi="Times New Roman"/>
          <w:sz w:val="20"/>
          <w:szCs w:val="20"/>
          <w:color w:val="auto"/>
        </w:rPr>
      </w:pPr>
    </w:p>
    <w:p>
      <w:pPr>
        <w:jc w:val="both"/>
        <w:ind w:left="-757" w:firstLine="757"/>
        <w:spacing w:after="0" w:line="273" w:lineRule="auto"/>
        <w:tabs>
          <w:tab w:leader="none" w:pos="401" w:val="left"/>
        </w:tabs>
        <w:numPr>
          <w:ilvl w:val="0"/>
          <w:numId w:val="3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Liens on Loans</w:t>
      </w:r>
      <w:r>
        <w:rPr>
          <w:rFonts w:ascii="Times New Roman" w:cs="Times New Roman" w:eastAsia="Times New Roman" w:hAnsi="Times New Roman"/>
          <w:sz w:val="19"/>
          <w:szCs w:val="19"/>
          <w:color w:val="auto"/>
        </w:rPr>
        <w:t xml:space="preserve">. Any Lender may, at any time without the consent of the Borrower or the Administrative Agent,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299085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300" w:name="page301"/>
    <w:bookmarkEnd w:id="300"/>
    <w:p>
      <w:pPr>
        <w:spacing w:after="0" w:line="268" w:lineRule="auto"/>
        <w:rPr>
          <w:sz w:val="20"/>
          <w:szCs w:val="20"/>
          <w:color w:val="auto"/>
        </w:rPr>
      </w:pPr>
      <w:r>
        <w:rPr>
          <w:rFonts w:ascii="Times New Roman" w:cs="Times New Roman" w:eastAsia="Times New Roman" w:hAnsi="Times New Roman"/>
          <w:sz w:val="20"/>
          <w:szCs w:val="20"/>
          <w:color w:val="auto"/>
        </w:rPr>
        <w:t>such pledge or assignment shall release such Lender from any of its obligations hereunder or substitute any such pledgee or assignee for such Lender as a party hereto.</w:t>
      </w:r>
    </w:p>
    <w:p>
      <w:pPr>
        <w:spacing w:after="0" w:line="157" w:lineRule="exact"/>
        <w:rPr>
          <w:sz w:val="20"/>
          <w:szCs w:val="20"/>
          <w:color w:val="auto"/>
        </w:rPr>
      </w:pPr>
    </w:p>
    <w:p>
      <w:pPr>
        <w:jc w:val="both"/>
        <w:ind w:firstLine="757"/>
        <w:spacing w:after="0"/>
        <w:tabs>
          <w:tab w:leader="none" w:pos="1171"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Purpose Funding Vehicles</w:t>
      </w:r>
      <w:r>
        <w:rPr>
          <w:rFonts w:ascii="Times New Roman" w:cs="Times New Roman" w:eastAsia="Times New Roman" w:hAnsi="Times New Roman"/>
          <w:sz w:val="20"/>
          <w:szCs w:val="20"/>
          <w:color w:val="auto"/>
        </w:rPr>
        <w:t>. Notwithstanding anything to the contrary contained herein, any Lender (a “</w:t>
      </w:r>
      <w:r>
        <w:rPr>
          <w:rFonts w:ascii="Times New Roman" w:cs="Times New Roman" w:eastAsia="Times New Roman" w:hAnsi="Times New Roman"/>
          <w:sz w:val="20"/>
          <w:szCs w:val="20"/>
          <w:b w:val="1"/>
          <w:bCs w:val="1"/>
          <w:color w:val="auto"/>
        </w:rPr>
        <w:t>Granting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may grant to a special purpose funding vehicle identified as such in writing from time to time by the Granting Lender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and the Borrower (an “</w:t>
      </w:r>
      <w:r>
        <w:rPr>
          <w:rFonts w:ascii="Times New Roman" w:cs="Times New Roman" w:eastAsia="Times New Roman" w:hAnsi="Times New Roman"/>
          <w:sz w:val="20"/>
          <w:szCs w:val="20"/>
          <w:b w:val="1"/>
          <w:bCs w:val="1"/>
          <w:color w:val="auto"/>
        </w:rPr>
        <w:t>SPC</w:t>
      </w:r>
      <w:r>
        <w:rPr>
          <w:rFonts w:ascii="Times New Roman" w:cs="Times New Roman" w:eastAsia="Times New Roman" w:hAnsi="Times New Roman"/>
          <w:sz w:val="20"/>
          <w:szCs w:val="20"/>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w:t>
      </w:r>
    </w:p>
    <w:p>
      <w:pPr>
        <w:spacing w:after="0" w:line="20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Affiliated Lenders</w:t>
      </w:r>
      <w:r>
        <w:rPr>
          <w:rFonts w:ascii="Times New Roman" w:cs="Times New Roman" w:eastAsia="Times New Roman" w:hAnsi="Times New Roman"/>
          <w:sz w:val="20"/>
          <w:szCs w:val="20"/>
          <w:color w:val="auto"/>
        </w:rPr>
        <w:t xml:space="preserve">. Any Lender may, at any time, assign all or a portion of its rights and obligations with respect to Loans and Commitments under this Agreement (including under Incremental Term Facilities) to a Person who is or will become, after such assignment, an Affiliated Lender (including any Affiliated Debt Fund) through (i) Dutch auctions open to all Lenders in accordance with the procedures set forth on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or (ii) open market purchase on a non-</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in each case subject to the following limitations applicable to Affiliated Lenders that are not Affiliated Debt Funds:</w:t>
      </w:r>
    </w:p>
    <w:p>
      <w:pPr>
        <w:spacing w:after="0" w:line="183" w:lineRule="exact"/>
        <w:rPr>
          <w:rFonts w:ascii="Times New Roman" w:cs="Times New Roman" w:eastAsia="Times New Roman" w:hAnsi="Times New Roman"/>
          <w:sz w:val="20"/>
          <w:szCs w:val="20"/>
          <w:color w:val="auto"/>
        </w:rPr>
      </w:pPr>
    </w:p>
    <w:p>
      <w:pPr>
        <w:jc w:val="both"/>
        <w:ind w:left="760" w:firstLine="1045"/>
        <w:spacing w:after="0" w:line="244" w:lineRule="auto"/>
        <w:tabs>
          <w:tab w:leader="none" w:pos="2203" w:val="left"/>
        </w:tabs>
        <w:numPr>
          <w:ilvl w:val="1"/>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Affiliated Lenders (A) will not receive information provided solely to Lenders by the Administrative Agent or any Lender except to the extent such materials are made available to the Borrower and will not be permitted to attend or participate in conference calls or meetings attended solely by the Lenders and the Administrative Agent, other than the right to receive notices of prepayments and other administrative notices in respect of its Term Loans or Commitments required to be delivered to Lenders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(B) will not receive the advice of counsel provided solely to the Administrative Agent or the Lenders, and (C) may not challenge the attorney-client privilege between the Administrative Agent and counsel to the Administrative Agent or between the Lenders and counsel to the Lenders;</w:t>
      </w:r>
    </w:p>
    <w:p>
      <w:pPr>
        <w:spacing w:after="0" w:line="183" w:lineRule="exact"/>
        <w:rPr>
          <w:rFonts w:ascii="Times New Roman" w:cs="Times New Roman" w:eastAsia="Times New Roman" w:hAnsi="Times New Roman"/>
          <w:sz w:val="20"/>
          <w:szCs w:val="20"/>
          <w:color w:val="auto"/>
        </w:rPr>
      </w:pPr>
    </w:p>
    <w:p>
      <w:pPr>
        <w:jc w:val="both"/>
        <w:ind w:left="760" w:right="20" w:firstLine="1045"/>
        <w:spacing w:after="0" w:line="273" w:lineRule="auto"/>
        <w:tabs>
          <w:tab w:leader="none" w:pos="2203" w:val="left"/>
        </w:tabs>
        <w:numPr>
          <w:ilvl w:val="1"/>
          <w:numId w:val="3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and Assumption will include either (A) a representation by the applicable Affiliated Lender acquiring or disposing of Term Loans in such assignment that, as of the date of any such purchase or sale, it is not in possession of material non-public information with respect to the Borrower, its Subsidiaries or their respective securities or (B) a statement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1" w:name="page302"/>
    <w:bookmarkEnd w:id="301"/>
    <w:p>
      <w:pPr>
        <w:ind w:left="760"/>
        <w:spacing w:after="0" w:line="268" w:lineRule="auto"/>
        <w:rPr>
          <w:sz w:val="20"/>
          <w:szCs w:val="20"/>
          <w:color w:val="auto"/>
        </w:rPr>
      </w:pPr>
      <w:r>
        <w:rPr>
          <w:rFonts w:ascii="Times New Roman" w:cs="Times New Roman" w:eastAsia="Times New Roman" w:hAnsi="Times New Roman"/>
          <w:sz w:val="20"/>
          <w:szCs w:val="20"/>
          <w:color w:val="auto"/>
        </w:rPr>
        <w:t>applicable Affiliated Lender acquiring or disposing of Term Loans in such assignment that it cannot make the representation set forth in the foregoing clause (A);</w:t>
      </w:r>
    </w:p>
    <w:p>
      <w:pPr>
        <w:spacing w:after="0" w:line="161" w:lineRule="exact"/>
        <w:rPr>
          <w:sz w:val="20"/>
          <w:szCs w:val="20"/>
          <w:color w:val="auto"/>
        </w:rPr>
      </w:pPr>
    </w:p>
    <w:p>
      <w:pPr>
        <w:jc w:val="both"/>
        <w:ind w:left="760" w:firstLine="1045"/>
        <w:spacing w:after="0" w:line="241" w:lineRule="auto"/>
        <w:tabs>
          <w:tab w:leader="none" w:pos="220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aggregate principal amount of Term Loans held by all Affiliated Lenders that are not Affiliated Debt Funds shall not exceed 25% of the aggregate outstanding principal amount of all Term Loans at the time of purchase or assignment (such percentage, the “</w:t>
      </w:r>
      <w:r>
        <w:rPr>
          <w:rFonts w:ascii="Times New Roman" w:cs="Times New Roman" w:eastAsia="Times New Roman" w:hAnsi="Times New Roman"/>
          <w:sz w:val="20"/>
          <w:szCs w:val="20"/>
          <w:b w:val="1"/>
          <w:bCs w:val="1"/>
          <w:color w:val="auto"/>
        </w:rPr>
        <w:t>Affiliated Lender Term Loan Cap</w:t>
      </w:r>
      <w:r>
        <w:rPr>
          <w:rFonts w:ascii="Times New Roman" w:cs="Times New Roman" w:eastAsia="Times New Roman" w:hAnsi="Times New Roman"/>
          <w:sz w:val="20"/>
          <w:szCs w:val="20"/>
          <w:color w:val="auto"/>
        </w:rPr>
        <w:t xml:space="preserve">”), (B) unless otherwise agreed to in writing by the Required Facility Lenders, regardless of whether consented to by the Administrative Agent or otherwise, no assignment which would result in Affiliated Lenders that are not Affiliated Debt Funds holding Term Loans with an aggregate principal amount in excess of the Affiliated Lender Term Loan Cap, shall in either case be effective with respect to such excess amount of the Term Loans (and such excess assignment shall be and be deemed null and void);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of the parties hereto agrees and acknowledges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clause (h)(iii) or any purported assignment exceeding the Affiliated Lender Term Loan Cap limitation or for any assignment being deemed null and void hereunder and (C) in the event of an acquisition pursuant to the last sentence of this clause (h) which would result in the Affiliated Lender Term Loan Cap being exceeded, the most recent assignment to an Affiliated Lender involved in such acquisition shall be unwound and deemed null and void to the extent that the Affiliated Lender Term Loan Cap, would otherwise be exceeded;</w:t>
      </w:r>
    </w:p>
    <w:p>
      <w:pPr>
        <w:spacing w:after="0" w:line="191"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Affiliated Lenders may not purchase Revolving Loans or Revolving Commitments; and</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4" w:lineRule="auto"/>
        <w:tabs>
          <w:tab w:leader="none" w:pos="220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condition to each assignment pursuant to this clause (h), (A) the Administrative Agent shall have been provided a notice in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to this Agreement in connection with each assignment to an Affiliated Lender or an Affiliated Debt Fund or a Person that upon effectiveness of such assignment would constitute an Affiliated Lender or an Affiliated Debt Fund, and (without limitation of the provisions of clause (iii) above) shall be under no obligation to record such assignment in the Register until three Business Days after receipt of such notice and (B) the Administrative Agent shall have consented to such assignment (which consent shall not be withheld unless the Administrative Agent reasonably believes that such assignment would violate clause (h)(iii)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Each Affiliated Lender and each Affiliated Debt Fund agrees to notify the Administrative Agent promptly (and in any event within ten Business Days) if it acquires any Person who is also a Lender, and each Lender agrees to notify the Administrative Agent promptly (and in any event within ten Business Days) if it becomes an Affiliated Lender or an Affiliated Debt Fund. Such notice shall contain the type of information required and be delivered to the same addressee as set forth in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160" w:hanging="403"/>
        <w:spacing w:after="0"/>
        <w:tabs>
          <w:tab w:leader="none" w:pos="116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Limitations</w:t>
      </w:r>
      <w:r>
        <w:rPr>
          <w:rFonts w:ascii="Times New Roman" w:cs="Times New Roman" w:eastAsia="Times New Roman" w:hAnsi="Times New Roman"/>
          <w:sz w:val="20"/>
          <w:szCs w:val="20"/>
          <w:color w:val="auto"/>
        </w:rPr>
        <w:t xml:space="preserve">. Notwithstanding anything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to the contrary:</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whether the Required Lenders have (A) 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20"/>
          <w:szCs w:val="20"/>
          <w:u w:val="single" w:color="auto"/>
          <w:color w:val="auto"/>
        </w:rPr>
        <w:t>Section 11.07(j)</w:t>
      </w:r>
      <w:r>
        <w:rPr>
          <w:rFonts w:ascii="Times New Roman" w:cs="Times New Roman" w:eastAsia="Times New Roman" w:hAnsi="Times New Roman"/>
          <w:sz w:val="20"/>
          <w:szCs w:val="20"/>
          <w:color w:val="auto"/>
        </w:rPr>
        <w:t>, any plan of reorganization pursuant to the U.S. Bankruptcy Code, (B) otherwise acted on any matter related to any Loan Document, or (C) directed or required the Administrative Agent or any Lender to undertake any action (or refrain from taking any action) with respect to or under any Loan Document, in each case, that does not require the consent of a specific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2" w:name="page303"/>
    <w:bookmarkEnd w:id="302"/>
    <w:p>
      <w:pPr>
        <w:jc w:val="both"/>
        <w:ind w:left="3"/>
        <w:spacing w:after="0" w:line="253" w:lineRule="auto"/>
        <w:rPr>
          <w:sz w:val="20"/>
          <w:szCs w:val="20"/>
          <w:color w:val="auto"/>
        </w:rPr>
      </w:pPr>
      <w:r>
        <w:rPr>
          <w:rFonts w:ascii="Times New Roman" w:cs="Times New Roman" w:eastAsia="Times New Roman" w:hAnsi="Times New Roman"/>
          <w:sz w:val="20"/>
          <w:szCs w:val="20"/>
          <w:color w:val="auto"/>
        </w:rPr>
        <w:t>each Lender or each affected Lender, or does not affect such Affiliated Lender that is not an Affiliated Debt Fund in a disproportionately adverse manner as compared to other Lenders holding similar obligations, Affiliated Lenders that are not Affiliated Debt Funds will be deemed to have voted in the same proportion as non-affiliated Lenders voting on such matters; and</w:t>
      </w:r>
    </w:p>
    <w:p>
      <w:pPr>
        <w:spacing w:after="0" w:line="176" w:lineRule="exact"/>
        <w:rPr>
          <w:sz w:val="20"/>
          <w:szCs w:val="20"/>
          <w:color w:val="auto"/>
        </w:rPr>
      </w:pPr>
    </w:p>
    <w:p>
      <w:pPr>
        <w:jc w:val="both"/>
        <w:ind w:left="3" w:right="40" w:firstLine="1045"/>
        <w:spacing w:after="0" w:line="295" w:lineRule="auto"/>
        <w:tabs>
          <w:tab w:leader="none" w:pos="1447" w:val="left"/>
        </w:tabs>
        <w:numPr>
          <w:ilvl w:val="1"/>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Affiliated Debt Funds may not in the aggregate account for more than 49.9% of the amounts set forth in the calculation of Required Lenders and any amount in excess of 49.9% will be subject to the limitations set forth in clause (i)(i) above.</w:t>
      </w:r>
    </w:p>
    <w:p>
      <w:pPr>
        <w:spacing w:after="0" w:line="137" w:lineRule="exact"/>
        <w:rPr>
          <w:rFonts w:ascii="Times New Roman" w:cs="Times New Roman" w:eastAsia="Times New Roman" w:hAnsi="Times New Roman"/>
          <w:sz w:val="19"/>
          <w:szCs w:val="19"/>
          <w:color w:val="auto"/>
        </w:rPr>
      </w:pPr>
    </w:p>
    <w:p>
      <w:pPr>
        <w:jc w:val="both"/>
        <w:ind w:left="-757" w:firstLine="757"/>
        <w:spacing w:after="0" w:line="254" w:lineRule="auto"/>
        <w:tabs>
          <w:tab w:leader="none" w:pos="414" w:val="left"/>
        </w:tabs>
        <w:numPr>
          <w:ilvl w:val="0"/>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Insolvency Proceedings</w:t>
      </w:r>
      <w:r>
        <w:rPr>
          <w:rFonts w:ascii="Times New Roman" w:cs="Times New Roman" w:eastAsia="Times New Roman" w:hAnsi="Times New Roman"/>
          <w:sz w:val="19"/>
          <w:szCs w:val="19"/>
          <w:color w:val="auto"/>
        </w:rPr>
        <w:t xml:space="preserve">. Notwithstanding anything in this Agreement or the other Loan Documents to the contrary, each Affiliated Lender that is not an Affiliated Debt Fund hereby agrees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such Affiliated Lender shall be entitled to vote in accordance with its sole discretion (and not in accordance with the direction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the Administrative Agent) in connection with any plan of reorganization to the extent any such plan of reorganization proposes to treat any Obligations held by such Affiliated Lender in a manner that is less favorable in any material respect to such Affiliated Lender than the proposed treatment of similar Obligations held by Lenders that are not Affiliates of the Borrower. The Lenders and each Affiliated Lender that is not an Affiliated Debt Fund agree and acknowledge that the provisions set forth in this </w:t>
      </w:r>
      <w:r>
        <w:rPr>
          <w:rFonts w:ascii="Times New Roman" w:cs="Times New Roman" w:eastAsia="Times New Roman" w:hAnsi="Times New Roman"/>
          <w:sz w:val="19"/>
          <w:szCs w:val="19"/>
          <w:u w:val="single" w:color="auto"/>
          <w:color w:val="auto"/>
        </w:rPr>
        <w:t>Section 11.07(j)</w:t>
      </w:r>
      <w:r>
        <w:rPr>
          <w:rFonts w:ascii="Times New Roman" w:cs="Times New Roman" w:eastAsia="Times New Roman" w:hAnsi="Times New Roman"/>
          <w:sz w:val="19"/>
          <w:szCs w:val="19"/>
          <w:color w:val="auto"/>
        </w:rPr>
        <w:t xml:space="preserve"> and the related provisions set forth in each Assignment and Assumption entered into by an Affiliated Lender constitute a “subordination agreement” as such term is contemplated by, and utilized in, Section 510(a) of the United States Bankruptcy Code, and, as such, would be enforceable for all purposes in any case where Holdings, the Borrower or any Restricted Subsidiary has filed for protection under any law relating to bankruptcy, insolvency or reorganization or relief of debtors applicable to Holdings, the Borrower or such Restricted Subsidiary, as applicable. Each Affiliated Lender hereby irrevocably appoints the Administrative Agent (such appointment being coupled with an interest) as such Affiliated Lender’s attorney-in-fact, with full authority in the place and stead of such Affiliated Lender and in the name of such Affiliated Lender (solely in respect of Term Loans and participations therein and not in respect of any other claim or status such Affiliated Lender may otherwise have), from time to time in the Administrative Agent’s discretion to take any action and to execute any instrument that the Administrative Agent may deem reasonably necessary to vote on behalf of such Affiliated Lender as set forth in this </w:t>
      </w:r>
      <w:r>
        <w:rPr>
          <w:rFonts w:ascii="Times New Roman" w:cs="Times New Roman" w:eastAsia="Times New Roman" w:hAnsi="Times New Roman"/>
          <w:sz w:val="19"/>
          <w:szCs w:val="19"/>
          <w:u w:val="single" w:color="auto"/>
          <w:color w:val="auto"/>
        </w:rPr>
        <w:t>Section 11.07(j)</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jc w:val="both"/>
        <w:ind w:left="-757" w:firstLine="757"/>
        <w:spacing w:after="0" w:line="242" w:lineRule="auto"/>
        <w:tabs>
          <w:tab w:leader="none" w:pos="388"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of Swing Line Lender and Issuing Bank</w:t>
      </w:r>
      <w:r>
        <w:rPr>
          <w:rFonts w:ascii="Times New Roman" w:cs="Times New Roman" w:eastAsia="Times New Roman" w:hAnsi="Times New Roman"/>
          <w:sz w:val="20"/>
          <w:szCs w:val="20"/>
          <w:color w:val="auto"/>
        </w:rPr>
        <w:t xml:space="preserve">. Notwithstanding anything to the contrary contained herein, any Issuing Bank or the Swing Line Lender may, upon thirty days’ notice to the Borrower and the Revolving Lenders, resign as an Issuing Bank or the Swing Line Lender, respectively;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 or prior to the expiration of such 30-day period with respect to such resignation, the relevant Issuing Bank or the Swing Line Lender shall have identified a successor Issuing Bank or Swing Line Lender reasonably acceptable to the Borrower willing to accept its appointment as successor Issuing Bank or Swing Line Lender hereunder. In the event of any such resignation of an Issuing Bank or the Swing Line Lender, the Borrower shall be entitled to appoint from among the Lenders willing to accept such appointment a successor Issuing Bank or Swing Line Lender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failure by the Borrower to appoint any such successor shall affect the resignation of the relevant Issuing Bank or the Swing Line Lender, as the case may be,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Letter of Credit Obligations with respect thereto (including the right to require the Lenders to make Base Rate Loans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316865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6" w:right="339" w:bottom="1440" w:gutter="0" w:footer="0" w:header="0"/>
        </w:sectPr>
      </w:pPr>
    </w:p>
    <w:bookmarkStart w:id="303" w:name="page304"/>
    <w:bookmarkEnd w:id="30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fund risk participations in Letters of Credit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Upon the appointment by the Borrower of a successor Issuing Bank of Swing Line Lender hereunder (which successor shall in all cases be a Lender other than a Defaulting Lender), (i) such successor shall succeed to and become vested with all of the rights, powers, privileges and duties of the retiring Issuing Bank or Swing Line Lender, as applicable, (ii) the retiring Issuing Bank or Swing Line Lender, as applicable,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9" w:lineRule="exact"/>
        <w:rPr>
          <w:sz w:val="20"/>
          <w:szCs w:val="20"/>
          <w:color w:val="auto"/>
        </w:rPr>
      </w:pPr>
    </w:p>
    <w:p>
      <w:pPr>
        <w:ind w:left="1160" w:hanging="403"/>
        <w:spacing w:after="0"/>
        <w:tabs>
          <w:tab w:leader="none" w:pos="116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to Borrower, etc</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6" w:lineRule="auto"/>
        <w:tabs>
          <w:tab w:leader="none" w:pos="2203"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so long as no Event of Default has occurred and is continuing or would result therefrom, assign all or a portion of its rights and obligations with respect to the Term Loans and the Term Loan Commitments under this Agreement to Holdings, the Borrower or any of its Subsidiaries through (i) Dutch auctions open to all Lenders in accordance with the procedures set forth on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or (ii) open market purchase on a non-pro rata basis, in each case subject to the following limitations;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w:t>
      </w:r>
    </w:p>
    <w:p>
      <w:pPr>
        <w:spacing w:after="0" w:line="183"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2"/>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assignee is Holdings or a Restricted Subsidiary of the Borrower, upon such assignment, transfer or contribution, the applicable assignee shall automatically be deemed to have contributed or transferred the principal amount of such Term Loans,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all accrued and unpaid interest thereon, to the Borrower; or</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44" w:val="left"/>
        </w:tabs>
        <w:numPr>
          <w:ilvl w:val="2"/>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assignee is the Borrower (including through contribution or transfers set forth in clause (A) above), (1) the principal amount of such Term Loans, along with all accrued and unpaid interest thereon, so contributed, assigned or transferred to the Borrower shall be deemed automatically cancelled and extinguished on the date of such contribution, assignment or transfer and (2) the Borrower shall promptly provide notice to the Administrative Agent of such contribution, assignment or transfer of such Term Loans, and the Administrative Agent, upon receipt of such notice, shall reflect the cancellation of the applicable Term Loans in the Register; and</w:t>
      </w:r>
    </w:p>
    <w:p>
      <w:pPr>
        <w:spacing w:after="0" w:line="182"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2"/>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proceeds of any Revolving Loans are used to finance such purchase and assignment, on a Pro Forma Basis for such assignment the Borrower’s Liquidity equals or exceeds 33% of the Revolving Commitments (whether or not drawn) as of the date of determination.</w:t>
      </w:r>
    </w:p>
    <w:p>
      <w:pPr>
        <w:spacing w:after="0" w:line="176" w:lineRule="exact"/>
        <w:rPr>
          <w:rFonts w:ascii="Times New Roman" w:cs="Times New Roman" w:eastAsia="Times New Roman" w:hAnsi="Times New Roman"/>
          <w:sz w:val="20"/>
          <w:szCs w:val="20"/>
          <w:color w:val="auto"/>
        </w:rPr>
      </w:pPr>
    </w:p>
    <w:p>
      <w:pPr>
        <w:jc w:val="both"/>
        <w:ind w:left="760" w:firstLine="1045"/>
        <w:spacing w:after="0" w:line="245" w:lineRule="auto"/>
        <w:tabs>
          <w:tab w:leader="none" w:pos="2203"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Affiliated Lender may, in its discretion (but is not required to), assign all or a portion of its rights and obligations with respect to the Term Loans and the Term Loan Commitments under this Agreement to Holdings, the Borrower or any of its Subsidiaries (regardless of whether any Default or Event of Default has occurred and is continuing or would result therefrom), on a non-</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for purposes of cancelling such Term Loans or Term Loan Commitments, which may include contribution (with the consent of the Borrower) to the Borrower (whether through any of its direct or indirect parent entities or otherwise) in exchange for (A) debt on a dollar-for-dollar basis or (B) Equity Interests of the Borrower (or any of its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4" w:name="page305"/>
    <w:bookmarkEnd w:id="304"/>
    <w:p>
      <w:pPr>
        <w:ind w:left="760"/>
        <w:spacing w:after="0" w:line="268" w:lineRule="auto"/>
        <w:rPr>
          <w:sz w:val="20"/>
          <w:szCs w:val="20"/>
          <w:color w:val="auto"/>
        </w:rPr>
      </w:pPr>
      <w:r>
        <w:rPr>
          <w:rFonts w:ascii="Times New Roman" w:cs="Times New Roman" w:eastAsia="Times New Roman" w:hAnsi="Times New Roman"/>
          <w:sz w:val="20"/>
          <w:szCs w:val="20"/>
          <w:color w:val="auto"/>
        </w:rPr>
        <w:t>or indirect parent entities) that are otherwise permitted to be incurred or issued by the Borrower (or such direct or indirect parent entity) at such time.</w:t>
      </w:r>
    </w:p>
    <w:p>
      <w:pPr>
        <w:spacing w:after="0" w:line="161" w:lineRule="exact"/>
        <w:rPr>
          <w:sz w:val="20"/>
          <w:szCs w:val="20"/>
          <w:color w:val="auto"/>
        </w:rPr>
      </w:pPr>
    </w:p>
    <w:p>
      <w:pPr>
        <w:ind w:firstLine="757"/>
        <w:spacing w:after="0" w:line="268" w:lineRule="auto"/>
        <w:tabs>
          <w:tab w:leader="none" w:pos="1185"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Fronted Delayed Draw Term Loans</w:t>
      </w:r>
      <w:r>
        <w:rPr>
          <w:rFonts w:ascii="Times New Roman" w:cs="Times New Roman" w:eastAsia="Times New Roman" w:hAnsi="Times New Roman"/>
          <w:sz w:val="20"/>
          <w:szCs w:val="20"/>
          <w:color w:val="auto"/>
        </w:rPr>
        <w:t xml:space="preserve">. Notwithstanding anything herein to the contrary, assignments pursuant to and in accordance with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 xml:space="preserve"> shall be permitted and shall not be subject to any of the restrictions set forth in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SECTION 11.08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the Collateral Agent, the Lead Arrangers, the Issuing Banks and the Lenders agrees to maintain the confidentiality of the Information in accordance with its customary procedures (as set forth below), except that Information may be disclosed,</w:t>
      </w:r>
    </w:p>
    <w:p>
      <w:pPr>
        <w:spacing w:after="0" w:line="176" w:lineRule="exact"/>
        <w:rPr>
          <w:sz w:val="20"/>
          <w:szCs w:val="20"/>
          <w:color w:val="auto"/>
        </w:rPr>
      </w:pPr>
    </w:p>
    <w:p>
      <w:pPr>
        <w:jc w:val="both"/>
        <w:ind w:right="20" w:firstLine="757"/>
        <w:spacing w:after="0" w:line="249"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pursuant to this clause (a) but only to the extent that a list of such Disqualified Lender is available to all Lenders upon request),</w:t>
      </w:r>
    </w:p>
    <w:p>
      <w:pPr>
        <w:spacing w:after="0" w:line="178"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any regulatory authority purporting to have jurisdiction over it (including the Federal Reserve Bank or any other central bank or any self-regulatory authority, such as the National Association of Insurance Commissioners),</w:t>
      </w:r>
    </w:p>
    <w:p>
      <w:pPr>
        <w:spacing w:after="0" w:line="156" w:lineRule="exact"/>
        <w:rPr>
          <w:rFonts w:ascii="Times New Roman" w:cs="Times New Roman" w:eastAsia="Times New Roman" w:hAnsi="Times New Roman"/>
          <w:sz w:val="20"/>
          <w:szCs w:val="20"/>
          <w:color w:val="auto"/>
        </w:rPr>
      </w:pPr>
    </w:p>
    <w:p>
      <w:pPr>
        <w:jc w:val="both"/>
        <w:ind w:firstLine="757"/>
        <w:spacing w:after="0" w:line="250"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by applicable laws or regulations or by any subpoena or similar legal process,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the Collateral Agent, such Lead Arranger or such Lender or such Issuing Bank, as applicable, agrees that it will notify the Borrower as soon as practicable in the event of any such disclosure by such Person (other than at the request of a regulatory authority) unless such notification is prohibited by law, rule or regulation,</w:t>
      </w:r>
    </w:p>
    <w:p>
      <w:pPr>
        <w:spacing w:after="0" w:line="178"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other party hereto (it being understood that in no event shall such disclosure be made to any Disqualified Lender pursuant to this clause (d) but only to the extent that a list of such Disqualified Lenders is available to all Lenders),</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60"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 agreement containing provisions at least as restrictive as those of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(it being understood that in no event shall such disclosure be made to any Disqualified Lender pursuant to this clause (f) but only to the extent that a list of such Disqualified Lenders is available to all Lenders upon request), to (i) any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assignee of or Participant in, or any prospective assignee of or Participant in, any of its rights or obligations under this Agreement or any Eligible Assignee invited to be an Additional Lender or (ii) any actual or prospective direct or indirect counterparty (or its advisors) to any swap or derivative transaction relating to the Borrower and their obligations,</w:t>
      </w:r>
    </w:p>
    <w:p>
      <w:pPr>
        <w:spacing w:after="0" w:line="182"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consent of the Borrower,</w:t>
      </w:r>
    </w:p>
    <w:p>
      <w:pPr>
        <w:spacing w:after="0" w:line="214" w:lineRule="exact"/>
        <w:rPr>
          <w:rFonts w:ascii="Times New Roman" w:cs="Times New Roman" w:eastAsia="Times New Roman" w:hAnsi="Times New Roman"/>
          <w:sz w:val="20"/>
          <w:szCs w:val="20"/>
          <w:color w:val="auto"/>
        </w:rPr>
      </w:pPr>
    </w:p>
    <w:p>
      <w:pPr>
        <w:ind w:right="40" w:firstLine="757"/>
        <w:spacing w:after="0" w:line="268" w:lineRule="auto"/>
        <w:tabs>
          <w:tab w:leader="none" w:pos="11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rating agency when required by it (it being understood that, prior to any such disclosure, such rating agency shall undertake to preserve the confidentiality of any Information relating to the Loan Parties received by it from such Lender),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5" w:name="page306"/>
    <w:bookmarkEnd w:id="305"/>
    <w:p>
      <w:pPr>
        <w:jc w:val="both"/>
        <w:ind w:firstLine="757"/>
        <w:spacing w:after="0" w:line="246" w:lineRule="auto"/>
        <w:tabs>
          <w:tab w:leader="none" w:pos="1144"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Information (i) becomes publicly available other than as a result of a breach of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or (ii) becomes available to the Administrative Agent, the Collateral Agent, any Lead Arranger, any Lender, any Issuing Bank, or any of their respective Affiliates on a non-confidential basis from a source other than Holdings, the Borrower or any Subsidiary thereof, and which source is not known by such Person to be subject to a confidentiality restriction in respect thereof in favor of the Borrower or any Affiliate of the Borrower.</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each of the Administrative Agent, the Collateral Agent, the Lead Arrangers, the Issuing Banks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Arrangers, the Issuing Banks and the Lenders in connection with the administration and management of this Agreement and the other Loan Documents.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Holdings, the Borrower or any Subsidiary after the date hereof shall be deemed confidential unless such information is clearly identified at the time of delivery as not being confidential. Any Person required to maintain the confidentiality of Information as provided in this Section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Collateral Agent, the Lead Arrangers and the Lenders acknowledges that (A) the Information may include Private-Side Information concerning Holdings, the Borrower or a Subsidiary, as the case may be, (B) it has developed compliance procedures regarding the use of Private-Side Information and (C) it will handle such Private-Side Information in accordance with applicable Law, including United States Federal and state securities Laws.</w:t>
      </w:r>
    </w:p>
    <w:p>
      <w:pPr>
        <w:spacing w:after="0" w:line="17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Notwithstanding anything to the contrary therein, nothing in any Loan Document shall require Holdings or any of their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w:t>
      </w:r>
    </w:p>
    <w:p>
      <w:pPr>
        <w:spacing w:after="0" w:line="2" w:lineRule="exact"/>
        <w:rPr>
          <w:sz w:val="20"/>
          <w:szCs w:val="20"/>
          <w:color w:val="auto"/>
        </w:rPr>
      </w:pPr>
    </w:p>
    <w:p>
      <w:pPr>
        <w:ind w:right="20" w:firstLine="8"/>
        <w:spacing w:after="0" w:line="245" w:lineRule="auto"/>
        <w:tabs>
          <w:tab w:leader="none" w:pos="346"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disclosure of which is restricted by binding agreements not entered into primarily for the purpose of qualifying for the exclusion in this clause (iv).</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11.09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If an Event of Default shall have occurred and be continuing, each Lender and each Issuing Bank and each of their respective Affiliates is hereby authorized at any time and from time to time, after obtaining the prior written consent of the Administrative Agent, without notice to any Loan Party or to any other Person (other than the Administrative Agent),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to or for the credit or the account of the Borrower or any other Loan Party against any and all of the obligations of the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6" w:name="page307"/>
    <w:bookmarkEnd w:id="306"/>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in respect of the Letters of Credit or any other amounts due hereunder shall have become due and payable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and although such obligations of the Borrower or such Loan Party may be contingent or unmatured or are owed to a branch or office of such Lender or such Issuing Bank different from the branch or office holding such deposit or obligated on such indebtedness; provided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Issuing Banks, and the Lenders, and (ii) the 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Section are in addition to other rights and remedies (including other rights of set-off) that such Lender or such Issuing Bank or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11.10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spacing w:after="0" w:line="18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11.11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or other electronic imaging (including in.pdf or .tif format) means shall be effective as delivery of a manually executed counterpart of this Agreement.</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11.12 </w:t>
      </w:r>
      <w:r>
        <w:rPr>
          <w:rFonts w:ascii="Times New Roman" w:cs="Times New Roman" w:eastAsia="Times New Roman" w:hAnsi="Times New Roman"/>
          <w:sz w:val="20"/>
          <w:szCs w:val="20"/>
          <w:u w:val="single" w:color="auto"/>
          <w:color w:val="auto"/>
        </w:rPr>
        <w:t>Electronic Execution of Assignments and Certain Other Documents</w:t>
      </w:r>
      <w:r>
        <w:rPr>
          <w:rFonts w:ascii="Times New Roman" w:cs="Times New Roman" w:eastAsia="Times New Roman" w:hAnsi="Times New Roman"/>
          <w:sz w:val="20"/>
          <w:szCs w:val="20"/>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7" w:name="page308"/>
    <w:bookmarkEnd w:id="307"/>
    <w:p>
      <w:pPr>
        <w:jc w:val="both"/>
        <w:spacing w:after="0" w:line="253" w:lineRule="auto"/>
        <w:rPr>
          <w:sz w:val="20"/>
          <w:szCs w:val="20"/>
          <w:color w:val="auto"/>
        </w:rPr>
      </w:pPr>
      <w:r>
        <w:rPr>
          <w:rFonts w:ascii="Times New Roman" w:cs="Times New Roman" w:eastAsia="Times New Roman" w:hAnsi="Times New Roman"/>
          <w:sz w:val="20"/>
          <w:szCs w:val="20"/>
          <w:color w:val="auto"/>
        </w:rPr>
        <w:t>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11.13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 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11.09</w:t>
      </w:r>
      <w:r>
        <w:rPr>
          <w:rFonts w:ascii="Times New Roman" w:cs="Times New Roman" w:eastAsia="Times New Roman" w:hAnsi="Times New Roman"/>
          <w:sz w:val="20"/>
          <w:szCs w:val="20"/>
          <w:color w:val="auto"/>
        </w:rPr>
        <w:t xml:space="preserve"> and the agreements of the Lenders set forth in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xml:space="preserve"> shall survive the satisfaction of the Termination Conditions, and the termination hereof.</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11.14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any Issuing Bank or the Swing Line Lender, as applicable, then such provisions shall be deemed to be in effect only to the extent not so limited.</w:t>
      </w:r>
    </w:p>
    <w:p>
      <w:pPr>
        <w:spacing w:after="0" w:line="192"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11.15</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757"/>
        <w:spacing w:after="0" w:line="246" w:lineRule="auto"/>
        <w:tabs>
          <w:tab w:leader="none" w:pos="1144"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spacing w:after="0" w:line="183" w:lineRule="exact"/>
        <w:rPr>
          <w:rFonts w:ascii="Times New Roman" w:cs="Times New Roman" w:eastAsia="Times New Roman" w:hAnsi="Times New Roman"/>
          <w:sz w:val="20"/>
          <w:szCs w:val="20"/>
          <w:color w:val="auto"/>
        </w:rPr>
      </w:pPr>
    </w:p>
    <w:p>
      <w:pPr>
        <w:jc w:val="both"/>
        <w:ind w:firstLine="757"/>
        <w:spacing w:after="0" w:line="242" w:lineRule="auto"/>
        <w:tabs>
          <w:tab w:leader="none" w:pos="1144"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SECURITY AGREEMENT GOVERNED BY A LAW OTHER THAN THE LAWS OF THE STATE OF NEW YORK OR WITH RESPECT TO ANY COLLATERAL SUBJECT THERETO), 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8" w:name="page309"/>
    <w:bookmarkEnd w:id="308"/>
    <w:p>
      <w:pPr>
        <w:jc w:val="both"/>
        <w:spacing w:after="0" w:line="241" w:lineRule="auto"/>
        <w:rPr>
          <w:sz w:val="20"/>
          <w:szCs w:val="20"/>
          <w:color w:val="auto"/>
        </w:rPr>
      </w:pPr>
      <w:r>
        <w:rPr>
          <w:rFonts w:ascii="Times New Roman" w:cs="Times New Roman" w:eastAsia="Times New Roman" w:hAnsi="Times New Roman"/>
          <w:sz w:val="20"/>
          <w:szCs w:val="20"/>
          <w:color w:val="auto"/>
        </w:rPr>
        <w:t>RECOGNITION OR ENFORCEMENT OF ANY JUDGMENT, AND EACH OF THE PARTIES HERETO (AND BY ITS ACCEPTANCE OF ITS APPOINTMENT IN SUCH CAPACITY, EACH LEAD 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5" w:lineRule="exact"/>
        <w:rPr>
          <w:sz w:val="20"/>
          <w:szCs w:val="20"/>
          <w:color w:val="auto"/>
        </w:rPr>
      </w:pPr>
    </w:p>
    <w:p>
      <w:pPr>
        <w:ind w:firstLine="757"/>
        <w:spacing w:after="0" w:line="244" w:lineRule="auto"/>
        <w:tabs>
          <w:tab w:leader="none" w:pos="114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(AND</w:t>
      </w:r>
    </w:p>
    <w:p>
      <w:pPr>
        <w:spacing w:after="0" w:line="3" w:lineRule="exact"/>
        <w:rPr>
          <w:rFonts w:ascii="Times New Roman" w:cs="Times New Roman" w:eastAsia="Times New Roman" w:hAnsi="Times New Roman"/>
          <w:sz w:val="20"/>
          <w:szCs w:val="20"/>
          <w:color w:val="auto"/>
        </w:rPr>
      </w:pP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ITS ACCEPTANCE OF ITS APPOINTMENT IN SUCH CAPACITY, EACH LEAD ARRANGER) HEREBY IRREVOCABLY WAIVES, TO THE FULLEST EXTENT PERMITTED BY APPLICABLE LAW, THE DEFENSE OF AN INCONVENIENT FORUM TO THE MAINTENANCE OF SUCH ACTION OR PROCEEDING IN ANY SUCH COURT.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SECTION 11.16 </w:t>
      </w:r>
      <w:r>
        <w:rPr>
          <w:rFonts w:ascii="Times New Roman" w:cs="Times New Roman" w:eastAsia="Times New Roman" w:hAnsi="Times New Roman"/>
          <w:sz w:val="19"/>
          <w:szCs w:val="19"/>
          <w:u w:val="single" w:color="auto"/>
          <w:color w:val="auto"/>
        </w:rPr>
        <w:t>WAIVER OF RIGHT TO TRIAL BY JURY</w:t>
      </w:r>
      <w:r>
        <w:rPr>
          <w:rFonts w:ascii="Times New Roman" w:cs="Times New Roman" w:eastAsia="Times New Roman" w:hAnsi="Times New Roman"/>
          <w:sz w:val="19"/>
          <w:szCs w:val="19"/>
          <w:color w:val="auto"/>
        </w:rPr>
        <w:t>.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THAT EACH HAS ALREADY RELIED ON THIS WAIVER IN ENTERING INTO THIS AGREEMENT, AND THAT EACH WILL CONTINUE TO RELY ON THIS WAVIER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9" w:name="page310"/>
    <w:bookmarkEnd w:id="30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AND EXECUTED BY EACH OF THE PARTIES HERETO AND THE LEAD ARRANGERS),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11.17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or bad faith or breach by such Indemnitee of its material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Borrower, in respect of any such damages incurred or paid by an Indemnitee to a third party). Each party hereto (and by its acceptance of its appointment in such capacity, each Lead Arranger) hereby waives, releases and agrees (each for itself and on behalf of its Subsidiaries) not to sue upon any such claim for any special, indirect, consequential or punitive damages, whether or not accrued and whether or not known or suspected to exist in its favor.</w:t>
      </w:r>
    </w:p>
    <w:p>
      <w:pPr>
        <w:spacing w:after="0" w:line="18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11.18 </w:t>
      </w:r>
      <w:r>
        <w:rPr>
          <w:rFonts w:ascii="Times New Roman" w:cs="Times New Roman" w:eastAsia="Times New Roman" w:hAnsi="Times New Roman"/>
          <w:sz w:val="20"/>
          <w:szCs w:val="20"/>
          <w:u w:val="single" w:color="auto"/>
          <w:color w:val="auto"/>
        </w:rPr>
        <w:t>Use of Name, Logo, Etc.</w:t>
      </w:r>
      <w:r>
        <w:rPr>
          <w:rFonts w:ascii="Times New Roman" w:cs="Times New Roman" w:eastAsia="Times New Roman" w:hAnsi="Times New Roman"/>
          <w:sz w:val="20"/>
          <w:szCs w:val="20"/>
          <w:color w:val="auto"/>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Trademarks or logos are used solely in a manner that is not intended to or reasonably likely to harm or disparage the Borrower or any of its Subsidiaries or the reputation or goodwill of any of them. Such consent shall remain effective until revoked by such Loan Party in writing to the Administrative Agent and such Lead Arranger, as applicable.</w:t>
      </w:r>
    </w:p>
    <w:p>
      <w:pPr>
        <w:spacing w:after="0" w:line="18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 xml:space="preserve">SECTION 11.19 </w:t>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 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7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11.20 </w:t>
      </w: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(AND BY ITS ACCEPTANCE OF ITS APPOINTMENT IN SUCH CAPACITY, EACH LEAD ARRANGER) IRREVOCABLY CONSENTS TO SERVICE OF PROCESS IN THE MANNER PROVIDED FOR NOTICES IN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11.21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10" w:name="page311"/>
    <w:bookmarkEnd w:id="310"/>
    <w:p>
      <w:pPr>
        <w:jc w:val="both"/>
        <w:spacing w:after="0" w:line="254" w:lineRule="auto"/>
        <w:rPr>
          <w:sz w:val="20"/>
          <w:szCs w:val="20"/>
          <w:color w:val="auto"/>
        </w:rPr>
      </w:pPr>
      <w:r>
        <w:rPr>
          <w:rFonts w:ascii="Times New Roman" w:cs="Times New Roman" w:eastAsia="Times New Roman" w:hAnsi="Times New Roman"/>
          <w:sz w:val="19"/>
          <w:szCs w:val="19"/>
          <w:color w:val="auto"/>
        </w:rPr>
        <w:t>modification hereof or of any other Loan Document), each Loan Party acknowledges and agrees, and acknowledges its Affiliates’ understanding that: (a) (i) the transactions contemplated by the Loan Documents (including the exercise of rights and remedies hereunder and thereunder) are arm’s-length commercial transactions between the Agents, the Lenders, the Issuing Banks, the Swing Line Lender and the Lead Arrangers on the one hand, and the Loan Parties and their Affiliates,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Agents, the Issuing Banks, the Swing Line Lender and the Lead Arrangers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w:t>
      </w:r>
    </w:p>
    <w:p>
      <w:pPr>
        <w:spacing w:after="0" w:line="2" w:lineRule="exact"/>
        <w:rPr>
          <w:sz w:val="20"/>
          <w:szCs w:val="20"/>
          <w:color w:val="auto"/>
        </w:rPr>
      </w:pPr>
    </w:p>
    <w:p>
      <w:pPr>
        <w:jc w:val="both"/>
        <w:ind w:firstLine="8"/>
        <w:spacing w:after="0" w:line="239" w:lineRule="auto"/>
        <w:tabs>
          <w:tab w:leader="none" w:pos="304"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Agents, the Issuing Banks, the Swing Line Lender, the Lead Arrangers nor any Lender has any obligation to the Borrower, Holdings or any of their respective Affiliates with respect to the transactions contemplated hereby except those obligations expressly set forth herein and in the other Loan Documents; and (c) the Agents, the Issuing Banks, the Swing Line Lender, the Lead Arrangers, the Lenders and their respective Affiliates may be engaged in a broad range of transactions that involve economic interests that conflict with those of the Loan Parties, their stockholders and/or their affiliates, and none of the Agents, the Issuing Banks, the Swing Line Lender, the Lead Arrangers nor any Lender has any obligation to disclose any of such interests to the Borrower, Holdings or any of their respective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Swing Line Lender, the Lead Arrangers or any Lender with respect to any breach or alleged breach of agency or fiduciary duty in connection with any aspect of any transaction contemplated hereby.</w:t>
      </w:r>
    </w:p>
    <w:p>
      <w:pPr>
        <w:spacing w:after="0" w:line="19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11.22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become effective when it shall have been executed by the Borrower, Holdings and the Administrative Agent and the Administrative Agent shall have been notified by each Lender and each Issuing Bank that each such Lender or each such Issuing Bank has executed it and thereafter shall be binding upon and inure to the benefit of the Borrower, Holdings, each Agent, each Lender and each Issuing Bank and their respective successors and assigns.</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11.23 </w:t>
      </w:r>
      <w:r>
        <w:rPr>
          <w:rFonts w:ascii="Times New Roman" w:cs="Times New Roman" w:eastAsia="Times New Roman" w:hAnsi="Times New Roman"/>
          <w:sz w:val="20"/>
          <w:szCs w:val="20"/>
          <w:u w:val="single" w:color="auto"/>
          <w:color w:val="auto"/>
        </w:rPr>
        <w:t>Obligations Several; Independent Nature of Lender’s Rights</w:t>
      </w:r>
      <w:r>
        <w:rPr>
          <w:rFonts w:ascii="Times New Roman" w:cs="Times New Roman" w:eastAsia="Times New Roman" w:hAnsi="Times New Roman"/>
          <w:sz w:val="20"/>
          <w:szCs w:val="20"/>
          <w:color w:val="auto"/>
        </w:rPr>
        <w:t>. The obligations of the Lenders hereunder are several and no Lender shall be responsible for the obligations or 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8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SECTION 11.24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herein are included herein for convenience of reference only and shall not constitute a part hereof for any other purpose or be given any substantive effect.</w:t>
      </w:r>
    </w:p>
    <w:p>
      <w:pPr>
        <w:spacing w:after="0" w:line="161"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11.25</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EEA Financial Institutions.</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11" w:name="page312"/>
    <w:bookmarkEnd w:id="311"/>
    <w:p>
      <w:pPr>
        <w:jc w:val="both"/>
        <w:spacing w:after="0" w:line="253" w:lineRule="auto"/>
        <w:rPr>
          <w:sz w:val="20"/>
          <w:szCs w:val="20"/>
          <w:color w:val="auto"/>
        </w:rPr>
      </w:pPr>
      <w:r>
        <w:rPr>
          <w:rFonts w:ascii="Times New Roman" w:cs="Times New Roman" w:eastAsia="Times New Roman" w:hAnsi="Times New Roman"/>
          <w:sz w:val="20"/>
          <w:szCs w:val="20"/>
          <w:color w:val="auto"/>
        </w:rPr>
        <w:t>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6" w:lineRule="exact"/>
        <w:rPr>
          <w:sz w:val="20"/>
          <w:szCs w:val="20"/>
          <w:color w:val="auto"/>
        </w:rPr>
      </w:pPr>
    </w:p>
    <w:p>
      <w:pPr>
        <w:ind w:right="40" w:firstLine="757"/>
        <w:spacing w:after="0" w:line="268" w:lineRule="auto"/>
        <w:tabs>
          <w:tab w:leader="none" w:pos="114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an EEA Resolution Authority to any such liabilities arising hereunder which may be payable to it by any Lender that is an EEA Financial Institution; and</w:t>
      </w:r>
    </w:p>
    <w:p>
      <w:pPr>
        <w:spacing w:after="0" w:line="160"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4"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4" w:lineRule="exact"/>
        <w:rPr>
          <w:rFonts w:ascii="Times New Roman" w:cs="Times New Roman" w:eastAsia="Times New Roman" w:hAnsi="Times New Roman"/>
          <w:sz w:val="20"/>
          <w:szCs w:val="20"/>
          <w:color w:val="auto"/>
        </w:rPr>
      </w:pPr>
    </w:p>
    <w:p>
      <w:pPr>
        <w:jc w:val="both"/>
        <w:ind w:left="760" w:firstLine="1045"/>
        <w:spacing w:after="0" w:line="249" w:lineRule="auto"/>
        <w:tabs>
          <w:tab w:leader="none" w:pos="2203"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8" w:lineRule="exact"/>
        <w:rPr>
          <w:rFonts w:ascii="Times New Roman" w:cs="Times New Roman" w:eastAsia="Times New Roman" w:hAnsi="Times New Roman"/>
          <w:sz w:val="20"/>
          <w:szCs w:val="20"/>
          <w:color w:val="auto"/>
        </w:rPr>
      </w:pPr>
    </w:p>
    <w:p>
      <w:pPr>
        <w:ind w:left="760" w:right="40" w:firstLine="1045"/>
        <w:spacing w:after="0" w:line="268" w:lineRule="auto"/>
        <w:tabs>
          <w:tab w:leader="none" w:pos="2203"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EEA Resolution Authority.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duly executed as of the date first above written.</w:t>
      </w:r>
    </w:p>
    <w:p>
      <w:pPr>
        <w:sectPr>
          <w:pgSz w:w="11900" w:h="16838" w:orient="portrait"/>
          <w:cols w:equalWidth="0" w:num="1">
            <w:col w:w="10220"/>
          </w:cols>
          <w:pgMar w:left="1080" w:top="342" w:right="599" w:bottom="1440" w:gutter="0" w:footer="0" w:header="0"/>
        </w:sectPr>
      </w:pPr>
    </w:p>
    <w:p>
      <w:pPr>
        <w:spacing w:after="0" w:line="2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MISTER CAR WASH HOLDINGS, INC.</w:t>
      </w:r>
      <w:r>
        <w:rPr>
          <w:rFonts w:ascii="Times New Roman" w:cs="Times New Roman" w:eastAsia="Times New Roman" w:hAnsi="Times New Roman"/>
          <w:sz w:val="19"/>
          <w:szCs w:val="19"/>
          <w:color w:val="auto"/>
        </w:rPr>
        <w:t>, as Borrower</w:t>
      </w:r>
    </w:p>
    <w:p>
      <w:pPr>
        <w:spacing w:after="0" w:line="200" w:lineRule="exact"/>
        <w:rPr>
          <w:sz w:val="20"/>
          <w:szCs w:val="20"/>
          <w:color w:val="auto"/>
        </w:rPr>
      </w:pPr>
    </w:p>
    <w:p>
      <w:pPr>
        <w:spacing w:after="0" w:line="2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w:t>
      </w:r>
    </w:p>
    <w:p>
      <w:pPr>
        <w:ind w:left="44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458470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080" w:top="342" w:right="599" w:bottom="1440" w:gutter="0" w:footer="0" w:header="0"/>
          <w:type w:val="continuous"/>
        </w:sectPr>
      </w:pPr>
    </w:p>
    <w:bookmarkStart w:id="313" w:name="page314"/>
    <w:bookmarkEnd w:id="313"/>
    <w:p>
      <w:pPr>
        <w:ind w:left="3380"/>
        <w:spacing w:after="0"/>
        <w:rPr>
          <w:sz w:val="20"/>
          <w:szCs w:val="20"/>
          <w:color w:val="auto"/>
        </w:rPr>
      </w:pPr>
      <w:r>
        <w:rPr>
          <w:rFonts w:ascii="Times New Roman" w:cs="Times New Roman" w:eastAsia="Times New Roman" w:hAnsi="Times New Roman"/>
          <w:sz w:val="19"/>
          <w:szCs w:val="19"/>
          <w:b w:val="1"/>
          <w:bCs w:val="1"/>
          <w:color w:val="auto"/>
        </w:rPr>
        <w:t>HOTSHINE INTERMEDIATECO, INC.</w:t>
      </w:r>
      <w:r>
        <w:rPr>
          <w:rFonts w:ascii="Times New Roman" w:cs="Times New Roman" w:eastAsia="Times New Roman" w:hAnsi="Times New Roman"/>
          <w:sz w:val="19"/>
          <w:szCs w:val="19"/>
          <w:color w:val="auto"/>
        </w:rPr>
        <w:t>, as Holdings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w:t>
      </w:r>
    </w:p>
    <w:p>
      <w:pPr>
        <w:jc w:val="center"/>
        <w:ind w:right="33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14" w:name="page315"/>
    <w:bookmarkEnd w:id="314"/>
    <w:p>
      <w:pPr>
        <w:ind w:left="3380"/>
        <w:spacing w:after="0"/>
        <w:rPr>
          <w:sz w:val="20"/>
          <w:szCs w:val="20"/>
          <w:color w:val="auto"/>
        </w:rPr>
      </w:pPr>
      <w:r>
        <w:rPr>
          <w:rFonts w:ascii="Times New Roman" w:cs="Times New Roman" w:eastAsia="Times New Roman" w:hAnsi="Times New Roman"/>
          <w:sz w:val="19"/>
          <w:szCs w:val="19"/>
          <w:b w:val="1"/>
          <w:bCs w:val="1"/>
          <w:color w:val="auto"/>
        </w:rPr>
        <w:t>JEFFERIES FINANCE LLC</w:t>
      </w:r>
      <w:r>
        <w:rPr>
          <w:rFonts w:ascii="Times New Roman" w:cs="Times New Roman" w:eastAsia="Times New Roman" w:hAnsi="Times New Roman"/>
          <w:sz w:val="19"/>
          <w:szCs w:val="19"/>
          <w:color w:val="auto"/>
        </w:rPr>
        <w:t>, as Administrative Agent and Collateral Agent</w:t>
      </w: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w:t>
      </w:r>
    </w:p>
    <w:p>
      <w:pPr>
        <w:ind w:left="41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440" w:top="342" w:right="879" w:bottom="1440" w:gutter="0" w:footer="0" w:header="0"/>
        </w:sectPr>
      </w:pPr>
    </w:p>
    <w:bookmarkStart w:id="315" w:name="page316"/>
    <w:bookmarkEnd w:id="315"/>
    <w:p>
      <w:pPr>
        <w:ind w:left="3380"/>
        <w:spacing w:after="0" w:line="255" w:lineRule="auto"/>
        <w:rPr>
          <w:sz w:val="20"/>
          <w:szCs w:val="20"/>
          <w:color w:val="auto"/>
        </w:rPr>
      </w:pPr>
      <w:r>
        <w:rPr>
          <w:rFonts w:ascii="Times New Roman" w:cs="Times New Roman" w:eastAsia="Times New Roman" w:hAnsi="Times New Roman"/>
          <w:sz w:val="20"/>
          <w:szCs w:val="20"/>
          <w:b w:val="1"/>
          <w:bCs w:val="1"/>
          <w:color w:val="auto"/>
        </w:rPr>
        <w:t>JEFFERIES FINANCE LLC</w:t>
      </w:r>
      <w:r>
        <w:rPr>
          <w:rFonts w:ascii="Times New Roman" w:cs="Times New Roman" w:eastAsia="Times New Roman" w:hAnsi="Times New Roman"/>
          <w:sz w:val="20"/>
          <w:szCs w:val="20"/>
          <w:color w:val="auto"/>
        </w:rPr>
        <w:t>, as Term Lender (including with respect to the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Loans and Delayed Draw Commitments), Revolving Lender, Swing Line Lender and Issuing Bank</w:t>
      </w:r>
    </w:p>
    <w:p>
      <w:pPr>
        <w:spacing w:after="0" w:line="39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w:t>
      </w:r>
    </w:p>
    <w:p>
      <w:pPr>
        <w:ind w:left="37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594995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558" w:right="379" w:bottom="1440" w:gutter="0" w:footer="0" w:header="0"/>
        </w:sectPr>
      </w:pPr>
    </w:p>
    <w:bookmarkStart w:id="316" w:name="page317"/>
    <w:bookmarkEnd w:id="316"/>
    <w:p>
      <w:pPr>
        <w:ind w:left="3380"/>
        <w:spacing w:after="0"/>
        <w:rPr>
          <w:sz w:val="20"/>
          <w:szCs w:val="20"/>
          <w:color w:val="auto"/>
        </w:rPr>
      </w:pPr>
      <w:r>
        <w:rPr>
          <w:rFonts w:ascii="Times New Roman" w:cs="Times New Roman" w:eastAsia="Times New Roman" w:hAnsi="Times New Roman"/>
          <w:sz w:val="19"/>
          <w:szCs w:val="19"/>
          <w:b w:val="1"/>
          <w:bCs w:val="1"/>
          <w:color w:val="auto"/>
        </w:rPr>
        <w:t>BANK OF MONTREAL</w:t>
      </w:r>
      <w:r>
        <w:rPr>
          <w:rFonts w:ascii="Times New Roman" w:cs="Times New Roman" w:eastAsia="Times New Roman" w:hAnsi="Times New Roman"/>
          <w:sz w:val="19"/>
          <w:szCs w:val="19"/>
          <w:color w:val="auto"/>
        </w:rPr>
        <w:t>, as Revolving Lender and Issuing Bank</w:t>
      </w: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w:t>
      </w:r>
    </w:p>
    <w:p>
      <w:pPr>
        <w:jc w:val="center"/>
        <w:ind w:right="33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458470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317" w:name="page318"/>
    <w:bookmarkEnd w:id="317"/>
    <w:p>
      <w:pPr>
        <w:ind w:left="3380"/>
        <w:spacing w:after="0"/>
        <w:rPr>
          <w:sz w:val="20"/>
          <w:szCs w:val="20"/>
          <w:color w:val="auto"/>
        </w:rPr>
      </w:pPr>
      <w:r>
        <w:rPr>
          <w:rFonts w:ascii="Times New Roman" w:cs="Times New Roman" w:eastAsia="Times New Roman" w:hAnsi="Times New Roman"/>
          <w:sz w:val="19"/>
          <w:szCs w:val="19"/>
          <w:b w:val="1"/>
          <w:bCs w:val="1"/>
          <w:color w:val="auto"/>
        </w:rPr>
        <w:t>UBS AG, STAMFORD BRANCH</w:t>
      </w:r>
      <w:r>
        <w:rPr>
          <w:rFonts w:ascii="Times New Roman" w:cs="Times New Roman" w:eastAsia="Times New Roman" w:hAnsi="Times New Roman"/>
          <w:sz w:val="19"/>
          <w:szCs w:val="19"/>
          <w:color w:val="auto"/>
        </w:rPr>
        <w:t>, as Revolving Lender and Issuing Bank</w:t>
      </w: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w:t>
      </w:r>
    </w:p>
    <w:p>
      <w:pPr>
        <w:ind w:left="41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321310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0"/>
          </w:cols>
          <w:pgMar w:left="1440" w:top="558" w:right="1059" w:bottom="1440" w:gutter="0" w:footer="0" w:header="0"/>
        </w:sectPr>
      </w:pPr>
    </w:p>
    <w:bookmarkStart w:id="318" w:name="page319"/>
    <w:bookmarkEnd w:id="318"/>
    <w:p>
      <w:pPr>
        <w:ind w:left="3380"/>
        <w:spacing w:after="0" w:line="272" w:lineRule="auto"/>
        <w:rPr>
          <w:sz w:val="20"/>
          <w:szCs w:val="20"/>
          <w:color w:val="auto"/>
        </w:rPr>
      </w:pPr>
      <w:r>
        <w:rPr>
          <w:rFonts w:ascii="Times New Roman" w:cs="Times New Roman" w:eastAsia="Times New Roman" w:hAnsi="Times New Roman"/>
          <w:sz w:val="20"/>
          <w:szCs w:val="20"/>
          <w:b w:val="1"/>
          <w:bCs w:val="1"/>
          <w:color w:val="auto"/>
        </w:rPr>
        <w:t>NOMURA CORPORATE FUNDING AMERICAS, LLC</w:t>
      </w:r>
      <w:r>
        <w:rPr>
          <w:rFonts w:ascii="Times New Roman" w:cs="Times New Roman" w:eastAsia="Times New Roman" w:hAnsi="Times New Roman"/>
          <w:sz w:val="20"/>
          <w:szCs w:val="20"/>
          <w:color w:val="auto"/>
        </w:rPr>
        <w:t>, as Revolving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Issuing Bank</w:t>
      </w:r>
    </w:p>
    <w:p>
      <w:pPr>
        <w:spacing w:after="0" w:line="3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w:t>
      </w:r>
    </w:p>
    <w:p>
      <w:pPr>
        <w:ind w:left="41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877570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558" w:right="51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60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MISTER CAR WASH, INC.</w:t>
            </w:r>
          </w:p>
        </w:tc>
      </w:tr>
      <w:tr>
        <w:trPr>
          <w:trHeight w:val="238"/>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580"/>
        </w:trPr>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4"/>
        </w:trPr>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MCW GC, LLC</w:t>
            </w:r>
          </w:p>
        </w:tc>
        <w:tc>
          <w:tcPr>
            <w:tcW w:w="2880" w:type="dxa"/>
            <w:vAlign w:val="bottom"/>
            <w:shd w:val="clear" w:color="auto" w:fill="CFF0FC"/>
          </w:tcPr>
          <w:p>
            <w:pPr>
              <w:spacing w:after="0"/>
              <w:rPr>
                <w:sz w:val="23"/>
                <w:szCs w:val="2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Shine,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 Wash Headquarters,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Wash Partners,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Clean Streak Ventures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Asset Corp.</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 California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Holdings, Inc.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 Management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West,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CWPS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CWPU Corp.</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DWB Tucson Holdings,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Hotshine Intermediate Co.</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MDKMH Partners. Inc.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Mesquite Logistics,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Mister Car Wash Holdings, Inc.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 Acquisition Sub Corp.</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Sunshine Acquisition Sub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Amzak Carwashes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Acquisition,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Curry Ford,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Opco,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229,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Altamonte,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BBD,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Clermont,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Colonial,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Cutler Bay,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Havendale,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Hillsborough,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Lakeland North,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Lakeland,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Land O Lakes,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Landstar,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Mid Lakeland,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New Tampa,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115"/>
        </w:trPr>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25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Nona,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Oviedo,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Poinciana,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Port Orange,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PSL 9200,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Semoran,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Wesley Chapel,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Red Bug,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Tampa Car Wash Operations,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Acquisition,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Opco,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Bonita,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Colonial,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Daniels,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Goldenwood,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McCall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Naples,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Rattlesnake,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Vintage,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5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735"/>
        </w:trPr>
        <w:tc>
          <w:tcPr>
            <w:tcW w:w="46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333-266286 on Form S-3 and Registration Statement No. 333-257401 on Form S-8 of our reports dated February 24, 2023, relating to the financial statements of Mister Car Wash, Inc., and the effectiveness of Mister Car Wash, Inc.’s internal control over financial reporting appearing in this Annual Report on Form 10-K for the year ended December 31,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 OF THE SECURITIES EXCHANGE ACT OF 1934,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Lai, certify that:</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1.I have reviewed this Annual Report on Form 10-K of Mister Car Wash, Inc.;</w:t>
      </w:r>
    </w:p>
    <w:p>
      <w:pPr>
        <w:spacing w:after="0" w:line="113"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44"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sz w:val="20"/>
          <w:szCs w:val="20"/>
          <w:color w:val="auto"/>
        </w:rPr>
      </w:pPr>
    </w:p>
    <w:p>
      <w:pPr>
        <w:jc w:val="both"/>
        <w:ind w:left="2020" w:hanging="673"/>
        <w:spacing w:after="0" w:line="297"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24, 2023</w:t>
      </w:r>
    </w:p>
    <w:p>
      <w:pPr>
        <w:spacing w:after="0" w:line="31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29210</wp:posOffset>
            </wp:positionV>
            <wp:extent cx="30308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9">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7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John Lai</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Chairperson, President and Chief Executive Officer</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 OF THE SECURITIES EXCHANGE ACT OF 1934,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Jedidiah Gold, certify that:</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1.I have reviewed this Annual Report on Form 10-K of Mister Car Wash, Inc.;</w:t>
      </w:r>
    </w:p>
    <w:p>
      <w:pPr>
        <w:spacing w:after="0" w:line="113"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42"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sz w:val="20"/>
          <w:szCs w:val="20"/>
          <w:color w:val="auto"/>
        </w:rPr>
      </w:pPr>
    </w:p>
    <w:p>
      <w:pPr>
        <w:jc w:val="both"/>
        <w:ind w:left="2020" w:hanging="673"/>
        <w:spacing w:after="0" w:line="297"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24, 2023</w:t>
      </w:r>
    </w:p>
    <w:p>
      <w:pPr>
        <w:spacing w:after="0" w:line="35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29210</wp:posOffset>
            </wp:positionV>
            <wp:extent cx="30480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1">
                      <a:extLst>
                        <a:ext uri="{28A0092B-C50C-407E-A947-70E740481C1C}"/>
                      </a:extLst>
                    </a:blip>
                    <a:srcRect/>
                    <a:stretch>
                      <a:fillRect/>
                    </a:stretch>
                  </pic:blipFill>
                  <pic:spPr bwMode="auto">
                    <a:xfrm>
                      <a:off x="0" y="0"/>
                      <a:ext cx="3048000" cy="8255"/>
                    </a:xfrm>
                    <a:prstGeom prst="rect">
                      <a:avLst/>
                    </a:prstGeom>
                    <a:noFill/>
                  </pic:spPr>
                </pic:pic>
              </a:graphicData>
            </a:graphic>
          </wp:anchor>
        </w:drawing>
      </w:r>
    </w:p>
    <w:p>
      <w:pPr>
        <w:spacing w:after="0" w:line="7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Jedidiah Gold</w:t>
      </w:r>
    </w:p>
    <w:p>
      <w:pPr>
        <w:spacing w:after="0" w:line="3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connection with the Annual Report of Mister Car Wash, Inc. (the "Company") on Form 10-K for the fiscal year ended December 31, 2022, as filed with the Securities and Exchange Commission on the date hereof (the "Report"), I certify, pursuant to 18 U.S.C. Section 1350, as adopted pursuant to Section 906 of the Sarbanes-Oxley Act of 2002, that:</w:t>
      </w:r>
    </w:p>
    <w:p>
      <w:pPr>
        <w:spacing w:after="0" w:line="3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24, 2023</w:t>
      </w:r>
    </w:p>
    <w:p>
      <w:pPr>
        <w:spacing w:after="0" w:line="35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29210</wp:posOffset>
            </wp:positionV>
            <wp:extent cx="30308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3">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6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John Lai</w:t>
      </w:r>
    </w:p>
    <w:p>
      <w:pPr>
        <w:spacing w:after="0" w:line="4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Chairperson, President and Chief Executive Officer</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connection with the Annual Report of Mister Car Wash, Inc. (the "Company") on Form 10-K for the year ended December 31, 2022, as filed with the Securities and Exchange Commission on the date hereof (the "Report"), I certify, pursuant to 18 U.S.C. Section 1350, as adopted pursuant to Section 906 of the Sarbanes-Oxley Act of 2002, that:</w:t>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24, 2023</w:t>
      </w:r>
    </w:p>
    <w:p>
      <w:pPr>
        <w:spacing w:after="0" w:line="35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29210</wp:posOffset>
            </wp:positionV>
            <wp:extent cx="30480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5">
                      <a:extLst>
                        <a:ext uri="{28A0092B-C50C-407E-A947-70E740481C1C}"/>
                      </a:extLst>
                    </a:blip>
                    <a:srcRect/>
                    <a:stretch>
                      <a:fillRect/>
                    </a:stretch>
                  </pic:blipFill>
                  <pic:spPr bwMode="auto">
                    <a:xfrm>
                      <a:off x="0" y="0"/>
                      <a:ext cx="304800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Jedidiah Gold</w:t>
      </w:r>
    </w:p>
    <w:p>
      <w:pPr>
        <w:spacing w:after="0" w:line="4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6" w:name="page327"/>
    <w:bookmarkEnd w:id="3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1CF49"/>
    <w:multiLevelType w:val="hybridMultilevel"/>
    <w:lvl w:ilvl="0">
      <w:lvlJc w:val="left"/>
      <w:lvlText w:val="☒"/>
      <w:numFmt w:val="bullet"/>
      <w:start w:val="1"/>
    </w:lvl>
  </w:abstractNum>
  <w:abstractNum w:abstractNumId="1">
    <w:nsid w:val="6181EF69"/>
    <w:multiLevelType w:val="hybridMultilevel"/>
    <w:lvl w:ilvl="0">
      <w:lvlJc w:val="left"/>
      <w:lvlText w:val="☐"/>
      <w:numFmt w:val="bullet"/>
      <w:start w:val="1"/>
    </w:lvl>
  </w:abstractNum>
  <w:abstractNum w:abstractNumId="2">
    <w:nsid w:val="3E6400E6"/>
    <w:multiLevelType w:val="hybridMultilevel"/>
    <w:lvl w:ilvl="0">
      <w:lvlJc w:val="left"/>
      <w:lvlText w:val="•"/>
      <w:numFmt w:val="bullet"/>
      <w:start w:val="1"/>
    </w:lvl>
  </w:abstractNum>
  <w:abstractNum w:abstractNumId="3">
    <w:nsid w:val="14217E23"/>
    <w:multiLevelType w:val="hybridMultilevel"/>
    <w:lvl w:ilvl="0">
      <w:lvlJc w:val="left"/>
      <w:lvlText w:val="•"/>
      <w:numFmt w:val="bullet"/>
      <w:start w:val="1"/>
    </w:lvl>
  </w:abstractNum>
  <w:abstractNum w:abstractNumId="4">
    <w:nsid w:val="710757D0"/>
    <w:multiLevelType w:val="hybridMultilevel"/>
    <w:lvl w:ilvl="0">
      <w:lvlJc w:val="left"/>
      <w:lvlText w:val="•"/>
      <w:numFmt w:val="bullet"/>
      <w:start w:val="1"/>
    </w:lvl>
  </w:abstractNum>
  <w:abstractNum w:abstractNumId="5">
    <w:nsid w:val="5015CD1A"/>
    <w:multiLevelType w:val="hybridMultilevel"/>
    <w:lvl w:ilvl="0">
      <w:lvlJc w:val="left"/>
      <w:lvlText w:val="•"/>
      <w:numFmt w:val="bullet"/>
      <w:start w:val="1"/>
    </w:lvl>
  </w:abstractNum>
  <w:abstractNum w:abstractNumId="6">
    <w:nsid w:val="424479DA"/>
    <w:multiLevelType w:val="hybridMultilevel"/>
    <w:lvl w:ilvl="0">
      <w:lvlJc w:val="left"/>
      <w:lvlText w:val="•"/>
      <w:numFmt w:val="bullet"/>
      <w:start w:val="1"/>
    </w:lvl>
  </w:abstractNum>
  <w:abstractNum w:abstractNumId="7">
    <w:nsid w:val="1A9A9E69"/>
    <w:multiLevelType w:val="hybridMultilevel"/>
    <w:lvl w:ilvl="0">
      <w:lvlJc w:val="left"/>
      <w:lvlText w:val="•"/>
      <w:numFmt w:val="bullet"/>
      <w:start w:val="1"/>
    </w:lvl>
  </w:abstractNum>
  <w:abstractNum w:abstractNumId="8">
    <w:nsid w:val="475E256A"/>
    <w:multiLevelType w:val="hybridMultilevel"/>
    <w:lvl w:ilvl="0">
      <w:lvlJc w:val="left"/>
      <w:lvlText w:val="•"/>
      <w:numFmt w:val="bullet"/>
      <w:start w:val="1"/>
    </w:lvl>
  </w:abstractNum>
  <w:abstractNum w:abstractNumId="9">
    <w:nsid w:val="368DB37E"/>
    <w:multiLevelType w:val="hybridMultilevel"/>
    <w:lvl w:ilvl="0">
      <w:lvlJc w:val="left"/>
      <w:lvlText w:val="•"/>
      <w:numFmt w:val="bullet"/>
      <w:start w:val="1"/>
    </w:lvl>
  </w:abstractNum>
  <w:abstractNum w:abstractNumId="10">
    <w:nsid w:val="6A3B714C"/>
    <w:multiLevelType w:val="hybridMultilevel"/>
    <w:lvl w:ilvl="0">
      <w:lvlJc w:val="left"/>
      <w:lvlText w:val="•"/>
      <w:numFmt w:val="bullet"/>
      <w:start w:val="1"/>
    </w:lvl>
  </w:abstractNum>
  <w:abstractNum w:abstractNumId="11">
    <w:nsid w:val="327B517E"/>
    <w:multiLevelType w:val="hybridMultilevel"/>
    <w:lvl w:ilvl="0">
      <w:lvlJc w:val="left"/>
      <w:lvlText w:val="•"/>
      <w:numFmt w:val="bullet"/>
      <w:start w:val="1"/>
    </w:lvl>
  </w:abstractNum>
  <w:abstractNum w:abstractNumId="12">
    <w:nsid w:val="1F461B51"/>
    <w:multiLevelType w:val="hybridMultilevel"/>
    <w:lvl w:ilvl="0">
      <w:lvlJc w:val="left"/>
      <w:lvlText w:val="•"/>
      <w:numFmt w:val="bullet"/>
      <w:start w:val="1"/>
    </w:lvl>
  </w:abstractNum>
  <w:abstractNum w:abstractNumId="13">
    <w:nsid w:val="29BACF25"/>
    <w:multiLevelType w:val="hybridMultilevel"/>
    <w:lvl w:ilvl="0">
      <w:lvlJc w:val="left"/>
      <w:lvlText w:val="•"/>
      <w:numFmt w:val="bullet"/>
      <w:start w:val="1"/>
    </w:lvl>
  </w:abstractNum>
  <w:abstractNum w:abstractNumId="14">
    <w:nsid w:val="5D5BABB3"/>
    <w:multiLevelType w:val="hybridMultilevel"/>
    <w:lvl w:ilvl="0">
      <w:lvlJc w:val="left"/>
      <w:lvlText w:val="(%1)"/>
      <w:numFmt w:val="lowerLetter"/>
      <w:start w:val="1"/>
    </w:lvl>
  </w:abstractNum>
  <w:abstractNum w:abstractNumId="15">
    <w:nsid w:val="51BF6B48"/>
    <w:multiLevelType w:val="hybridMultilevel"/>
    <w:lvl w:ilvl="0">
      <w:lvlJc w:val="left"/>
      <w:lvlText w:val="•"/>
      <w:numFmt w:val="bullet"/>
      <w:start w:val="1"/>
    </w:lvl>
  </w:abstractNum>
  <w:abstractNum w:abstractNumId="16">
    <w:nsid w:val="7E0F6384"/>
    <w:multiLevelType w:val="hybridMultilevel"/>
    <w:lvl w:ilvl="0">
      <w:lvlJc w:val="left"/>
      <w:lvlText w:val="%1."/>
      <w:numFmt w:val="decimal"/>
      <w:start w:val="2"/>
    </w:lvl>
  </w:abstractNum>
  <w:abstractNum w:abstractNumId="17">
    <w:nsid w:val="2B4B8B53"/>
    <w:multiLevelType w:val="hybridMultilevel"/>
    <w:lvl w:ilvl="0">
      <w:lvlJc w:val="left"/>
      <w:lvlText w:val="(%1)"/>
      <w:numFmt w:val="decimal"/>
      <w:start w:val="1"/>
    </w:lvl>
  </w:abstractNum>
  <w:abstractNum w:abstractNumId="18">
    <w:nsid w:val="72E3413A"/>
    <w:multiLevelType w:val="hybridMultilevel"/>
    <w:lvl w:ilvl="0">
      <w:lvlJc w:val="left"/>
      <w:lvlText w:val="(%1)"/>
      <w:numFmt w:val="lowerLetter"/>
      <w:start w:val="9"/>
    </w:lvl>
  </w:abstractNum>
  <w:abstractNum w:abstractNumId="19">
    <w:nsid w:val="116AE494"/>
    <w:multiLevelType w:val="hybridMultilevel"/>
    <w:lvl w:ilvl="0">
      <w:lvlJc w:val="left"/>
      <w:lvlText w:val="(%1)"/>
      <w:numFmt w:val="lowerLetter"/>
      <w:start w:val="3"/>
    </w:lvl>
  </w:abstractNum>
  <w:abstractNum w:abstractNumId="20">
    <w:nsid w:val="3494B2FB"/>
    <w:multiLevelType w:val="hybridMultilevel"/>
    <w:lvl w:ilvl="0">
      <w:lvlJc w:val="left"/>
      <w:lvlText w:val="%1."/>
      <w:numFmt w:val="decimal"/>
      <w:start w:val="19"/>
    </w:lvl>
  </w:abstractNum>
  <w:abstractNum w:abstractNumId="21">
    <w:nsid w:val="B13A31"/>
    <w:multiLevelType w:val="hybridMultilevel"/>
    <w:lvl w:ilvl="0">
      <w:lvlJc w:val="left"/>
      <w:lvlText w:val="(%1)"/>
      <w:numFmt w:val="lowerLetter"/>
      <w:start w:val="1"/>
    </w:lvl>
    <w:lvl w:ilvl="1">
      <w:lvlJc w:val="left"/>
      <w:lvlText w:val="%2."/>
      <w:numFmt w:val="decimal"/>
      <w:start w:val="1"/>
    </w:lvl>
  </w:abstractNum>
  <w:abstractNum w:abstractNumId="22">
    <w:nsid w:val="64429599"/>
    <w:multiLevelType w:val="hybridMultilevel"/>
    <w:lvl w:ilvl="0">
      <w:lvlJc w:val="left"/>
      <w:lvlText w:val="%1"/>
      <w:numFmt w:val="decimal"/>
      <w:start w:val="104"/>
    </w:lvl>
  </w:abstractNum>
  <w:abstractNum w:abstractNumId="23">
    <w:nsid w:val="631F1690"/>
    <w:multiLevelType w:val="hybridMultilevel"/>
    <w:lvl w:ilvl="0">
      <w:lvlJc w:val="left"/>
      <w:lvlText w:val="†"/>
      <w:numFmt w:val="bullet"/>
      <w:start w:val="1"/>
    </w:lvl>
  </w:abstractNum>
  <w:abstractNum w:abstractNumId="24">
    <w:nsid w:val="25973E32"/>
    <w:multiLevelType w:val="hybridMultilevel"/>
    <w:lvl w:ilvl="0">
      <w:lvlJc w:val="left"/>
      <w:lvlText w:val="C"/>
      <w:numFmt w:val="bullet"/>
      <w:start w:val="1"/>
    </w:lvl>
  </w:abstractNum>
  <w:abstractNum w:abstractNumId="25">
    <w:nsid w:val="EAD6F57"/>
    <w:multiLevelType w:val="hybridMultilevel"/>
    <w:lvl w:ilvl="0">
      <w:lvlJc w:val="left"/>
      <w:lvlText w:val="E"/>
      <w:numFmt w:val="bullet"/>
      <w:start w:val="1"/>
    </w:lvl>
  </w:abstractNum>
  <w:abstractNum w:abstractNumId="26">
    <w:nsid w:val="6EC9D844"/>
    <w:multiLevelType w:val="hybridMultilevel"/>
    <w:lvl w:ilvl="0">
      <w:lvlJc w:val="left"/>
      <w:lvlText w:val="F"/>
      <w:numFmt w:val="bullet"/>
      <w:start w:val="1"/>
    </w:lvl>
  </w:abstractNum>
  <w:abstractNum w:abstractNumId="27">
    <w:nsid w:val="5C49EAEE"/>
    <w:multiLevelType w:val="hybridMultilevel"/>
    <w:lvl w:ilvl="0">
      <w:lvlJc w:val="left"/>
      <w:lvlText w:val="H"/>
      <w:numFmt w:val="bullet"/>
      <w:start w:val="1"/>
    </w:lvl>
  </w:abstractNum>
  <w:abstractNum w:abstractNumId="28">
    <w:nsid w:val="64AF49B"/>
    <w:multiLevelType w:val="hybridMultilevel"/>
    <w:lvl w:ilvl="0">
      <w:lvlJc w:val="left"/>
      <w:lvlText w:val="(%1)"/>
      <w:numFmt w:val="lowerLetter"/>
      <w:start w:val="1"/>
    </w:lvl>
  </w:abstractNum>
  <w:abstractNum w:abstractNumId="29">
    <w:nsid w:val="397C46BC"/>
    <w:multiLevelType w:val="hybridMultilevel"/>
    <w:lvl w:ilvl="0">
      <w:lvlJc w:val="left"/>
      <w:lvlText w:val="(%1)"/>
      <w:numFmt w:val="lowerLetter"/>
      <w:start w:val="1"/>
    </w:lvl>
  </w:abstractNum>
  <w:abstractNum w:abstractNumId="30">
    <w:nsid w:val="7E448DE9"/>
    <w:multiLevelType w:val="hybridMultilevel"/>
    <w:lvl w:ilvl="0">
      <w:lvlJc w:val="left"/>
      <w:lvlText w:val="(%1)"/>
      <w:numFmt w:val="lowerLetter"/>
      <w:start w:val="2"/>
    </w:lvl>
  </w:abstractNum>
  <w:abstractNum w:abstractNumId="31">
    <w:nsid w:val="5A9CC3E5"/>
    <w:multiLevelType w:val="hybridMultilevel"/>
    <w:lvl w:ilvl="0">
      <w:lvlJc w:val="left"/>
      <w:lvlText w:val="(%1)"/>
      <w:numFmt w:val="lowerLetter"/>
      <w:start w:val="3"/>
    </w:lvl>
  </w:abstractNum>
  <w:abstractNum w:abstractNumId="32">
    <w:nsid w:val="1AFE3625"/>
    <w:multiLevelType w:val="hybridMultilevel"/>
    <w:lvl w:ilvl="0">
      <w:lvlJc w:val="left"/>
      <w:lvlText w:val="%1"/>
      <w:numFmt w:val="lowerLetter"/>
      <w:start w:val="1"/>
    </w:lvl>
    <w:lvl w:ilvl="1">
      <w:lvlJc w:val="left"/>
      <w:lvlText w:val="(%2)"/>
      <w:numFmt w:val="lowerLetter"/>
      <w:start w:val="1"/>
    </w:lvl>
  </w:abstractNum>
  <w:abstractNum w:abstractNumId="33">
    <w:nsid w:val="3CA88ECF"/>
    <w:multiLevelType w:val="hybridMultilevel"/>
    <w:lvl w:ilvl="0">
      <w:lvlJc w:val="left"/>
      <w:lvlText w:val="(%1)"/>
      <w:numFmt w:val="lowerLetter"/>
      <w:start w:val="2"/>
    </w:lvl>
    <w:lvl w:ilvl="1">
      <w:lvlJc w:val="left"/>
      <w:lvlText w:val="(%2)"/>
      <w:numFmt w:val="lowerLetter"/>
      <w:start w:val="9"/>
    </w:lvl>
  </w:abstractNum>
  <w:abstractNum w:abstractNumId="34">
    <w:nsid w:val="6EBE4208"/>
    <w:multiLevelType w:val="hybridMultilevel"/>
    <w:lvl w:ilvl="0">
      <w:lvlJc w:val="left"/>
      <w:lvlText w:val="(%1)"/>
      <w:numFmt w:val="lowerRoman"/>
      <w:start w:val="2"/>
    </w:lvl>
  </w:abstractNum>
  <w:abstractNum w:abstractNumId="35">
    <w:nsid w:val="C058DF5"/>
    <w:multiLevelType w:val="hybridMultilevel"/>
    <w:lvl w:ilvl="0">
      <w:lvlJc w:val="left"/>
      <w:lvlText w:val="(%1)"/>
      <w:numFmt w:val="lowerLetter"/>
      <w:start w:val="3"/>
    </w:lvl>
  </w:abstractNum>
  <w:abstractNum w:abstractNumId="36">
    <w:nsid w:val="CBE5BE9"/>
    <w:multiLevelType w:val="hybridMultilevel"/>
    <w:lvl w:ilvl="0">
      <w:lvlJc w:val="left"/>
      <w:lvlText w:val="%1"/>
      <w:numFmt w:val="lowerLetter"/>
      <w:start w:val="1"/>
    </w:lvl>
    <w:lvl w:ilvl="1">
      <w:lvlJc w:val="left"/>
      <w:lvlText w:val="(%2)"/>
      <w:numFmt w:val="lowerLetter"/>
      <w:start w:val="6"/>
    </w:lvl>
  </w:abstractNum>
  <w:abstractNum w:abstractNumId="37">
    <w:nsid w:val="3102BBE2"/>
    <w:multiLevelType w:val="hybridMultilevel"/>
    <w:lvl w:ilvl="0">
      <w:lvlJc w:val="left"/>
      <w:lvlText w:val="(%1)"/>
      <w:numFmt w:val="lowerLetter"/>
      <w:start w:val="22"/>
    </w:lvl>
    <w:lvl w:ilvl="1">
      <w:lvlJc w:val="left"/>
      <w:lvlText w:val="(%2)"/>
      <w:numFmt w:val="lowerLetter"/>
      <w:start w:val="9"/>
    </w:lvl>
  </w:abstractNum>
  <w:abstractNum w:abstractNumId="38">
    <w:nsid w:val="26A02C5E"/>
    <w:multiLevelType w:val="hybridMultilevel"/>
    <w:lvl w:ilvl="0">
      <w:lvlJc w:val="left"/>
      <w:lvlText w:val="(%1)"/>
      <w:numFmt w:val="lowerLetter"/>
      <w:start w:val="1"/>
    </w:lvl>
  </w:abstractNum>
  <w:abstractNum w:abstractNumId="39">
    <w:nsid w:val="541C8153"/>
    <w:multiLevelType w:val="hybridMultilevel"/>
    <w:lvl w:ilvl="0">
      <w:lvlJc w:val="left"/>
      <w:lvlText w:val="\ldblquote"/>
      <w:numFmt w:val="bullet"/>
      <w:start w:val="1"/>
    </w:lvl>
    <w:lvl w:ilvl="1">
      <w:lvlJc w:val="left"/>
      <w:lvlText w:val="(%2)"/>
      <w:numFmt w:val="lowerLetter"/>
      <w:start w:val="1"/>
    </w:lvl>
  </w:abstractNum>
  <w:abstractNum w:abstractNumId="40">
    <w:nsid w:val="67906F60"/>
    <w:multiLevelType w:val="hybridMultilevel"/>
    <w:lvl w:ilvl="0">
      <w:lvlJc w:val="left"/>
      <w:lvlText w:val="(%1)"/>
      <w:numFmt w:val="lowerLetter"/>
      <w:start w:val="1"/>
    </w:lvl>
  </w:abstractNum>
  <w:abstractNum w:abstractNumId="41">
    <w:nsid w:val="10DB9DAA"/>
    <w:multiLevelType w:val="hybridMultilevel"/>
    <w:lvl w:ilvl="0">
      <w:lvlJc w:val="left"/>
      <w:lvlText w:val="(%1)"/>
      <w:numFmt w:val="lowerLetter"/>
      <w:start w:val="9"/>
    </w:lvl>
  </w:abstractNum>
  <w:abstractNum w:abstractNumId="42">
    <w:nsid w:val="697D2D2"/>
    <w:multiLevelType w:val="hybridMultilevel"/>
    <w:lvl w:ilvl="0">
      <w:lvlJc w:val="left"/>
      <w:lvlText w:val="(%1)"/>
      <w:numFmt w:val="lowerLetter"/>
      <w:start w:val="1"/>
    </w:lvl>
    <w:lvl w:ilvl="1">
      <w:lvlJc w:val="left"/>
      <w:lvlText w:val="(%2)"/>
      <w:numFmt w:val="lowerRoman"/>
      <w:start w:val="1"/>
    </w:lvl>
  </w:abstractNum>
  <w:abstractNum w:abstractNumId="43">
    <w:nsid w:val="6D68AB2"/>
    <w:multiLevelType w:val="hybridMultilevel"/>
    <w:lvl w:ilvl="0">
      <w:lvlJc w:val="left"/>
      <w:lvlText w:val="(%1)"/>
      <w:numFmt w:val="lowerLetter"/>
      <w:start w:val="2"/>
    </w:lvl>
  </w:abstractNum>
  <w:abstractNum w:abstractNumId="44">
    <w:nsid w:val="3A966CD0"/>
    <w:multiLevelType w:val="hybridMultilevel"/>
    <w:lvl w:ilvl="0">
      <w:lvlJc w:val="left"/>
      <w:lvlText w:val="(%1)"/>
      <w:numFmt w:val="lowerLetter"/>
      <w:start w:val="1"/>
    </w:lvl>
    <w:lvl w:ilvl="1">
      <w:lvlJc w:val="left"/>
      <w:lvlText w:val="(%2)"/>
      <w:numFmt w:val="lowerLetter"/>
      <w:start w:val="9"/>
    </w:lvl>
  </w:abstractNum>
  <w:abstractNum w:abstractNumId="45">
    <w:nsid w:val="63F37E85"/>
    <w:multiLevelType w:val="hybridMultilevel"/>
    <w:lvl w:ilvl="0">
      <w:lvlJc w:val="left"/>
      <w:lvlText w:val="%1"/>
      <w:numFmt w:val="upperLetter"/>
      <w:start w:val="1"/>
    </w:lvl>
    <w:lvl w:ilvl="1">
      <w:lvlJc w:val="left"/>
      <w:lvlText w:val="(%2)"/>
      <w:numFmt w:val="lowerRoman"/>
      <w:start w:val="2"/>
    </w:lvl>
  </w:abstractNum>
  <w:abstractNum w:abstractNumId="46">
    <w:nsid w:val="5895F5FA"/>
    <w:multiLevelType w:val="hybridMultilevel"/>
    <w:lvl w:ilvl="0">
      <w:lvlJc w:val="left"/>
      <w:lvlText w:val="(%1)"/>
      <w:numFmt w:val="upperLetter"/>
      <w:start w:val="8"/>
    </w:lvl>
    <w:lvl w:ilvl="1">
      <w:lvlJc w:val="left"/>
      <w:lvlText w:val="%2"/>
      <w:numFmt w:val="lowerRoman"/>
      <w:start w:val="1"/>
    </w:lvl>
  </w:abstractNum>
  <w:abstractNum w:abstractNumId="47">
    <w:nsid w:val="38A5D054"/>
    <w:multiLevelType w:val="hybridMultilevel"/>
    <w:lvl w:ilvl="0">
      <w:lvlJc w:val="left"/>
      <w:lvlText w:val="(%1)"/>
      <w:numFmt w:val="lowerRoman"/>
      <w:start w:val="7"/>
    </w:lvl>
  </w:abstractNum>
  <w:abstractNum w:abstractNumId="48">
    <w:nsid w:val="F3F09D8"/>
    <w:multiLevelType w:val="hybridMultilevel"/>
    <w:lvl w:ilvl="0">
      <w:lvlJc w:val="left"/>
      <w:lvlText w:val="%1"/>
      <w:numFmt w:val="lowerLetter"/>
      <w:start w:val="1"/>
    </w:lvl>
    <w:lvl w:ilvl="1">
      <w:lvlJc w:val="left"/>
      <w:lvlText w:val="(%2)"/>
      <w:numFmt w:val="lowerRoman"/>
      <w:start w:val="16"/>
    </w:lvl>
  </w:abstractNum>
  <w:abstractNum w:abstractNumId="49">
    <w:nsid w:val="4B793735"/>
    <w:multiLevelType w:val="hybridMultilevel"/>
    <w:lvl w:ilvl="0">
      <w:lvlJc w:val="left"/>
      <w:lvlText w:val="(%1)"/>
      <w:numFmt w:val="lowerLetter"/>
      <w:start w:val="2"/>
    </w:lvl>
    <w:lvl w:ilvl="1">
      <w:lvlJc w:val="left"/>
      <w:lvlText w:val="(%2)"/>
      <w:numFmt w:val="lowerRoman"/>
      <w:start w:val="1"/>
    </w:lvl>
  </w:abstractNum>
  <w:abstractNum w:abstractNumId="50">
    <w:nsid w:val="4A10B4E8"/>
    <w:multiLevelType w:val="hybridMultilevel"/>
    <w:lvl w:ilvl="0">
      <w:lvlJc w:val="left"/>
      <w:lvlText w:val="(%1)"/>
      <w:numFmt w:val="lowerLetter"/>
      <w:start w:val="1"/>
    </w:lvl>
  </w:abstractNum>
  <w:abstractNum w:abstractNumId="51">
    <w:nsid w:val="43D3BCD4"/>
    <w:multiLevelType w:val="hybridMultilevel"/>
    <w:lvl w:ilvl="0">
      <w:lvlJc w:val="left"/>
      <w:lvlText w:val="(%1)"/>
      <w:numFmt w:val="lowerLetter"/>
      <w:start w:val="1"/>
    </w:lvl>
  </w:abstractNum>
  <w:abstractNum w:abstractNumId="52">
    <w:nsid w:val="4C2A7166"/>
    <w:multiLevelType w:val="hybridMultilevel"/>
    <w:lvl w:ilvl="0">
      <w:lvlJc w:val="left"/>
      <w:lvlText w:val="(%1)"/>
      <w:numFmt w:val="lowerLetter"/>
      <w:start w:val="6"/>
    </w:lvl>
  </w:abstractNum>
  <w:abstractNum w:abstractNumId="53">
    <w:nsid w:val="2E534A82"/>
    <w:multiLevelType w:val="hybridMultilevel"/>
    <w:lvl w:ilvl="0">
      <w:lvlJc w:val="left"/>
      <w:lvlText w:val="(%1)"/>
      <w:numFmt w:val="lowerLetter"/>
      <w:start w:val="14"/>
    </w:lvl>
  </w:abstractNum>
  <w:abstractNum w:abstractNumId="54">
    <w:nsid w:val="26F2D364"/>
    <w:multiLevelType w:val="hybridMultilevel"/>
    <w:lvl w:ilvl="0">
      <w:lvlJc w:val="left"/>
      <w:lvlText w:val="(%1)"/>
      <w:numFmt w:val="lowerLetter"/>
      <w:start w:val="1"/>
    </w:lvl>
    <w:lvl w:ilvl="1">
      <w:lvlJc w:val="left"/>
      <w:lvlText w:val="(%2)"/>
      <w:numFmt w:val="lowerRoman"/>
      <w:start w:val="1"/>
    </w:lvl>
  </w:abstractNum>
  <w:abstractNum w:abstractNumId="55">
    <w:nsid w:val="71C1AF98"/>
    <w:multiLevelType w:val="hybridMultilevel"/>
    <w:lvl w:ilvl="0">
      <w:lvlJc w:val="left"/>
      <w:lvlText w:val="(%1)"/>
      <w:numFmt w:val="lowerRoman"/>
      <w:start w:val="2"/>
    </w:lvl>
  </w:abstractNum>
  <w:abstractNum w:abstractNumId="56">
    <w:nsid w:val="3D00B9D9"/>
    <w:multiLevelType w:val="hybridMultilevel"/>
    <w:lvl w:ilvl="0">
      <w:lvlJc w:val="left"/>
      <w:lvlText w:val="(%1)"/>
      <w:numFmt w:val="lowerLetter"/>
      <w:start w:val="1"/>
    </w:lvl>
  </w:abstractNum>
  <w:abstractNum w:abstractNumId="57">
    <w:nsid w:val="15BCABA8"/>
    <w:multiLevelType w:val="hybridMultilevel"/>
    <w:lvl w:ilvl="0">
      <w:lvlJc w:val="left"/>
      <w:lvlText w:val="(%1)"/>
      <w:numFmt w:val="lowerLetter"/>
      <w:start w:val="2"/>
    </w:lvl>
  </w:abstractNum>
  <w:abstractNum w:abstractNumId="58">
    <w:nsid w:val="4E0B9A87"/>
    <w:multiLevelType w:val="hybridMultilevel"/>
    <w:lvl w:ilvl="0">
      <w:lvlJc w:val="left"/>
      <w:lvlText w:val="(%1)"/>
      <w:numFmt w:val="lowerRoman"/>
      <w:start w:val="2"/>
    </w:lvl>
  </w:abstractNum>
  <w:abstractNum w:abstractNumId="59">
    <w:nsid w:val="434BAE75"/>
    <w:multiLevelType w:val="hybridMultilevel"/>
    <w:lvl w:ilvl="0">
      <w:lvlJc w:val="left"/>
      <w:lvlText w:val="(%1)"/>
      <w:numFmt w:val="lowerLetter"/>
      <w:start w:val="1"/>
    </w:lvl>
  </w:abstractNum>
  <w:abstractNum w:abstractNumId="60">
    <w:nsid w:val="4F38F265"/>
    <w:multiLevelType w:val="hybridMultilevel"/>
    <w:lvl w:ilvl="0">
      <w:lvlJc w:val="left"/>
      <w:lvlText w:val="(%1)"/>
      <w:numFmt w:val="lowerLetter"/>
      <w:start w:val="4"/>
    </w:lvl>
  </w:abstractNum>
  <w:abstractNum w:abstractNumId="61">
    <w:nsid w:val="4C502870"/>
    <w:multiLevelType w:val="hybridMultilevel"/>
    <w:lvl w:ilvl="0">
      <w:lvlJc w:val="left"/>
      <w:lvlText w:val="(%1)"/>
      <w:numFmt w:val="lowerLetter"/>
      <w:start w:val="1"/>
    </w:lvl>
  </w:abstractNum>
  <w:abstractNum w:abstractNumId="62">
    <w:nsid w:val="1DE8725A"/>
    <w:multiLevelType w:val="hybridMultilevel"/>
    <w:lvl w:ilvl="0">
      <w:lvlJc w:val="left"/>
      <w:lvlText w:val="(%1)"/>
      <w:numFmt w:val="lowerLetter"/>
      <w:start w:val="1"/>
    </w:lvl>
  </w:abstractNum>
  <w:abstractNum w:abstractNumId="63">
    <w:nsid w:val="6A37288A"/>
    <w:multiLevelType w:val="hybridMultilevel"/>
    <w:lvl w:ilvl="0">
      <w:lvlJc w:val="left"/>
      <w:lvlText w:val="(%1)"/>
      <w:numFmt w:val="lowerLetter"/>
      <w:start w:val="2"/>
    </w:lvl>
  </w:abstractNum>
  <w:abstractNum w:abstractNumId="64">
    <w:nsid w:val="8F8B73F"/>
    <w:multiLevelType w:val="hybridMultilevel"/>
    <w:lvl w:ilvl="0">
      <w:lvlJc w:val="left"/>
      <w:lvlText w:val="(%1)"/>
      <w:numFmt w:val="lowerLetter"/>
      <w:start w:val="5"/>
    </w:lvl>
  </w:abstractNum>
  <w:abstractNum w:abstractNumId="65">
    <w:nsid w:val="CA6B462"/>
    <w:multiLevelType w:val="hybridMultilevel"/>
    <w:lvl w:ilvl="0">
      <w:lvlJc w:val="left"/>
      <w:lvlText w:val="%1"/>
      <w:numFmt w:val="lowerLetter"/>
      <w:start w:val="1"/>
    </w:lvl>
    <w:lvl w:ilvl="1">
      <w:lvlJc w:val="left"/>
      <w:lvlText w:val="(%2)"/>
      <w:numFmt w:val="lowerLetter"/>
      <w:start w:val="1"/>
    </w:lvl>
  </w:abstractNum>
  <w:abstractNum w:abstractNumId="66">
    <w:nsid w:val="763CB680"/>
    <w:multiLevelType w:val="hybridMultilevel"/>
    <w:lvl w:ilvl="0">
      <w:lvlJc w:val="left"/>
      <w:lvlText w:val="(%1)"/>
      <w:numFmt w:val="lowerLetter"/>
      <w:start w:val="9"/>
    </w:lvl>
    <w:lvl w:ilvl="1">
      <w:lvlJc w:val="left"/>
      <w:lvlText w:val="(%2)"/>
      <w:numFmt w:val="lowerLetter"/>
      <w:start w:val="2"/>
    </w:lvl>
  </w:abstractNum>
  <w:abstractNum w:abstractNumId="67">
    <w:nsid w:val="15B71329"/>
    <w:multiLevelType w:val="hybridMultilevel"/>
    <w:lvl w:ilvl="0">
      <w:lvlJc w:val="left"/>
      <w:lvlText w:val="(%1)"/>
      <w:numFmt w:val="lowerLetter"/>
      <w:start w:val="3"/>
    </w:lvl>
  </w:abstractNum>
  <w:abstractNum w:abstractNumId="68">
    <w:nsid w:val="3DA97044"/>
    <w:multiLevelType w:val="hybridMultilevel"/>
    <w:lvl w:ilvl="0">
      <w:lvlJc w:val="left"/>
      <w:lvlText w:val="(%1)"/>
      <w:numFmt w:val="lowerLetter"/>
      <w:start w:val="1"/>
    </w:lvl>
    <w:lvl w:ilvl="1">
      <w:lvlJc w:val="left"/>
      <w:lvlText w:val="(%2)"/>
      <w:numFmt w:val="lowerRoman"/>
      <w:start w:val="1"/>
    </w:lvl>
  </w:abstractNum>
  <w:abstractNum w:abstractNumId="69">
    <w:nsid w:val="1CDCE2DE"/>
    <w:multiLevelType w:val="hybridMultilevel"/>
    <w:lvl w:ilvl="0">
      <w:lvlJc w:val="left"/>
      <w:lvlText w:val="%1"/>
      <w:numFmt w:val="lowerLetter"/>
      <w:start w:val="1"/>
    </w:lvl>
    <w:lvl w:ilvl="1">
      <w:lvlJc w:val="left"/>
      <w:lvlText w:val="(%2)"/>
      <w:numFmt w:val="lowerRoman"/>
      <w:start w:val="6"/>
    </w:lvl>
  </w:abstractNum>
  <w:abstractNum w:abstractNumId="70">
    <w:nsid w:val="69D3947C"/>
    <w:multiLevelType w:val="hybridMultilevel"/>
    <w:lvl w:ilvl="0">
      <w:lvlJc w:val="left"/>
      <w:lvlText w:val="(%1)"/>
      <w:numFmt w:val="lowerLetter"/>
      <w:start w:val="2"/>
    </w:lvl>
    <w:lvl w:ilvl="1">
      <w:lvlJc w:val="left"/>
      <w:lvlText w:val="(%2)"/>
      <w:numFmt w:val="lowerRoman"/>
      <w:start w:val="1"/>
    </w:lvl>
  </w:abstractNum>
  <w:abstractNum w:abstractNumId="71">
    <w:nsid w:val="2539DFA5"/>
    <w:multiLevelType w:val="hybridMultilevel"/>
    <w:lvl w:ilvl="0">
      <w:lvlJc w:val="left"/>
      <w:lvlText w:val="(%1)"/>
      <w:numFmt w:val="lowerRoman"/>
      <w:start w:val="8"/>
    </w:lvl>
  </w:abstractNum>
  <w:abstractNum w:abstractNumId="72">
    <w:nsid w:val="2DB88089"/>
    <w:multiLevelType w:val="hybridMultilevel"/>
    <w:lvl w:ilvl="0">
      <w:lvlJc w:val="left"/>
      <w:lvlText w:val="(%1)"/>
      <w:numFmt w:val="lowerLetter"/>
      <w:start w:val="1"/>
    </w:lvl>
  </w:abstractNum>
  <w:abstractNum w:abstractNumId="73">
    <w:nsid w:val="706B674E"/>
    <w:multiLevelType w:val="hybridMultilevel"/>
    <w:lvl w:ilvl="0">
      <w:lvlJc w:val="left"/>
      <w:lvlText w:val="(%1)"/>
      <w:numFmt w:val="lowerLetter"/>
      <w:start w:val="10"/>
    </w:lvl>
  </w:abstractNum>
  <w:abstractNum w:abstractNumId="74">
    <w:nsid w:val="2C106A57"/>
    <w:multiLevelType w:val="hybridMultilevel"/>
    <w:lvl w:ilvl="0">
      <w:lvlJc w:val="left"/>
      <w:lvlText w:val="(%1)"/>
      <w:numFmt w:val="lowerLetter"/>
      <w:start w:val="1"/>
    </w:lvl>
    <w:lvl w:ilvl="1">
      <w:lvlJc w:val="left"/>
      <w:lvlText w:val="(%2)"/>
      <w:numFmt w:val="lowerRoman"/>
      <w:start w:val="1"/>
    </w:lvl>
  </w:abstractNum>
  <w:abstractNum w:abstractNumId="75">
    <w:nsid w:val="684EED59"/>
    <w:multiLevelType w:val="hybridMultilevel"/>
    <w:lvl w:ilvl="0">
      <w:lvlJc w:val="left"/>
      <w:lvlText w:val="(%1)"/>
      <w:numFmt w:val="lowerLetter"/>
      <w:start w:val="1"/>
    </w:lvl>
  </w:abstractNum>
  <w:abstractNum w:abstractNumId="76">
    <w:nsid w:val="545EE5D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77">
    <w:nsid w:val="4A66051"/>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78">
    <w:nsid w:val="20F4BDAD"/>
    <w:multiLevelType w:val="hybridMultilevel"/>
    <w:lvl w:ilvl="0">
      <w:lvlJc w:val="left"/>
      <w:lvlText w:val="(%1)"/>
      <w:numFmt w:val="lowerLetter"/>
      <w:start w:val="5"/>
    </w:lvl>
  </w:abstractNum>
  <w:abstractNum w:abstractNumId="79">
    <w:nsid w:val="639DEFAC"/>
    <w:multiLevelType w:val="hybridMultilevel"/>
    <w:lvl w:ilvl="0">
      <w:lvlJc w:val="left"/>
      <w:lvlText w:val="(%1)"/>
      <w:numFmt w:val="lowerLetter"/>
      <w:start w:val="1"/>
    </w:lvl>
  </w:abstractNum>
  <w:abstractNum w:abstractNumId="80">
    <w:nsid w:val="501F9786"/>
    <w:multiLevelType w:val="hybridMultilevel"/>
    <w:lvl w:ilvl="0">
      <w:lvlJc w:val="left"/>
      <w:lvlText w:val="(%1)"/>
      <w:numFmt w:val="lowerLetter"/>
      <w:start w:val="1"/>
    </w:lvl>
  </w:abstractNum>
  <w:abstractNum w:abstractNumId="81">
    <w:nsid w:val="6B057295"/>
    <w:multiLevelType w:val="hybridMultilevel"/>
    <w:lvl w:ilvl="0">
      <w:lvlJc w:val="left"/>
      <w:lvlText w:val="(%1)"/>
      <w:numFmt w:val="lowerLetter"/>
      <w:start w:val="1"/>
    </w:lvl>
  </w:abstractNum>
  <w:abstractNum w:abstractNumId="82">
    <w:nsid w:val="2771AC80"/>
    <w:multiLevelType w:val="hybridMultilevel"/>
    <w:lvl w:ilvl="0">
      <w:lvlJc w:val="left"/>
      <w:lvlText w:val="(%1)"/>
      <w:numFmt w:val="lowerLetter"/>
      <w:start w:val="2"/>
    </w:lvl>
  </w:abstractNum>
  <w:abstractNum w:abstractNumId="83">
    <w:nsid w:val="1C4A08EC"/>
    <w:multiLevelType w:val="hybridMultilevel"/>
    <w:lvl w:ilvl="0">
      <w:lvlJc w:val="left"/>
      <w:lvlText w:val="(%1)"/>
      <w:numFmt w:val="lowerRoman"/>
      <w:start w:val="1"/>
    </w:lvl>
    <w:lvl w:ilvl="1">
      <w:lvlJc w:val="left"/>
      <w:lvlText w:val="(%2)"/>
      <w:numFmt w:val="upperLetter"/>
      <w:start w:val="1"/>
    </w:lvl>
  </w:abstractNum>
  <w:abstractNum w:abstractNumId="84">
    <w:nsid w:val="1958BD17"/>
    <w:multiLevelType w:val="hybridMultilevel"/>
    <w:lvl w:ilvl="0">
      <w:lvlJc w:val="left"/>
      <w:lvlText w:val="(%1)"/>
      <w:numFmt w:val="lowerLetter"/>
      <w:start w:val="2"/>
    </w:lvl>
    <w:lvl w:ilvl="1">
      <w:lvlJc w:val="left"/>
      <w:lvlText w:val="(%2)"/>
      <w:numFmt w:val="lowerRoman"/>
      <w:start w:val="1"/>
    </w:lvl>
  </w:abstractNum>
  <w:abstractNum w:abstractNumId="85">
    <w:nsid w:val="4E647FE4"/>
    <w:multiLevelType w:val="hybridMultilevel"/>
    <w:lvl w:ilvl="0">
      <w:lvlJc w:val="left"/>
      <w:lvlText w:val="(%1)"/>
      <w:numFmt w:val="lowerLetter"/>
      <w:start w:val="1"/>
    </w:lvl>
  </w:abstractNum>
  <w:abstractNum w:abstractNumId="86">
    <w:nsid w:val="E0BB885"/>
    <w:multiLevelType w:val="hybridMultilevel"/>
    <w:lvl w:ilvl="0">
      <w:lvlJc w:val="left"/>
      <w:lvlText w:val="(%1)"/>
      <w:numFmt w:val="lowerLetter"/>
      <w:start w:val="1"/>
    </w:lvl>
  </w:abstractNum>
  <w:abstractNum w:abstractNumId="87">
    <w:nsid w:val="565976F1"/>
    <w:multiLevelType w:val="hybridMultilevel"/>
    <w:lvl w:ilvl="0">
      <w:lvlJc w:val="left"/>
      <w:lvlText w:val="(%1)"/>
      <w:numFmt w:val="lowerLetter"/>
      <w:start w:val="3"/>
    </w:lvl>
  </w:abstractNum>
  <w:abstractNum w:abstractNumId="88">
    <w:nsid w:val="64212B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
    <w:nsid w:val="5C17530C"/>
    <w:multiLevelType w:val="hybridMultilevel"/>
    <w:lvl w:ilvl="0">
      <w:lvlJc w:val="left"/>
      <w:lvlText w:val="(%1)"/>
      <w:numFmt w:val="lowerRoman"/>
      <w:start w:val="3"/>
    </w:lvl>
    <w:lvl w:ilvl="1">
      <w:lvlJc w:val="left"/>
      <w:lvlText w:val="(%2)"/>
      <w:numFmt w:val="upperLetter"/>
      <w:start w:val="1"/>
    </w:lvl>
  </w:abstractNum>
  <w:abstractNum w:abstractNumId="90">
    <w:nsid w:val="19A52566"/>
    <w:multiLevelType w:val="hybridMultilevel"/>
    <w:lvl w:ilvl="0">
      <w:lvlJc w:val="left"/>
      <w:lvlText w:val="(%1)"/>
      <w:numFmt w:val="lowerLetter"/>
      <w:start w:val="2"/>
    </w:lvl>
  </w:abstractNum>
  <w:abstractNum w:abstractNumId="91">
    <w:nsid w:val="335A1DF1"/>
    <w:multiLevelType w:val="hybridMultilevel"/>
    <w:lvl w:ilvl="0">
      <w:lvlJc w:val="left"/>
      <w:lvlText w:val="(%1)"/>
      <w:numFmt w:val="lowerLetter"/>
      <w:start w:val="1"/>
    </w:lvl>
  </w:abstractNum>
  <w:abstractNum w:abstractNumId="92">
    <w:nsid w:val="28677B7C"/>
    <w:multiLevelType w:val="hybridMultilevel"/>
    <w:lvl w:ilvl="0">
      <w:lvlJc w:val="left"/>
      <w:lvlText w:val="(%1)"/>
      <w:numFmt w:val="lowerLetter"/>
      <w:start w:val="3"/>
    </w:lvl>
    <w:lvl w:ilvl="1">
      <w:lvlJc w:val="left"/>
      <w:lvlText w:val="(%2)"/>
      <w:numFmt w:val="lowerRoman"/>
      <w:start w:val="1"/>
    </w:lvl>
  </w:abstractNum>
  <w:abstractNum w:abstractNumId="93">
    <w:nsid w:val="378D97C0"/>
    <w:multiLevelType w:val="hybridMultilevel"/>
    <w:lvl w:ilvl="0">
      <w:lvlJc w:val="left"/>
      <w:lvlText w:val="%1"/>
      <w:numFmt w:val="lowerLetter"/>
      <w:start w:val="1"/>
    </w:lvl>
    <w:lvl w:ilvl="1">
      <w:lvlJc w:val="left"/>
      <w:lvlText w:val="(%2)"/>
      <w:numFmt w:val="lowerLetter"/>
      <w:start w:val="22"/>
    </w:lvl>
  </w:abstractNum>
  <w:abstractNum w:abstractNumId="94">
    <w:nsid w:val="1D91467C"/>
    <w:multiLevelType w:val="hybridMultilevel"/>
    <w:lvl w:ilvl="0">
      <w:lvlJc w:val="left"/>
      <w:lvlText w:val="(%1)"/>
      <w:numFmt w:val="lowerLetter"/>
      <w:start w:val="5"/>
    </w:lvl>
    <w:lvl w:ilvl="1">
      <w:lvlJc w:val="left"/>
      <w:lvlText w:val="%2"/>
      <w:numFmt w:val="lowerLetter"/>
      <w:start w:val="1"/>
    </w:lvl>
  </w:abstractNum>
  <w:abstractNum w:abstractNumId="95">
    <w:nsid w:val="316032BB"/>
    <w:multiLevelType w:val="hybridMultilevel"/>
    <w:lvl w:ilvl="0">
      <w:lvlJc w:val="left"/>
      <w:lvlText w:val="(%1)"/>
      <w:numFmt w:val="lowerLetter"/>
      <w:start w:val="1"/>
    </w:lvl>
  </w:abstractNum>
  <w:abstractNum w:abstractNumId="96">
    <w:nsid w:val="44344C22"/>
    <w:multiLevelType w:val="hybridMultilevel"/>
    <w:lvl w:ilvl="0">
      <w:lvlJc w:val="left"/>
      <w:lvlText w:val="(%1)"/>
      <w:numFmt w:val="lowerLetter"/>
      <w:start w:val="1"/>
    </w:lvl>
    <w:lvl w:ilvl="1">
      <w:lvlJc w:val="left"/>
      <w:lvlText w:val="(%2)"/>
      <w:numFmt w:val="lowerRoman"/>
      <w:start w:val="1"/>
    </w:lvl>
  </w:abstractNum>
  <w:abstractNum w:abstractNumId="97">
    <w:nsid w:val="13CDFCFC"/>
    <w:multiLevelType w:val="hybridMultilevel"/>
    <w:lvl w:ilvl="0">
      <w:lvlJc w:val="left"/>
      <w:lvlText w:val="(%1)"/>
      <w:numFmt w:val="lowerLetter"/>
      <w:start w:val="1"/>
    </w:lvl>
  </w:abstractNum>
  <w:abstractNum w:abstractNumId="98">
    <w:nsid w:val="471745E4"/>
    <w:multiLevelType w:val="hybridMultilevel"/>
    <w:lvl w:ilvl="0">
      <w:lvlJc w:val="left"/>
      <w:lvlText w:val="(%1)"/>
      <w:numFmt w:val="lowerRoman"/>
      <w:start w:val="2"/>
    </w:lvl>
  </w:abstractNum>
  <w:abstractNum w:abstractNumId="99">
    <w:nsid w:val="1DDBC66"/>
    <w:multiLevelType w:val="hybridMultilevel"/>
    <w:lvl w:ilvl="0">
      <w:lvlJc w:val="left"/>
      <w:lvlText w:val="(%1)"/>
      <w:numFmt w:val="lowerLetter"/>
      <w:start w:val="1"/>
    </w:lvl>
  </w:abstractNum>
  <w:abstractNum w:abstractNumId="100">
    <w:nsid w:val="30AADFDA"/>
    <w:multiLevelType w:val="hybridMultilevel"/>
    <w:lvl w:ilvl="0">
      <w:lvlJc w:val="left"/>
      <w:lvlText w:val="(%1)"/>
      <w:numFmt w:val="lowerLetter"/>
      <w:start w:val="1"/>
    </w:lvl>
  </w:abstractNum>
  <w:abstractNum w:abstractNumId="101">
    <w:nsid w:val="30EADA61"/>
    <w:multiLevelType w:val="hybridMultilevel"/>
    <w:lvl w:ilvl="0">
      <w:lvlJc w:val="left"/>
      <w:lvlText w:val="(%1)"/>
      <w:numFmt w:val="lowerLetter"/>
      <w:start w:val="1"/>
    </w:lvl>
  </w:abstractNum>
  <w:abstractNum w:abstractNumId="102">
    <w:nsid w:val="27179C0B"/>
    <w:multiLevelType w:val="hybridMultilevel"/>
    <w:lvl w:ilvl="0">
      <w:lvlJc w:val="left"/>
      <w:lvlText w:val="(%1)"/>
      <w:numFmt w:val="lowerLetter"/>
      <w:start w:val="1"/>
    </w:lvl>
    <w:lvl w:ilvl="1">
      <w:lvlJc w:val="left"/>
      <w:lvlText w:val="(%2)"/>
      <w:numFmt w:val="lowerRoman"/>
      <w:start w:val="2"/>
    </w:lvl>
  </w:abstractNum>
  <w:abstractNum w:abstractNumId="103">
    <w:nsid w:val="5E636063"/>
    <w:multiLevelType w:val="hybridMultilevel"/>
    <w:lvl w:ilvl="0">
      <w:lvlJc w:val="left"/>
      <w:lvlText w:val="(%1)"/>
      <w:numFmt w:val="lowerLetter"/>
      <w:start w:val="1"/>
    </w:lvl>
  </w:abstractNum>
  <w:abstractNum w:abstractNumId="104">
    <w:nsid w:val="215641AF"/>
    <w:multiLevelType w:val="hybridMultilevel"/>
    <w:lvl w:ilvl="0">
      <w:lvlJc w:val="left"/>
      <w:lvlText w:val="(%1)"/>
      <w:numFmt w:val="lowerLetter"/>
      <w:start w:val="3"/>
    </w:lvl>
  </w:abstractNum>
  <w:abstractNum w:abstractNumId="105">
    <w:nsid w:val="53280662"/>
    <w:multiLevelType w:val="hybridMultilevel"/>
    <w:lvl w:ilvl="0">
      <w:lvlJc w:val="left"/>
      <w:lvlText w:val="(%1)"/>
      <w:numFmt w:val="lowerRoman"/>
      <w:start w:val="4"/>
    </w:lvl>
    <w:lvl w:ilvl="1">
      <w:lvlJc w:val="left"/>
      <w:lvlText w:val="(%2)"/>
      <w:numFmt w:val="lowerLetter"/>
      <w:start w:val="6"/>
    </w:lvl>
  </w:abstractNum>
  <w:abstractNum w:abstractNumId="106">
    <w:nsid w:val="46B24DBC"/>
    <w:multiLevelType w:val="hybridMultilevel"/>
    <w:lvl w:ilvl="0">
      <w:lvlJc w:val="left"/>
      <w:lvlText w:val="(%1)"/>
      <w:numFmt w:val="lowerLetter"/>
      <w:start w:val="7"/>
    </w:lvl>
  </w:abstractNum>
  <w:abstractNum w:abstractNumId="107">
    <w:nsid w:val="75B52783"/>
    <w:multiLevelType w:val="hybridMultilevel"/>
    <w:lvl w:ilvl="0">
      <w:lvlJc w:val="left"/>
      <w:lvlText w:val="(%1)"/>
      <w:numFmt w:val="lowerLetter"/>
      <w:start w:val="1"/>
    </w:lvl>
  </w:abstractNum>
  <w:abstractNum w:abstractNumId="108">
    <w:nsid w:val="57CE66B4"/>
    <w:multiLevelType w:val="hybridMultilevel"/>
    <w:lvl w:ilvl="0">
      <w:lvlJc w:val="left"/>
      <w:lvlText w:val="(%1)"/>
      <w:numFmt w:val="lowerLetter"/>
      <w:start w:val="2"/>
    </w:lvl>
  </w:abstractNum>
  <w:abstractNum w:abstractNumId="109">
    <w:nsid w:val="67A70B69"/>
    <w:multiLevelType w:val="hybridMultilevel"/>
    <w:lvl w:ilvl="0">
      <w:lvlJc w:val="left"/>
      <w:lvlText w:val="(%1)"/>
      <w:numFmt w:val="lowerLetter"/>
      <w:start w:val="1"/>
    </w:lvl>
  </w:abstractNum>
  <w:abstractNum w:abstractNumId="110">
    <w:nsid w:val="5953172F"/>
    <w:multiLevelType w:val="hybridMultilevel"/>
    <w:lvl w:ilvl="0">
      <w:lvlJc w:val="left"/>
      <w:lvlText w:val="(%1)"/>
      <w:numFmt w:val="lowerLetter"/>
      <w:start w:val="4"/>
    </w:lvl>
  </w:abstractNum>
  <w:abstractNum w:abstractNumId="111">
    <w:nsid w:val="27EDFE3A"/>
    <w:multiLevelType w:val="hybridMultilevel"/>
    <w:lvl w:ilvl="0">
      <w:lvlJc w:val="left"/>
      <w:lvlText w:val="(%1)"/>
      <w:numFmt w:val="lowerLetter"/>
      <w:start w:val="1"/>
    </w:lvl>
    <w:lvl w:ilvl="1">
      <w:lvlJc w:val="left"/>
      <w:lvlText w:val="(%2)"/>
      <w:numFmt w:val="lowerLetter"/>
      <w:start w:val="9"/>
    </w:lvl>
  </w:abstractNum>
  <w:abstractNum w:abstractNumId="112">
    <w:nsid w:val="52AC7DFF"/>
    <w:multiLevelType w:val="hybridMultilevel"/>
    <w:lvl w:ilvl="0">
      <w:lvlJc w:val="left"/>
      <w:lvlText w:val="%1"/>
      <w:numFmt w:val="upperLetter"/>
      <w:start w:val="1"/>
    </w:lvl>
    <w:lvl w:ilvl="1">
      <w:lvlJc w:val="left"/>
      <w:lvlText w:val="(%2)"/>
      <w:numFmt w:val="lowerRoman"/>
      <w:start w:val="2"/>
    </w:lvl>
  </w:abstractNum>
  <w:abstractNum w:abstractNumId="113">
    <w:nsid w:val="C4C3AF"/>
    <w:multiLevelType w:val="hybridMultilevel"/>
    <w:lvl w:ilvl="0">
      <w:lvlJc w:val="left"/>
      <w:lvlText w:val="(%1)"/>
      <w:numFmt w:val="upperLetter"/>
      <w:start w:val="4"/>
    </w:lvl>
    <w:lvl w:ilvl="1">
      <w:lvlJc w:val="left"/>
      <w:lvlText w:val="(%2)"/>
      <w:numFmt w:val="lowerRoman"/>
      <w:start w:val="3"/>
    </w:lvl>
  </w:abstractNum>
  <w:abstractNum w:abstractNumId="114">
    <w:nsid w:val="44380727"/>
    <w:multiLevelType w:val="hybridMultilevel"/>
    <w:lvl w:ilvl="0">
      <w:lvlJc w:val="left"/>
      <w:lvlText w:val="(%1)"/>
      <w:numFmt w:val="lowerLetter"/>
      <w:start w:val="1"/>
    </w:lvl>
  </w:abstractNum>
  <w:abstractNum w:abstractNumId="115">
    <w:nsid w:val="6C053B16"/>
    <w:multiLevelType w:val="hybridMultilevel"/>
    <w:lvl w:ilvl="0">
      <w:lvlJc w:val="left"/>
      <w:lvlText w:val="(%1)"/>
      <w:numFmt w:val="lowerLetter"/>
      <w:start w:val="2"/>
    </w:lvl>
    <w:lvl w:ilvl="1">
      <w:lvlJc w:val="left"/>
      <w:lvlText w:val="(%2)"/>
      <w:numFmt w:val="lowerRoman"/>
      <w:start w:val="1"/>
    </w:lvl>
  </w:abstractNum>
  <w:abstractNum w:abstractNumId="116">
    <w:nsid w:val="4F294393"/>
    <w:multiLevelType w:val="hybridMultilevel"/>
    <w:lvl w:ilvl="0">
      <w:lvlJc w:val="left"/>
      <w:lvlText w:val="(%1)"/>
      <w:numFmt w:val="lowerRoman"/>
      <w:start w:val="3"/>
    </w:lvl>
  </w:abstractNum>
  <w:abstractNum w:abstractNumId="117">
    <w:nsid w:val="5243BFAC"/>
    <w:multiLevelType w:val="hybridMultilevel"/>
    <w:lvl w:ilvl="0">
      <w:lvlJc w:val="left"/>
      <w:lvlText w:val="(%1)"/>
      <w:numFmt w:val="lowerLetter"/>
      <w:start w:val="1"/>
    </w:lvl>
  </w:abstractNum>
  <w:abstractNum w:abstractNumId="118">
    <w:nsid w:val="425EB207"/>
    <w:multiLevelType w:val="hybridMultilevel"/>
    <w:lvl w:ilvl="0">
      <w:lvlJc w:val="left"/>
      <w:lvlText w:val="(%1)"/>
      <w:numFmt w:val="lowerLetter"/>
      <w:start w:val="3"/>
    </w:lvl>
    <w:lvl w:ilvl="1">
      <w:lvlJc w:val="left"/>
      <w:lvlText w:val="(%2)"/>
      <w:numFmt w:val="lowerRoman"/>
      <w:start w:val="1"/>
    </w:lvl>
  </w:abstractNum>
  <w:abstractNum w:abstractNumId="119">
    <w:nsid w:val="334A6F1F"/>
    <w:multiLevelType w:val="hybridMultilevel"/>
    <w:lvl w:ilvl="0">
      <w:lvlJc w:val="left"/>
      <w:lvlText w:val="%1"/>
      <w:numFmt w:val="lowerLetter"/>
      <w:start w:val="1"/>
    </w:lvl>
    <w:lvl w:ilvl="1">
      <w:lvlJc w:val="left"/>
      <w:lvlText w:val="(%2)"/>
      <w:numFmt w:val="lowerRoman"/>
      <w:start w:val="4"/>
    </w:lvl>
  </w:abstractNum>
  <w:abstractNum w:abstractNumId="120">
    <w:nsid w:val="2E5B12B8"/>
    <w:multiLevelType w:val="hybridMultilevel"/>
    <w:lvl w:ilvl="0">
      <w:lvlJc w:val="left"/>
      <w:lvlText w:val="(%1)"/>
      <w:numFmt w:val="lowerLetter"/>
      <w:start w:val="4"/>
    </w:lvl>
    <w:lvl w:ilvl="1">
      <w:lvlJc w:val="left"/>
      <w:lvlText w:val="(%2)"/>
      <w:numFmt w:val="lowerRoman"/>
      <w:start w:val="1"/>
    </w:lvl>
  </w:abstractNum>
  <w:abstractNum w:abstractNumId="121">
    <w:nsid w:val="5C03D76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2">
    <w:nsid w:val="66A48D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23">
    <w:nsid w:val="56C28E3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24">
    <w:nsid w:val="13916F2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435D38D"/>
    <w:multiLevelType w:val="hybridMultilevel"/>
    <w:lvl w:ilvl="0">
      <w:lvlJc w:val="left"/>
      <w:lvlText w:val="%1"/>
      <w:numFmt w:val="lowerLetter"/>
      <w:start w:val="1"/>
    </w:lvl>
    <w:lvl w:ilvl="1">
      <w:lvlJc w:val="left"/>
      <w:lvlText w:val="(%2)"/>
      <w:numFmt w:val="lowerRoman"/>
      <w:start w:val="2"/>
    </w:lvl>
  </w:abstractNum>
  <w:abstractNum w:abstractNumId="126">
    <w:nsid w:val="822C0EF"/>
    <w:multiLevelType w:val="hybridMultilevel"/>
    <w:lvl w:ilvl="0">
      <w:lvlJc w:val="left"/>
      <w:lvlText w:val="(%1)"/>
      <w:numFmt w:val="lowerLetter"/>
      <w:start w:val="3"/>
    </w:lvl>
    <w:lvl w:ilvl="1">
      <w:lvlJc w:val="left"/>
      <w:lvlText w:val="(%2)"/>
      <w:numFmt w:val="lowerRoman"/>
      <w:start w:val="1"/>
    </w:lvl>
  </w:abstractNum>
  <w:abstractNum w:abstractNumId="127">
    <w:nsid w:val="57C5BB4F"/>
    <w:multiLevelType w:val="hybridMultilevel"/>
    <w:lvl w:ilvl="0">
      <w:lvlJc w:val="left"/>
      <w:lvlText w:val="%1"/>
      <w:numFmt w:val="upperLetter"/>
      <w:start w:val="1"/>
    </w:lvl>
    <w:lvl w:ilvl="1">
      <w:lvlJc w:val="left"/>
      <w:lvlText w:val="(%2)"/>
      <w:numFmt w:val="lowerRoman"/>
      <w:start w:val="2"/>
    </w:lvl>
  </w:abstractNum>
  <w:abstractNum w:abstractNumId="128">
    <w:nsid w:val="1803D089"/>
    <w:multiLevelType w:val="hybridMultilevel"/>
    <w:lvl w:ilvl="0">
      <w:lvlJc w:val="left"/>
      <w:lvlText w:val="(%1)"/>
      <w:numFmt w:val="upperLetter"/>
      <w:start w:val="1"/>
    </w:lvl>
    <w:lvl w:ilvl="1">
      <w:lvlJc w:val="left"/>
      <w:lvlText w:val="%2"/>
      <w:numFmt w:val="lowerRoman"/>
      <w:start w:val="1"/>
    </w:lvl>
  </w:abstractNum>
  <w:abstractNum w:abstractNumId="129">
    <w:nsid w:val="4F3A06D4"/>
    <w:multiLevelType w:val="hybridMultilevel"/>
    <w:lvl w:ilvl="0">
      <w:lvlJc w:val="left"/>
      <w:lvlText w:val="%1"/>
      <w:numFmt w:val="lowerRoman"/>
      <w:start w:val="1"/>
    </w:lvl>
    <w:lvl w:ilvl="1">
      <w:lvlJc w:val="left"/>
      <w:lvlText w:val="(%2)"/>
      <w:numFmt w:val="lowerRoman"/>
      <w:start w:val="3"/>
    </w:lvl>
  </w:abstractNum>
  <w:abstractNum w:abstractNumId="130">
    <w:nsid w:val="59A377B6"/>
    <w:multiLevelType w:val="hybridMultilevel"/>
    <w:lvl w:ilvl="0">
      <w:lvlJc w:val="left"/>
      <w:lvlText w:val="(%1)"/>
      <w:numFmt w:val="lowerRoman"/>
      <w:start w:val="6"/>
    </w:lvl>
    <w:lvl w:ilvl="1">
      <w:lvlJc w:val="left"/>
      <w:lvlText w:val="%2"/>
      <w:numFmt w:val="lowerRoman"/>
      <w:start w:val="1"/>
    </w:lvl>
  </w:abstractNum>
  <w:abstractNum w:abstractNumId="131">
    <w:nsid w:val="48AEB063"/>
    <w:multiLevelType w:val="hybridMultilevel"/>
    <w:lvl w:ilvl="0">
      <w:lvlJc w:val="left"/>
      <w:lvlText w:val="(%1)"/>
      <w:numFmt w:val="lowerLetter"/>
      <w:start w:val="4"/>
    </w:lvl>
    <w:lvl w:ilvl="1">
      <w:lvlJc w:val="left"/>
      <w:lvlText w:val="(%2)"/>
      <w:numFmt w:val="lowerRoman"/>
      <w:start w:val="1"/>
    </w:lvl>
  </w:abstractNum>
  <w:abstractNum w:abstractNumId="132">
    <w:nsid w:val="24E135"/>
    <w:multiLevelType w:val="hybridMultilevel"/>
    <w:lvl w:ilvl="0">
      <w:lvlJc w:val="left"/>
      <w:lvlText w:val="(%1)"/>
      <w:numFmt w:val="lowerRoman"/>
      <w:start w:val="5"/>
    </w:lvl>
  </w:abstractNum>
  <w:abstractNum w:abstractNumId="133">
    <w:nsid w:val="BB13C1"/>
    <w:multiLevelType w:val="hybridMultilevel"/>
    <w:lvl w:ilvl="0">
      <w:lvlJc w:val="left"/>
      <w:lvlText w:val="(%1)"/>
      <w:numFmt w:val="lowerLetter"/>
      <w:start w:val="6"/>
    </w:lvl>
  </w:abstractNum>
  <w:abstractNum w:abstractNumId="134">
    <w:nsid w:val="271210C7"/>
    <w:multiLevelType w:val="hybridMultilevel"/>
    <w:lvl w:ilvl="0">
      <w:lvlJc w:val="left"/>
      <w:lvlText w:val="%1"/>
      <w:numFmt w:val="lowerLetter"/>
      <w:start w:val="1"/>
    </w:lvl>
    <w:lvl w:ilvl="1">
      <w:lvlJc w:val="left"/>
      <w:lvlText w:val="(%2)"/>
      <w:numFmt w:val="lowerLetter"/>
      <w:start w:val="8"/>
    </w:lvl>
  </w:abstractNum>
  <w:abstractNum w:abstractNumId="135">
    <w:nsid w:val="217B22E4"/>
    <w:multiLevelType w:val="hybridMultilevel"/>
    <w:lvl w:ilvl="0">
      <w:lvlJc w:val="left"/>
      <w:lvlText w:val="(%1)"/>
      <w:numFmt w:val="lowerLetter"/>
      <w:start w:val="35"/>
    </w:lvl>
    <w:lvl w:ilvl="1">
      <w:lvlJc w:val="left"/>
      <w:lvlText w:val="%2"/>
      <w:numFmt w:val="lowerLetter"/>
      <w:start w:val="1"/>
    </w:lvl>
  </w:abstractNum>
  <w:abstractNum w:abstractNumId="136">
    <w:nsid w:val="53E31A24"/>
    <w:multiLevelType w:val="hybridMultilevel"/>
    <w:lvl w:ilvl="0">
      <w:lvlJc w:val="left"/>
      <w:lvlText w:val="(%1)"/>
      <w:numFmt w:val="upperLetter"/>
      <w:start w:val="1"/>
    </w:lvl>
    <w:lvl w:ilvl="1">
      <w:lvlJc w:val="left"/>
      <w:lvlText w:val="(%2)"/>
      <w:numFmt w:val="lowerLetter"/>
      <w:start w:val="13"/>
    </w:lvl>
  </w:abstractNum>
  <w:abstractNum w:abstractNumId="137">
    <w:nsid w:val="6DC45E83"/>
    <w:multiLevelType w:val="hybridMultilevel"/>
    <w:lvl w:ilvl="0">
      <w:lvlJc w:val="left"/>
      <w:lvlText w:val="(%1)"/>
      <w:numFmt w:val="lowerLetter"/>
      <w:start w:val="1"/>
    </w:lvl>
  </w:abstractNum>
  <w:abstractNum w:abstractNumId="138">
    <w:nsid w:val="17304A67"/>
    <w:multiLevelType w:val="hybridMultilevel"/>
    <w:lvl w:ilvl="0">
      <w:lvlJc w:val="left"/>
      <w:lvlText w:val="(%1)"/>
      <w:numFmt w:val="lowerLetter"/>
      <w:start w:val="2"/>
    </w:lvl>
  </w:abstractNum>
  <w:abstractNum w:abstractNumId="139">
    <w:nsid w:val="2BB180D8"/>
    <w:multiLevelType w:val="hybridMultilevel"/>
    <w:lvl w:ilvl="0">
      <w:lvlJc w:val="left"/>
      <w:lvlText w:val="(%1)"/>
      <w:numFmt w:val="lowerLetter"/>
      <w:start w:val="2"/>
    </w:lvl>
  </w:abstractNum>
  <w:abstractNum w:abstractNumId="140">
    <w:nsid w:val="556B69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1">
    <w:nsid w:val="70836196"/>
    <w:multiLevelType w:val="hybridMultilevel"/>
    <w:lvl w:ilvl="0">
      <w:lvlJc w:val="left"/>
      <w:lvlText w:val="(%1)"/>
      <w:numFmt w:val="upperLetter"/>
      <w:start w:val="2"/>
    </w:lvl>
  </w:abstractNum>
  <w:abstractNum w:abstractNumId="142">
    <w:nsid w:val="539F7F12"/>
    <w:multiLevelType w:val="hybridMultilevel"/>
    <w:lvl w:ilvl="0">
      <w:lvlJc w:val="left"/>
      <w:lvlText w:val="(%1)"/>
      <w:numFmt w:val="lowerRoman"/>
      <w:start w:val="2"/>
    </w:lvl>
  </w:abstractNum>
  <w:abstractNum w:abstractNumId="143">
    <w:nsid w:val="2817E7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4">
    <w:nsid w:val="71482545"/>
    <w:multiLevelType w:val="hybridMultilevel"/>
    <w:lvl w:ilvl="0">
      <w:lvlJc w:val="left"/>
      <w:lvlText w:val="(%1)"/>
      <w:numFmt w:val="decimal"/>
      <w:start w:val="1"/>
    </w:lvl>
  </w:abstractNum>
  <w:abstractNum w:abstractNumId="145">
    <w:nsid w:val="17D78639"/>
    <w:multiLevelType w:val="hybridMultilevel"/>
    <w:lvl w:ilvl="0">
      <w:lvlJc w:val="left"/>
      <w:lvlText w:val="(%1)"/>
      <w:numFmt w:val="lowerRoman"/>
      <w:start w:val="2"/>
    </w:lvl>
    <w:lvl w:ilvl="1">
      <w:lvlJc w:val="left"/>
      <w:lvlText w:val="(%2)"/>
      <w:numFmt w:val="upperLetter"/>
      <w:start w:val="1"/>
    </w:lvl>
  </w:abstractNum>
  <w:abstractNum w:abstractNumId="146">
    <w:nsid w:val="141D2302"/>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147">
    <w:nsid w:val="407168D8"/>
    <w:multiLevelType w:val="hybridMultilevel"/>
    <w:lvl w:ilvl="0">
      <w:lvlJc w:val="left"/>
      <w:lvlText w:val="(%1)"/>
      <w:numFmt w:val="lowerRoman"/>
      <w:start w:val="2"/>
    </w:lvl>
    <w:lvl w:ilvl="1">
      <w:lvlJc w:val="left"/>
      <w:lvlText w:val="(%2)"/>
      <w:numFmt w:val="lowerRoman"/>
      <w:start w:val="6"/>
    </w:lvl>
    <w:lvl w:ilvl="2">
      <w:lvlJc w:val="left"/>
      <w:lvlText w:val="(%3)"/>
      <w:numFmt w:val="upperLetter"/>
      <w:start w:val="1"/>
    </w:lvl>
  </w:abstractNum>
  <w:abstractNum w:abstractNumId="148">
    <w:nsid w:val="6A1B45E5"/>
    <w:multiLevelType w:val="hybridMultilevel"/>
    <w:lvl w:ilvl="0">
      <w:lvlJc w:val="left"/>
      <w:lvlText w:val="%1"/>
      <w:numFmt w:val="lowerRoman"/>
      <w:start w:val="1"/>
    </w:lvl>
    <w:lvl w:ilvl="1">
      <w:lvlJc w:val="left"/>
      <w:lvlText w:val="(%2)"/>
      <w:numFmt w:val="upperLetter"/>
      <w:start w:val="2"/>
    </w:lvl>
  </w:abstractNum>
  <w:abstractNum w:abstractNumId="149">
    <w:nsid w:val="567BD50A"/>
    <w:multiLevelType w:val="hybridMultilevel"/>
    <w:lvl w:ilvl="0">
      <w:lvlJc w:val="left"/>
      <w:lvlText w:val="(%1)"/>
      <w:numFmt w:val="lowerRoman"/>
      <w:start w:val="7"/>
    </w:lvl>
    <w:lvl w:ilvl="1">
      <w:lvlJc w:val="left"/>
      <w:lvlText w:val="%2"/>
      <w:numFmt w:val="upperLetter"/>
      <w:start w:val="1"/>
    </w:lvl>
  </w:abstractNum>
  <w:abstractNum w:abstractNumId="150">
    <w:nsid w:val="73BBD7F8"/>
    <w:multiLevelType w:val="hybridMultilevel"/>
    <w:lvl w:ilvl="0">
      <w:lvlJc w:val="left"/>
      <w:lvlText w:val="(%1)"/>
      <w:numFmt w:val="lowerLetter"/>
      <w:start w:val="3"/>
    </w:lvl>
    <w:lvl w:ilvl="1">
      <w:lvlJc w:val="left"/>
      <w:lvlText w:val="(%2)"/>
      <w:numFmt w:val="lowerRoman"/>
      <w:start w:val="1"/>
    </w:lvl>
  </w:abstractNum>
  <w:abstractNum w:abstractNumId="151">
    <w:nsid w:val="1876589D"/>
    <w:multiLevelType w:val="hybridMultilevel"/>
    <w:lvl w:ilvl="0">
      <w:lvlJc w:val="left"/>
      <w:lvlText w:val="(%1)"/>
      <w:numFmt w:val="lowerRoman"/>
      <w:start w:val="4"/>
    </w:lvl>
  </w:abstractNum>
  <w:abstractNum w:abstractNumId="152">
    <w:nsid w:val="327FAC77"/>
    <w:multiLevelType w:val="hybridMultilevel"/>
    <w:lvl w:ilvl="0">
      <w:lvlJc w:val="left"/>
      <w:lvlText w:val="(%1)"/>
      <w:numFmt w:val="lowerLetter"/>
      <w:start w:val="5"/>
    </w:lvl>
  </w:abstractNum>
  <w:abstractNum w:abstractNumId="153">
    <w:nsid w:val="5A606509"/>
    <w:multiLevelType w:val="hybridMultilevel"/>
    <w:lvl w:ilvl="0">
      <w:lvlJc w:val="left"/>
      <w:lvlText w:val="(%1)"/>
      <w:numFmt w:val="lowerLetter"/>
      <w:start w:val="1"/>
    </w:lvl>
  </w:abstractNum>
  <w:abstractNum w:abstractNumId="154">
    <w:nsid w:val="6F38E6D1"/>
    <w:multiLevelType w:val="hybridMultilevel"/>
    <w:lvl w:ilvl="0">
      <w:lvlJc w:val="left"/>
      <w:lvlText w:val="(%1)"/>
      <w:numFmt w:val="lowerLetter"/>
      <w:start w:val="2"/>
    </w:lvl>
    <w:lvl w:ilvl="1">
      <w:lvlJc w:val="left"/>
      <w:lvlText w:val="(%2)"/>
      <w:numFmt w:val="lowerRoman"/>
      <w:start w:val="1"/>
    </w:lvl>
  </w:abstractNum>
  <w:abstractNum w:abstractNumId="155">
    <w:nsid w:val="46111BA5"/>
    <w:multiLevelType w:val="hybridMultilevel"/>
    <w:lvl w:ilvl="0">
      <w:lvlJc w:val="left"/>
      <w:lvlText w:val="(%1)"/>
      <w:numFmt w:val="lowerLetter"/>
      <w:start w:val="1"/>
    </w:lvl>
  </w:abstractNum>
  <w:abstractNum w:abstractNumId="156">
    <w:nsid w:val="5E963896"/>
    <w:multiLevelType w:val="hybridMultilevel"/>
    <w:lvl w:ilvl="0">
      <w:lvlJc w:val="left"/>
      <w:lvlText w:val="%1"/>
      <w:numFmt w:val="lowerLetter"/>
      <w:start w:val="1"/>
    </w:lvl>
    <w:lvl w:ilvl="1">
      <w:lvlJc w:val="left"/>
      <w:lvlText w:val="(%2)"/>
      <w:numFmt w:val="lowerLetter"/>
      <w:start w:val="2"/>
    </w:lvl>
  </w:abstractNum>
  <w:abstractNum w:abstractNumId="157">
    <w:nsid w:val="775BA7C1"/>
    <w:multiLevelType w:val="hybridMultilevel"/>
    <w:lvl w:ilvl="0">
      <w:lvlJc w:val="left"/>
      <w:lvlText w:val="(%1)"/>
      <w:numFmt w:val="lowerLetter"/>
      <w:start w:val="9"/>
    </w:lvl>
    <w:lvl w:ilvl="1">
      <w:lvlJc w:val="left"/>
      <w:lvlText w:val="%2"/>
      <w:numFmt w:val="lowerLetter"/>
      <w:start w:val="1"/>
    </w:lvl>
  </w:abstractNum>
  <w:abstractNum w:abstractNumId="158">
    <w:nsid w:val="1DD6D6F4"/>
    <w:multiLevelType w:val="hybridMultilevel"/>
    <w:lvl w:ilvl="0">
      <w:lvlJc w:val="left"/>
      <w:lvlText w:val="(%1)"/>
      <w:numFmt w:val="lowerLetter"/>
      <w:start w:val="1"/>
    </w:lvl>
  </w:abstractNum>
  <w:abstractNum w:abstractNumId="159">
    <w:nsid w:val="769A091F"/>
    <w:multiLevelType w:val="hybridMultilevel"/>
    <w:lvl w:ilvl="0">
      <w:lvlJc w:val="left"/>
      <w:lvlText w:val="(%1)"/>
      <w:numFmt w:val="lowerLetter"/>
      <w:start w:val="7"/>
    </w:lvl>
  </w:abstractNum>
  <w:abstractNum w:abstractNumId="160">
    <w:nsid w:val="4695AE95"/>
    <w:multiLevelType w:val="hybridMultilevel"/>
    <w:lvl w:ilvl="0">
      <w:lvlJc w:val="left"/>
      <w:lvlText w:val="(%1)"/>
      <w:numFmt w:val="lowerLetter"/>
      <w:start w:val="1"/>
    </w:lvl>
    <w:lvl w:ilvl="1">
      <w:lvlJc w:val="left"/>
      <w:lvlText w:val="(%2)"/>
      <w:numFmt w:val="lowerRoman"/>
      <w:start w:val="1"/>
    </w:lvl>
  </w:abstractNum>
  <w:abstractNum w:abstractNumId="161">
    <w:nsid w:val="777A4EAA"/>
    <w:multiLevelType w:val="hybridMultilevel"/>
    <w:lvl w:ilvl="0">
      <w:lvlJc w:val="left"/>
      <w:lvlText w:val="(%1)"/>
      <w:numFmt w:val="lowerLetter"/>
      <w:start w:val="3"/>
    </w:lvl>
    <w:lvl w:ilvl="1">
      <w:lvlJc w:val="left"/>
      <w:lvlText w:val="(%2)"/>
      <w:numFmt w:val="lowerRoman"/>
      <w:start w:val="1"/>
    </w:lvl>
  </w:abstractNum>
  <w:abstractNum w:abstractNumId="162">
    <w:nsid w:val="3F48B982"/>
    <w:multiLevelType w:val="hybridMultilevel"/>
    <w:lvl w:ilvl="0">
      <w:lvlJc w:val="left"/>
      <w:lvlText w:val="(%1)"/>
      <w:numFmt w:val="lowerLetter"/>
      <w:start w:val="4"/>
    </w:lvl>
  </w:abstractNum>
  <w:abstractNum w:abstractNumId="163">
    <w:nsid w:val="46BA8FCA"/>
    <w:multiLevelType w:val="hybridMultilevel"/>
    <w:lvl w:ilvl="0">
      <w:lvlJc w:val="left"/>
      <w:lvlText w:val="(%1)"/>
      <w:numFmt w:val="lowerLetter"/>
      <w:start w:val="1"/>
    </w:lvl>
  </w:abstractNum>
  <w:abstractNum w:abstractNumId="164">
    <w:nsid w:val="7835626C"/>
    <w:multiLevelType w:val="hybridMultilevel"/>
    <w:lvl w:ilvl="0">
      <w:lvlJc w:val="left"/>
      <w:lvlText w:val="(%1)"/>
      <w:numFmt w:val="lowerLetter"/>
      <w:start w:val="2"/>
    </w:lvl>
  </w:abstractNum>
  <w:abstractNum w:abstractNumId="165">
    <w:nsid w:val="665ACA49"/>
    <w:multiLevelType w:val="hybridMultilevel"/>
    <w:lvl w:ilvl="0">
      <w:lvlJc w:val="left"/>
      <w:lvlText w:val="(%1)"/>
      <w:numFmt w:val="lowerLetter"/>
      <w:start w:val="1"/>
    </w:lvl>
  </w:abstractNum>
  <w:abstractNum w:abstractNumId="166">
    <w:nsid w:val="6835B2AE"/>
    <w:multiLevelType w:val="hybridMultilevel"/>
    <w:lvl w:ilvl="0">
      <w:lvlJc w:val="left"/>
      <w:lvlText w:val="(%1)"/>
      <w:numFmt w:val="lowerLetter"/>
      <w:start w:val="6"/>
    </w:lvl>
  </w:abstractNum>
  <w:abstractNum w:abstractNumId="167">
    <w:nsid w:val="4C187C90"/>
    <w:multiLevelType w:val="hybridMultilevel"/>
    <w:lvl w:ilvl="0">
      <w:lvlJc w:val="left"/>
      <w:lvlText w:val="(%1)"/>
      <w:numFmt w:val="lowerRoman"/>
      <w:start w:val="1"/>
    </w:lvl>
  </w:abstractNum>
  <w:abstractNum w:abstractNumId="168">
    <w:nsid w:val="541F28CD"/>
    <w:multiLevelType w:val="hybridMultilevel"/>
    <w:lvl w:ilvl="0">
      <w:lvlJc w:val="left"/>
      <w:lvlText w:val="(%1)"/>
      <w:numFmt w:val="lowerLetter"/>
      <w:start w:val="1"/>
    </w:lvl>
    <w:lvl w:ilvl="1">
      <w:lvlJc w:val="left"/>
      <w:lvlText w:val="(%2)"/>
      <w:numFmt w:val="lowerRoman"/>
      <w:start w:val="1"/>
    </w:lvl>
  </w:abstractNum>
  <w:abstractNum w:abstractNumId="169">
    <w:nsid w:val="7F65FD16"/>
    <w:multiLevelType w:val="hybridMultilevel"/>
    <w:lvl w:ilvl="0">
      <w:lvlJc w:val="left"/>
      <w:lvlText w:val="%1"/>
      <w:numFmt w:val="lowerLetter"/>
      <w:start w:val="1"/>
    </w:lvl>
    <w:lvl w:ilvl="1">
      <w:lvlJc w:val="left"/>
      <w:lvlText w:val="(%2)"/>
      <w:numFmt w:val="lowerLetter"/>
      <w:start w:val="4"/>
    </w:lvl>
  </w:abstractNum>
  <w:abstractNum w:abstractNumId="170">
    <w:nsid w:val="77C9FD68"/>
    <w:multiLevelType w:val="hybridMultilevel"/>
    <w:lvl w:ilvl="0">
      <w:lvlJc w:val="left"/>
      <w:lvlText w:val="(%1)"/>
      <w:numFmt w:val="lowerLetter"/>
      <w:start w:val="7"/>
    </w:lvl>
    <w:lvl w:ilvl="1">
      <w:lvlJc w:val="left"/>
      <w:lvlText w:val="(%2)"/>
      <w:numFmt w:val="lowerLetter"/>
      <w:start w:val="6"/>
    </w:lvl>
  </w:abstractNum>
  <w:abstractNum w:abstractNumId="171">
    <w:nsid w:val="298A92BA"/>
    <w:multiLevelType w:val="hybridMultilevel"/>
    <w:lvl w:ilvl="0">
      <w:lvlJc w:val="left"/>
      <w:lvlText w:val="%1"/>
      <w:numFmt w:val="lowerLetter"/>
      <w:start w:val="1"/>
    </w:lvl>
    <w:lvl w:ilvl="1">
      <w:lvlJc w:val="left"/>
      <w:lvlText w:val="(%2)"/>
      <w:numFmt w:val="lowerRoman"/>
      <w:start w:val="1"/>
    </w:lvl>
  </w:abstractNum>
  <w:abstractNum w:abstractNumId="172">
    <w:nsid w:val="6FE95EAC"/>
    <w:multiLevelType w:val="hybridMultilevel"/>
    <w:lvl w:ilvl="0">
      <w:lvlJc w:val="left"/>
      <w:lvlText w:val="(%1)"/>
      <w:numFmt w:val="lowerLetter"/>
      <w:start w:val="7"/>
    </w:lvl>
    <w:lvl w:ilvl="1">
      <w:lvlJc w:val="left"/>
      <w:lvlText w:val="(%2)"/>
      <w:numFmt w:val="lowerRoman"/>
      <w:start w:val="1"/>
    </w:lvl>
  </w:abstractNum>
  <w:abstractNum w:abstractNumId="173">
    <w:nsid w:val="4B697C7A"/>
    <w:multiLevelType w:val="hybridMultilevel"/>
    <w:lvl w:ilvl="0">
      <w:lvlJc w:val="left"/>
      <w:lvlText w:val="%1"/>
      <w:numFmt w:val="lowerLetter"/>
      <w:start w:val="1"/>
    </w:lvl>
    <w:lvl w:ilvl="1">
      <w:lvlJc w:val="left"/>
      <w:lvlText w:val="(%2)"/>
      <w:numFmt w:val="lowerLetter"/>
      <w:start w:val="22"/>
    </w:lvl>
  </w:abstractNum>
  <w:abstractNum w:abstractNumId="174">
    <w:nsid w:val="51A27AA6"/>
    <w:multiLevelType w:val="hybridMultilevel"/>
    <w:lvl w:ilvl="0">
      <w:lvlJc w:val="left"/>
      <w:lvlText w:val="(%1)"/>
      <w:numFmt w:val="lowerLetter"/>
      <w:start w:val="8"/>
    </w:lvl>
    <w:lvl w:ilvl="1">
      <w:lvlJc w:val="left"/>
      <w:lvlText w:val="(%2)"/>
      <w:numFmt w:val="lowerLetter"/>
      <w:start w:val="9"/>
    </w:lvl>
  </w:abstractNum>
  <w:abstractNum w:abstractNumId="175">
    <w:nsid w:val="613183F2"/>
    <w:multiLevelType w:val="hybridMultilevel"/>
    <w:lvl w:ilvl="0">
      <w:lvlJc w:val="left"/>
      <w:lvlText w:val="(%1)"/>
      <w:numFmt w:val="lowerRoman"/>
      <w:start w:val="2"/>
    </w:lvl>
  </w:abstractNum>
  <w:abstractNum w:abstractNumId="176">
    <w:nsid w:val="634102B4"/>
    <w:multiLevelType w:val="hybridMultilevel"/>
    <w:lvl w:ilvl="0">
      <w:lvlJc w:val="left"/>
      <w:lvlText w:val="(%1)"/>
      <w:numFmt w:val="lowerLetter"/>
      <w:start w:val="10"/>
    </w:lvl>
  </w:abstractNum>
  <w:abstractNum w:abstractNumId="177">
    <w:nsid w:val="65BF9DA8"/>
    <w:multiLevelType w:val="hybridMultilevel"/>
    <w:lvl w:ilvl="0">
      <w:lvlJc w:val="left"/>
      <w:lvlText w:val="%1"/>
      <w:numFmt w:val="lowerLetter"/>
      <w:start w:val="1"/>
    </w:lvl>
    <w:lvl w:ilvl="1">
      <w:lvlJc w:val="left"/>
      <w:lvlText w:val="(%2)"/>
      <w:numFmt w:val="lowerLetter"/>
      <w:start w:val="1"/>
    </w:lvl>
  </w:abstractNum>
  <w:abstractNum w:abstractNumId="178">
    <w:nsid w:val="21A2ECCA"/>
    <w:multiLevelType w:val="hybridMultilevel"/>
    <w:lvl w:ilvl="0">
      <w:lvlJc w:val="left"/>
      <w:lvlText w:val="(%1)"/>
      <w:numFmt w:val="lowerLetter"/>
      <w:start w:val="61"/>
    </w:lvl>
    <w:lvl w:ilvl="1">
      <w:lvlJc w:val="left"/>
      <w:lvlText w:val="%2"/>
      <w:numFmt w:val="lowerLetter"/>
      <w:start w:val="1"/>
    </w:lvl>
  </w:abstractNum>
  <w:abstractNum w:abstractNumId="179">
    <w:nsid w:val="4D5C4899"/>
    <w:multiLevelType w:val="hybridMultilevel"/>
    <w:lvl w:ilvl="0">
      <w:lvlJc w:val="left"/>
      <w:lvlText w:val="(%1)"/>
      <w:numFmt w:val="lowerLetter"/>
      <w:start w:val="1"/>
    </w:lvl>
  </w:abstractNum>
  <w:abstractNum w:abstractNumId="180">
    <w:nsid w:val="3C3B72B2"/>
    <w:multiLevelType w:val="hybridMultilevel"/>
    <w:lvl w:ilvl="0">
      <w:lvlJc w:val="left"/>
      <w:lvlText w:val="(%1)"/>
      <w:numFmt w:val="lowerLetter"/>
      <w:start w:val="2"/>
    </w:lvl>
    <w:lvl w:ilvl="1">
      <w:lvlJc w:val="left"/>
      <w:lvlText w:val="(%2)"/>
      <w:numFmt w:val="lowerRoman"/>
      <w:start w:val="1"/>
    </w:lvl>
  </w:abstractNum>
  <w:abstractNum w:abstractNumId="181">
    <w:nsid w:val="155EC4C2"/>
    <w:multiLevelType w:val="hybridMultilevel"/>
    <w:lvl w:ilvl="0">
      <w:lvlJc w:val="left"/>
      <w:lvlText w:val="(%1)"/>
      <w:numFmt w:val="lowerLetter"/>
      <w:start w:val="4"/>
    </w:lvl>
    <w:lvl w:ilvl="1">
      <w:lvlJc w:val="left"/>
      <w:lvlText w:val="(%2)"/>
      <w:numFmt w:val="lowerRoman"/>
      <w:start w:val="1"/>
    </w:lvl>
  </w:abstractNum>
  <w:abstractNum w:abstractNumId="182">
    <w:nsid w:val="65D2A137"/>
    <w:multiLevelType w:val="hybridMultilevel"/>
    <w:lvl w:ilvl="0">
      <w:lvlJc w:val="left"/>
      <w:lvlText w:val="(%1)"/>
      <w:numFmt w:val="lowerLetter"/>
      <w:start w:val="5"/>
    </w:lvl>
  </w:abstractNum>
  <w:abstractNum w:abstractNumId="183">
    <w:nsid w:val="6EBB1F2A"/>
    <w:multiLevelType w:val="hybridMultilevel"/>
    <w:lvl w:ilvl="0">
      <w:lvlJc w:val="left"/>
      <w:lvlText w:val="(%1)"/>
      <w:numFmt w:val="lowerLetter"/>
      <w:start w:val="1"/>
    </w:lvl>
    <w:lvl w:ilvl="1">
      <w:lvlJc w:val="left"/>
      <w:lvlText w:val="(%2)"/>
      <w:numFmt w:val="lowerLetter"/>
      <w:start w:val="9"/>
    </w:lvl>
  </w:abstractNum>
  <w:abstractNum w:abstractNumId="184">
    <w:nsid w:val="6FBF29C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5">
    <w:nsid w:val="550B88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6">
    <w:nsid w:val="34CC3ACF"/>
    <w:multiLevelType w:val="hybridMultilevel"/>
    <w:lvl w:ilvl="0">
      <w:lvlJc w:val="left"/>
      <w:lvlText w:val="(%1)"/>
      <w:numFmt w:val="lowerLetter"/>
      <w:start w:val="3"/>
    </w:lvl>
    <w:lvl w:ilvl="1">
      <w:lvlJc w:val="left"/>
      <w:lvlText w:val="(%2)"/>
      <w:numFmt w:val="lowerRoman"/>
      <w:start w:val="1"/>
    </w:lvl>
  </w:abstractNum>
  <w:abstractNum w:abstractNumId="187">
    <w:nsid w:val="4E556261"/>
    <w:multiLevelType w:val="hybridMultilevel"/>
    <w:lvl w:ilvl="0">
      <w:lvlJc w:val="left"/>
      <w:lvlText w:val="%1"/>
      <w:numFmt w:val="lowerLetter"/>
      <w:start w:val="1"/>
    </w:lvl>
    <w:lvl w:ilvl="1">
      <w:lvlJc w:val="left"/>
      <w:lvlText w:val="(%2)"/>
      <w:numFmt w:val="lowerLetter"/>
      <w:start w:val="61"/>
    </w:lvl>
  </w:abstractNum>
  <w:abstractNum w:abstractNumId="188">
    <w:nsid w:val="4C672FC9"/>
    <w:multiLevelType w:val="hybridMultilevel"/>
    <w:lvl w:ilvl="0">
      <w:lvlJc w:val="left"/>
      <w:lvlText w:val="(%1)"/>
      <w:numFmt w:val="lowerLetter"/>
      <w:start w:val="5"/>
    </w:lvl>
    <w:lvl w:ilvl="1">
      <w:lvlJc w:val="left"/>
      <w:lvlText w:val="%2"/>
      <w:numFmt w:val="lowerLetter"/>
      <w:start w:val="1"/>
    </w:lvl>
  </w:abstractNum>
  <w:abstractNum w:abstractNumId="189">
    <w:nsid w:val="52A311C3"/>
    <w:multiLevelType w:val="hybridMultilevel"/>
    <w:lvl w:ilvl="0">
      <w:lvlJc w:val="left"/>
      <w:lvlText w:val="(%1)"/>
      <w:numFmt w:val="lowerLetter"/>
      <w:start w:val="1"/>
    </w:lvl>
  </w:abstractNum>
  <w:abstractNum w:abstractNumId="190">
    <w:nsid w:val="44EF6B80"/>
    <w:multiLevelType w:val="hybridMultilevel"/>
    <w:lvl w:ilvl="0">
      <w:lvlJc w:val="left"/>
      <w:lvlText w:val="(%1)"/>
      <w:numFmt w:val="lowerLetter"/>
      <w:start w:val="1"/>
    </w:lvl>
  </w:abstractNum>
  <w:abstractNum w:abstractNumId="191">
    <w:nsid w:val="12FCDE5E"/>
    <w:multiLevelType w:val="hybridMultilevel"/>
    <w:lvl w:ilvl="0">
      <w:lvlJc w:val="left"/>
      <w:lvlText w:val="%1"/>
      <w:numFmt w:val="lowerLetter"/>
      <w:start w:val="1"/>
    </w:lvl>
    <w:lvl w:ilvl="1">
      <w:lvlJc w:val="left"/>
      <w:lvlText w:val="(%2)"/>
      <w:numFmt w:val="lowerLetter"/>
      <w:start w:val="1"/>
    </w:lvl>
  </w:abstractNum>
  <w:abstractNum w:abstractNumId="192">
    <w:nsid w:val="4A1D606E"/>
    <w:multiLevelType w:val="hybridMultilevel"/>
    <w:lvl w:ilvl="0">
      <w:lvlJc w:val="left"/>
      <w:lvlText w:val="(%1)"/>
      <w:numFmt w:val="lowerLetter"/>
      <w:start w:val="3"/>
    </w:lvl>
    <w:lvl w:ilvl="1">
      <w:lvlJc w:val="left"/>
      <w:lvlText w:val="(%2)"/>
      <w:numFmt w:val="lowerLetter"/>
      <w:start w:val="2"/>
    </w:lvl>
  </w:abstractNum>
  <w:abstractNum w:abstractNumId="193">
    <w:nsid w:val="4382503"/>
    <w:multiLevelType w:val="hybridMultilevel"/>
    <w:lvl w:ilvl="0">
      <w:lvlJc w:val="left"/>
      <w:lvlText w:val="(%1)"/>
      <w:numFmt w:val="lowerLetter"/>
      <w:start w:val="1"/>
    </w:lvl>
  </w:abstractNum>
  <w:abstractNum w:abstractNumId="194">
    <w:nsid w:val="59B76E28"/>
    <w:multiLevelType w:val="hybridMultilevel"/>
    <w:lvl w:ilvl="0">
      <w:lvlJc w:val="left"/>
      <w:lvlText w:val="(%1)"/>
      <w:numFmt w:val="lowerLetter"/>
      <w:start w:val="2"/>
    </w:lvl>
  </w:abstractNum>
  <w:abstractNum w:abstractNumId="195">
    <w:nsid w:val="4252C2DA"/>
    <w:multiLevelType w:val="hybridMultilevel"/>
    <w:lvl w:ilvl="0">
      <w:lvlJc w:val="left"/>
      <w:lvlText w:val="(%1)"/>
      <w:numFmt w:val="lowerLetter"/>
      <w:start w:val="3"/>
    </w:lvl>
  </w:abstractNum>
  <w:abstractNum w:abstractNumId="196">
    <w:nsid w:val="6A92EF4C"/>
    <w:multiLevelType w:val="hybridMultilevel"/>
    <w:lvl w:ilvl="0">
      <w:lvlJc w:val="left"/>
      <w:lvlText w:val="(%1)"/>
      <w:numFmt w:val="lowerLetter"/>
      <w:start w:val="7"/>
    </w:lvl>
  </w:abstractNum>
  <w:abstractNum w:abstractNumId="197">
    <w:nsid w:val="41ED20D7"/>
    <w:multiLevelType w:val="hybridMultilevel"/>
    <w:lvl w:ilvl="0">
      <w:lvlJc w:val="left"/>
      <w:lvlText w:val="(%1)"/>
      <w:numFmt w:val="lowerLetter"/>
      <w:start w:val="11"/>
    </w:lvl>
  </w:abstractNum>
  <w:abstractNum w:abstractNumId="198">
    <w:nsid w:val="E6B3F6A"/>
    <w:multiLevelType w:val="hybridMultilevel"/>
    <w:lvl w:ilvl="0">
      <w:lvlJc w:val="left"/>
      <w:lvlText w:val="(%1)"/>
      <w:numFmt w:val="lowerLetter"/>
      <w:start w:val="1"/>
    </w:lvl>
    <w:lvl w:ilvl="1">
      <w:lvlJc w:val="left"/>
      <w:lvlText w:val="(%2)"/>
      <w:numFmt w:val="lowerRoman"/>
      <w:start w:val="1"/>
    </w:lvl>
  </w:abstractNum>
  <w:abstractNum w:abstractNumId="199">
    <w:nsid w:val="3EB21819"/>
    <w:multiLevelType w:val="hybridMultilevel"/>
    <w:lvl w:ilvl="0">
      <w:lvlJc w:val="left"/>
      <w:lvlText w:val="(%1)"/>
      <w:numFmt w:val="lowerLetter"/>
      <w:start w:val="2"/>
    </w:lvl>
  </w:abstractNum>
  <w:abstractNum w:abstractNumId="200">
    <w:nsid w:val="41531DED"/>
    <w:multiLevelType w:val="hybridMultilevel"/>
    <w:lvl w:ilvl="0">
      <w:lvlJc w:val="left"/>
      <w:lvlText w:val="(%1)"/>
      <w:numFmt w:val="lowerLetter"/>
      <w:start w:val="1"/>
    </w:lvl>
  </w:abstractNum>
  <w:abstractNum w:abstractNumId="201">
    <w:nsid w:val="6353CD2"/>
    <w:multiLevelType w:val="hybridMultilevel"/>
    <w:lvl w:ilvl="0">
      <w:lvlJc w:val="left"/>
      <w:lvlText w:val="(%1)"/>
      <w:numFmt w:val="lowerLetter"/>
      <w:start w:val="1"/>
    </w:lvl>
  </w:abstractNum>
  <w:abstractNum w:abstractNumId="202">
    <w:nsid w:val="683CAAD3"/>
    <w:multiLevelType w:val="hybridMultilevel"/>
    <w:lvl w:ilvl="0">
      <w:lvlJc w:val="left"/>
      <w:lvlText w:val="(%1)"/>
      <w:numFmt w:val="lowerLetter"/>
      <w:start w:val="61"/>
    </w:lvl>
    <w:lvl w:ilvl="1">
      <w:lvlJc w:val="left"/>
      <w:lvlText w:val="(%2)"/>
      <w:numFmt w:val="lowerLetter"/>
      <w:start w:val="1"/>
    </w:lvl>
  </w:abstractNum>
  <w:abstractNum w:abstractNumId="203">
    <w:nsid w:val="313C7C99"/>
    <w:multiLevelType w:val="hybridMultilevel"/>
    <w:lvl w:ilvl="0">
      <w:lvlJc w:val="left"/>
      <w:lvlText w:val="(%1)"/>
      <w:numFmt w:val="lowerLetter"/>
      <w:start w:val="1"/>
    </w:lvl>
  </w:abstractNum>
  <w:abstractNum w:abstractNumId="204">
    <w:nsid w:val="519EB94C"/>
    <w:multiLevelType w:val="hybridMultilevel"/>
    <w:lvl w:ilvl="0">
      <w:lvlJc w:val="left"/>
      <w:lvlText w:val="(%1)"/>
      <w:numFmt w:val="lowerLetter"/>
      <w:start w:val="3"/>
    </w:lvl>
  </w:abstractNum>
  <w:abstractNum w:abstractNumId="205">
    <w:nsid w:val="39DF2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6">
    <w:nsid w:val="126E008B"/>
    <w:multiLevelType w:val="hybridMultilevel"/>
    <w:lvl w:ilvl="0">
      <w:lvlJc w:val="left"/>
      <w:lvlText w:val="%1"/>
      <w:numFmt w:val="lowerLetter"/>
      <w:start w:val="1"/>
    </w:lvl>
    <w:lvl w:ilvl="1">
      <w:lvlJc w:val="left"/>
      <w:lvlText w:val="(%2)"/>
      <w:numFmt w:val="lowerRoman"/>
      <w:start w:val="6"/>
    </w:lvl>
  </w:abstractNum>
  <w:abstractNum w:abstractNumId="207">
    <w:nsid w:val="34DFBC00"/>
    <w:multiLevelType w:val="hybridMultilevel"/>
    <w:lvl w:ilvl="0">
      <w:lvlJc w:val="left"/>
      <w:lvlText w:val="(%1)"/>
      <w:numFmt w:val="lowerLetter"/>
      <w:start w:val="2"/>
    </w:lvl>
    <w:lvl w:ilvl="1">
      <w:lvlJc w:val="left"/>
      <w:lvlText w:val="%2"/>
      <w:numFmt w:val="lowerRoman"/>
      <w:start w:val="1"/>
    </w:lvl>
  </w:abstractNum>
  <w:abstractNum w:abstractNumId="208">
    <w:nsid w:val="1F9EC322"/>
    <w:multiLevelType w:val="hybridMultilevel"/>
    <w:lvl w:ilvl="0">
      <w:lvlJc w:val="left"/>
      <w:lvlText w:val="(%1)"/>
      <w:numFmt w:val="lowerLetter"/>
      <w:start w:val="1"/>
    </w:lvl>
  </w:abstractNum>
  <w:abstractNum w:abstractNumId="209">
    <w:nsid w:val="3410ED56"/>
    <w:multiLevelType w:val="hybridMultilevel"/>
    <w:lvl w:ilvl="0">
      <w:lvlJc w:val="left"/>
      <w:lvlText w:val="(%1)"/>
      <w:numFmt w:val="lowerLetter"/>
      <w:start w:val="1"/>
    </w:lvl>
    <w:lvl w:ilvl="1">
      <w:lvlJc w:val="left"/>
      <w:lvlText w:val="(%2)"/>
      <w:numFmt w:val="lowerRoman"/>
      <w:start w:val="1"/>
    </w:lvl>
  </w:abstractNum>
  <w:abstractNum w:abstractNumId="210">
    <w:nsid w:val="23C049A"/>
    <w:multiLevelType w:val="hybridMultilevel"/>
    <w:lvl w:ilvl="0">
      <w:lvlJc w:val="left"/>
      <w:lvlText w:val="(%1)"/>
      <w:numFmt w:val="lowerLetter"/>
      <w:start w:val="2"/>
    </w:lvl>
    <w:lvl w:ilvl="1">
      <w:lvlJc w:val="left"/>
      <w:lvlText w:val="(%2)"/>
      <w:numFmt w:val="lowerRoman"/>
      <w:start w:val="1"/>
    </w:lvl>
  </w:abstractNum>
  <w:abstractNum w:abstractNumId="211">
    <w:nsid w:val="5BDA35D4"/>
    <w:multiLevelType w:val="hybridMultilevel"/>
    <w:lvl w:ilvl="0">
      <w:lvlJc w:val="left"/>
      <w:lvlText w:val="(%1)"/>
      <w:numFmt w:val="lowerLetter"/>
      <w:start w:val="1"/>
    </w:lvl>
  </w:abstractNum>
  <w:abstractNum w:abstractNumId="212">
    <w:nsid w:val="496FB218"/>
    <w:multiLevelType w:val="hybridMultilevel"/>
    <w:lvl w:ilvl="0">
      <w:lvlJc w:val="left"/>
      <w:lvlText w:val="(%1)"/>
      <w:numFmt w:val="lowerLetter"/>
      <w:start w:val="3"/>
    </w:lvl>
  </w:abstractNum>
  <w:abstractNum w:abstractNumId="213">
    <w:nsid w:val="680EA5D1"/>
    <w:multiLevelType w:val="hybridMultilevel"/>
    <w:lvl w:ilvl="0">
      <w:lvlJc w:val="left"/>
      <w:lvlText w:val="(%1)"/>
      <w:numFmt w:val="lowerLetter"/>
      <w:start w:val="1"/>
    </w:lvl>
    <w:lvl w:ilvl="1">
      <w:lvlJc w:val="left"/>
      <w:lvlText w:val="(%2)"/>
      <w:numFmt w:val="lowerRoman"/>
      <w:start w:val="1"/>
    </w:lvl>
  </w:abstractNum>
  <w:abstractNum w:abstractNumId="214">
    <w:nsid w:val="4A9554FE"/>
    <w:multiLevelType w:val="hybridMultilevel"/>
    <w:lvl w:ilvl="0">
      <w:lvlJc w:val="left"/>
      <w:lvlText w:val="(%1)"/>
      <w:numFmt w:val="lowerLetter"/>
      <w:start w:val="1"/>
    </w:lvl>
  </w:abstractNum>
  <w:abstractNum w:abstractNumId="215">
    <w:nsid w:val="392EDBE4"/>
    <w:multiLevelType w:val="hybridMultilevel"/>
    <w:lvl w:ilvl="0">
      <w:lvlJc w:val="left"/>
      <w:lvlText w:val="(%1)"/>
      <w:numFmt w:val="lowerLetter"/>
      <w:start w:val="3"/>
    </w:lvl>
  </w:abstractNum>
  <w:abstractNum w:abstractNumId="216">
    <w:nsid w:val="3D1A2DD9"/>
    <w:multiLevelType w:val="hybridMultilevel"/>
    <w:lvl w:ilvl="0">
      <w:lvlJc w:val="left"/>
      <w:lvlText w:val="(%1)"/>
      <w:numFmt w:val="lowerLetter"/>
      <w:start w:val="1"/>
    </w:lvl>
  </w:abstractNum>
  <w:abstractNum w:abstractNumId="217">
    <w:nsid w:val="7F618FCD"/>
    <w:multiLevelType w:val="hybridMultilevel"/>
    <w:lvl w:ilvl="0">
      <w:lvlJc w:val="left"/>
      <w:lvlText w:val="(%1)"/>
      <w:numFmt w:val="lowerLetter"/>
      <w:start w:val="1"/>
    </w:lvl>
  </w:abstractNum>
  <w:abstractNum w:abstractNumId="218">
    <w:nsid w:val="7843E45"/>
    <w:multiLevelType w:val="hybridMultilevel"/>
    <w:lvl w:ilvl="0">
      <w:lvlJc w:val="left"/>
      <w:lvlText w:val="(%1)"/>
      <w:numFmt w:val="lowerLetter"/>
      <w:start w:val="1"/>
    </w:lvl>
    <w:lvl w:ilvl="1">
      <w:lvlJc w:val="left"/>
      <w:lvlText w:val="(%2)"/>
      <w:numFmt w:val="lowerRoman"/>
      <w:start w:val="1"/>
    </w:lvl>
  </w:abstractNum>
  <w:abstractNum w:abstractNumId="219">
    <w:nsid w:val="9815DA3"/>
    <w:multiLevelType w:val="hybridMultilevel"/>
    <w:lvl w:ilvl="0">
      <w:lvlJc w:val="left"/>
      <w:lvlText w:val="(%1)"/>
      <w:numFmt w:val="lowerLetter"/>
      <w:start w:val="1"/>
    </w:lvl>
  </w:abstractNum>
  <w:abstractNum w:abstractNumId="220">
    <w:nsid w:val="5204A191"/>
    <w:multiLevelType w:val="hybridMultilevel"/>
    <w:lvl w:ilvl="0">
      <w:lvlJc w:val="left"/>
      <w:lvlText w:val="(%1)"/>
      <w:numFmt w:val="lowerLetter"/>
      <w:start w:val="1"/>
    </w:lvl>
  </w:abstractNum>
  <w:abstractNum w:abstractNumId="221">
    <w:nsid w:val="4C73A9C6"/>
    <w:multiLevelType w:val="hybridMultilevel"/>
    <w:lvl w:ilvl="0">
      <w:lvlJc w:val="left"/>
      <w:lvlText w:val="(%1)"/>
      <w:numFmt w:val="lowerLetter"/>
      <w:start w:val="1"/>
    </w:lvl>
  </w:abstractNum>
  <w:abstractNum w:abstractNumId="222">
    <w:nsid w:val="1C7E3C01"/>
    <w:multiLevelType w:val="hybridMultilevel"/>
    <w:lvl w:ilvl="0">
      <w:lvlJc w:val="left"/>
      <w:lvlText w:val="(%1)"/>
      <w:numFmt w:val="lowerLetter"/>
      <w:start w:val="4"/>
    </w:lvl>
  </w:abstractNum>
  <w:abstractNum w:abstractNumId="223">
    <w:nsid w:val="1C2201FF"/>
    <w:multiLevelType w:val="hybridMultilevel"/>
    <w:lvl w:ilvl="0">
      <w:lvlJc w:val="left"/>
      <w:lvlText w:val="(%1)"/>
      <w:numFmt w:val="lowerLetter"/>
      <w:start w:val="1"/>
    </w:lvl>
  </w:abstractNum>
  <w:abstractNum w:abstractNumId="224">
    <w:nsid w:val="50ABCEC9"/>
    <w:multiLevelType w:val="hybridMultilevel"/>
    <w:lvl w:ilvl="0">
      <w:lvlJc w:val="left"/>
      <w:lvlText w:val="(%1)"/>
      <w:numFmt w:val="lowerLetter"/>
      <w:start w:val="4"/>
    </w:lvl>
  </w:abstractNum>
  <w:abstractNum w:abstractNumId="225">
    <w:nsid w:val="7635AA2A"/>
    <w:multiLevelType w:val="hybridMultilevel"/>
    <w:lvl w:ilvl="0">
      <w:lvlJc w:val="left"/>
      <w:lvlText w:val="(%1)"/>
      <w:numFmt w:val="upperLetter"/>
      <w:start w:val="2"/>
    </w:lvl>
  </w:abstractNum>
  <w:abstractNum w:abstractNumId="226">
    <w:nsid w:val="5E74C4D9"/>
    <w:multiLevelType w:val="hybridMultilevel"/>
    <w:lvl w:ilvl="0">
      <w:lvlJc w:val="left"/>
      <w:lvlText w:val="(%1)"/>
      <w:numFmt w:val="lowerLetter"/>
      <w:start w:val="1"/>
    </w:lvl>
  </w:abstractNum>
  <w:abstractNum w:abstractNumId="227">
    <w:nsid w:val="3B3EBE15"/>
    <w:multiLevelType w:val="hybridMultilevel"/>
    <w:lvl w:ilvl="0">
      <w:lvlJc w:val="left"/>
      <w:lvlText w:val="(%1)"/>
      <w:numFmt w:val="lowerLetter"/>
      <w:start w:val="1"/>
    </w:lvl>
  </w:abstractNum>
  <w:abstractNum w:abstractNumId="228">
    <w:nsid w:val="3822CB01"/>
    <w:multiLevelType w:val="hybridMultilevel"/>
    <w:lvl w:ilvl="0">
      <w:lvlJc w:val="left"/>
      <w:lvlText w:val="(%1)"/>
      <w:numFmt w:val="lowerLetter"/>
      <w:start w:val="1"/>
    </w:lvl>
  </w:abstractNum>
  <w:abstractNum w:abstractNumId="229">
    <w:nsid w:val="6CE00443"/>
    <w:multiLevelType w:val="hybridMultilevel"/>
    <w:lvl w:ilvl="0">
      <w:lvlJc w:val="left"/>
      <w:lvlText w:val="(%1)"/>
      <w:numFmt w:val="lowerLetter"/>
      <w:start w:val="2"/>
    </w:lvl>
  </w:abstractNum>
  <w:abstractNum w:abstractNumId="230">
    <w:nsid w:val="79F0D62F"/>
    <w:multiLevelType w:val="hybridMultilevel"/>
    <w:lvl w:ilvl="0">
      <w:lvlJc w:val="left"/>
      <w:lvlText w:val="(%1)"/>
      <w:numFmt w:val="lowerLetter"/>
      <w:start w:val="1"/>
    </w:lvl>
    <w:lvl w:ilvl="1">
      <w:lvlJc w:val="left"/>
      <w:lvlText w:val="(%2)"/>
      <w:numFmt w:val="lowerRoman"/>
      <w:start w:val="1"/>
    </w:lvl>
  </w:abstractNum>
  <w:abstractNum w:abstractNumId="231">
    <w:nsid w:val="7975E8EE"/>
    <w:multiLevelType w:val="hybridMultilevel"/>
    <w:lvl w:ilvl="0">
      <w:lvlJc w:val="left"/>
      <w:lvlText w:val="(%1)"/>
      <w:numFmt w:val="lowerLetter"/>
      <w:start w:val="2"/>
    </w:lvl>
    <w:lvl w:ilvl="1">
      <w:lvlJc w:val="left"/>
      <w:lvlText w:val="(%2)"/>
      <w:numFmt w:val="lowerLetter"/>
      <w:start w:val="9"/>
    </w:lvl>
  </w:abstractNum>
  <w:abstractNum w:abstractNumId="232">
    <w:nsid w:val="73154115"/>
    <w:multiLevelType w:val="hybridMultilevel"/>
    <w:lvl w:ilvl="0">
      <w:lvlJc w:val="left"/>
      <w:lvlText w:val="%1"/>
      <w:numFmt w:val="lowerRoman"/>
      <w:start w:val="1"/>
    </w:lvl>
    <w:lvl w:ilvl="1">
      <w:lvlJc w:val="left"/>
      <w:lvlText w:val="(%2)"/>
      <w:numFmt w:val="upperLetter"/>
      <w:start w:val="1"/>
    </w:lvl>
  </w:abstractNum>
  <w:abstractNum w:abstractNumId="233">
    <w:nsid w:val="622D8102"/>
    <w:multiLevelType w:val="hybridMultilevel"/>
    <w:lvl w:ilvl="0">
      <w:lvlJc w:val="left"/>
      <w:lvlText w:val="(%1)"/>
      <w:numFmt w:val="lowerRoman"/>
      <w:start w:val="2"/>
    </w:lvl>
    <w:lvl w:ilvl="1">
      <w:lvlJc w:val="left"/>
      <w:lvlText w:val="(%2)"/>
      <w:numFmt w:val="upperLetter"/>
      <w:start w:val="1"/>
    </w:lvl>
  </w:abstractNum>
  <w:abstractNum w:abstractNumId="234">
    <w:nsid w:val="2AB26587"/>
    <w:multiLevelType w:val="hybridMultilevel"/>
    <w:lvl w:ilvl="0">
      <w:lvlJc w:val="left"/>
      <w:lvlText w:val="(%1)"/>
      <w:numFmt w:val="lowerLetter"/>
      <w:start w:val="1"/>
    </w:lvl>
    <w:lvl w:ilvl="1">
      <w:lvlJc w:val="left"/>
      <w:lvlText w:val="(%2)"/>
      <w:numFmt w:val="lowerRoman"/>
      <w:start w:val="1"/>
    </w:lvl>
  </w:abstractNum>
  <w:abstractNum w:abstractNumId="235">
    <w:nsid w:val="44B3FA61"/>
    <w:multiLevelType w:val="hybridMultilevel"/>
    <w:lvl w:ilvl="0">
      <w:lvlJc w:val="left"/>
      <w:lvlText w:val="(%1)"/>
      <w:numFmt w:val="lowerLetter"/>
      <w:start w:val="24"/>
    </w:lvl>
    <w:lvl w:ilvl="1">
      <w:lvlJc w:val="left"/>
      <w:lvlText w:val="%2"/>
      <w:numFmt w:val="lowerRoman"/>
      <w:start w:val="1"/>
    </w:lvl>
  </w:abstractNum>
  <w:abstractNum w:abstractNumId="236">
    <w:nsid w:val="1C0CA67C"/>
    <w:multiLevelType w:val="hybridMultilevel"/>
    <w:lvl w:ilvl="0">
      <w:lvlJc w:val="left"/>
      <w:lvlText w:val="(%1)"/>
      <w:numFmt w:val="lowerLetter"/>
      <w:start w:val="2"/>
    </w:lvl>
    <w:lvl w:ilvl="1">
      <w:lvlJc w:val="left"/>
      <w:lvlText w:val="%2"/>
      <w:numFmt w:val="lowerRoman"/>
      <w:start w:val="1"/>
    </w:lvl>
  </w:abstractNum>
  <w:abstractNum w:abstractNumId="237">
    <w:nsid w:val="3D206613"/>
    <w:multiLevelType w:val="hybridMultilevel"/>
    <w:lvl w:ilvl="0">
      <w:lvlJc w:val="left"/>
      <w:lvlText w:val="(%1)"/>
      <w:numFmt w:val="lowerLetter"/>
      <w:start w:val="1"/>
    </w:lvl>
  </w:abstractNum>
  <w:abstractNum w:abstractNumId="238">
    <w:nsid w:val="7993B662"/>
    <w:multiLevelType w:val="hybridMultilevel"/>
    <w:lvl w:ilvl="0">
      <w:lvlJc w:val="left"/>
      <w:lvlText w:val="(%1)"/>
      <w:numFmt w:val="lowerLetter"/>
      <w:start w:val="1"/>
    </w:lvl>
  </w:abstractNum>
  <w:abstractNum w:abstractNumId="239">
    <w:nsid w:val="3BAB699E"/>
    <w:multiLevelType w:val="hybridMultilevel"/>
    <w:lvl w:ilvl="0">
      <w:lvlJc w:val="left"/>
      <w:lvlText w:val="%1"/>
      <w:numFmt w:val="lowerLetter"/>
      <w:start w:val="1"/>
    </w:lvl>
    <w:lvl w:ilvl="1">
      <w:lvlJc w:val="left"/>
      <w:lvlText w:val="(%2)"/>
      <w:numFmt w:val="lowerLetter"/>
      <w:start w:val="3"/>
    </w:lvl>
  </w:abstractNum>
  <w:abstractNum w:abstractNumId="240">
    <w:nsid w:val="71315369"/>
    <w:multiLevelType w:val="hybridMultilevel"/>
    <w:lvl w:ilvl="0">
      <w:lvlJc w:val="left"/>
      <w:lvlText w:val="(%1)"/>
      <w:numFmt w:val="lowerLetter"/>
      <w:start w:val="61"/>
    </w:lvl>
    <w:lvl w:ilvl="1">
      <w:lvlJc w:val="left"/>
      <w:lvlText w:val="%2"/>
      <w:numFmt w:val="lowerLetter"/>
      <w:start w:val="1"/>
    </w:lvl>
  </w:abstractNum>
  <w:abstractNum w:abstractNumId="241">
    <w:nsid w:val="7BCFBAFC"/>
    <w:multiLevelType w:val="hybridMultilevel"/>
    <w:lvl w:ilvl="0">
      <w:lvlJc w:val="left"/>
      <w:lvlText w:val="(%1)"/>
      <w:numFmt w:val="lowerLetter"/>
      <w:start w:val="1"/>
    </w:lvl>
  </w:abstractNum>
  <w:abstractNum w:abstractNumId="242">
    <w:nsid w:val="17859F72"/>
    <w:multiLevelType w:val="hybridMultilevel"/>
    <w:lvl w:ilvl="0">
      <w:lvlJc w:val="left"/>
      <w:lvlText w:val="(%1)"/>
      <w:numFmt w:val="lowerLetter"/>
      <w:start w:val="8"/>
    </w:lvl>
  </w:abstractNum>
  <w:abstractNum w:abstractNumId="243">
    <w:nsid w:val="3AA10581"/>
    <w:multiLevelType w:val="hybridMultilevel"/>
    <w:lvl w:ilvl="0">
      <w:lvlJc w:val="left"/>
      <w:lvlText w:val="(%1)"/>
      <w:numFmt w:val="lowerLetter"/>
      <w:start w:val="17"/>
    </w:lvl>
  </w:abstractNum>
  <w:abstractNum w:abstractNumId="244">
    <w:nsid w:val="63DE60CD"/>
    <w:multiLevelType w:val="hybridMultilevel"/>
    <w:lvl w:ilvl="0">
      <w:lvlJc w:val="left"/>
      <w:lvlText w:val="(%1)"/>
      <w:numFmt w:val="lowerLetter"/>
      <w:start w:val="27"/>
    </w:lvl>
    <w:lvl w:ilvl="1">
      <w:lvlJc w:val="left"/>
      <w:lvlText w:val="(%2)"/>
      <w:numFmt w:val="lowerLetter"/>
      <w:start w:val="9"/>
    </w:lvl>
  </w:abstractNum>
  <w:abstractNum w:abstractNumId="245">
    <w:nsid w:val="621AF47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46">
    <w:nsid w:val="73CFE16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47">
    <w:nsid w:val="20F88EA6"/>
    <w:multiLevelType w:val="hybridMultilevel"/>
    <w:lvl w:ilvl="0">
      <w:lvlJc w:val="left"/>
      <w:lvlText w:val="(%1)"/>
      <w:numFmt w:val="lowerLetter"/>
      <w:start w:val="37"/>
    </w:lvl>
    <w:lvl w:ilvl="1">
      <w:lvlJc w:val="left"/>
      <w:lvlText w:val="(%2)"/>
      <w:numFmt w:val="lowerLetter"/>
      <w:start w:val="9"/>
    </w:lvl>
    <w:lvl w:ilvl="2">
      <w:lvlJc w:val="left"/>
      <w:lvlText w:val="(%3)"/>
      <w:numFmt w:val="upperLetter"/>
      <w:start w:val="1"/>
    </w:lvl>
  </w:abstractNum>
  <w:abstractNum w:abstractNumId="248">
    <w:nsid w:val="617C843E"/>
    <w:multiLevelType w:val="hybridMultilevel"/>
    <w:lvl w:ilvl="0">
      <w:lvlJc w:val="left"/>
      <w:lvlText w:val="%1"/>
      <w:numFmt w:val="lowerLetter"/>
      <w:start w:val="1"/>
    </w:lvl>
    <w:lvl w:ilvl="1">
      <w:lvlJc w:val="left"/>
      <w:lvlText w:val="(%2)"/>
      <w:numFmt w:val="lowerLetter"/>
      <w:start w:val="35"/>
    </w:lvl>
  </w:abstractNum>
  <w:abstractNum w:abstractNumId="249">
    <w:nsid w:val="7B541FAB"/>
    <w:multiLevelType w:val="hybridMultilevel"/>
    <w:lvl w:ilvl="0">
      <w:lvlJc w:val="left"/>
      <w:lvlText w:val="(%1)"/>
      <w:numFmt w:val="lowerLetter"/>
      <w:start w:val="38"/>
    </w:lvl>
    <w:lvl w:ilvl="1">
      <w:lvlJc w:val="left"/>
      <w:lvlText w:val="%2"/>
      <w:numFmt w:val="lowerLetter"/>
      <w:start w:val="1"/>
    </w:lvl>
  </w:abstractNum>
  <w:abstractNum w:abstractNumId="250">
    <w:nsid w:val="2A79EC49"/>
    <w:multiLevelType w:val="hybridMultilevel"/>
    <w:lvl w:ilvl="0">
      <w:lvlJc w:val="left"/>
      <w:lvlText w:val="(%1)"/>
      <w:numFmt w:val="lowerLetter"/>
      <w:start w:val="1"/>
    </w:lvl>
    <w:lvl w:ilvl="1">
      <w:lvlJc w:val="left"/>
      <w:lvlText w:val="(%2)"/>
      <w:numFmt w:val="lowerRoman"/>
      <w:start w:val="1"/>
    </w:lvl>
  </w:abstractNum>
  <w:abstractNum w:abstractNumId="251">
    <w:nsid w:val="338125CF"/>
    <w:multiLevelType w:val="hybridMultilevel"/>
    <w:lvl w:ilvl="0">
      <w:lvlJc w:val="left"/>
      <w:lvlText w:val="%1"/>
      <w:numFmt w:val="lowerLetter"/>
      <w:start w:val="1"/>
    </w:lvl>
    <w:lvl w:ilvl="1">
      <w:lvlJc w:val="left"/>
      <w:lvlText w:val="(%2)"/>
      <w:numFmt w:val="lowerRoman"/>
      <w:start w:val="1"/>
    </w:lvl>
  </w:abstractNum>
  <w:abstractNum w:abstractNumId="252">
    <w:nsid w:val="47C7C971"/>
    <w:multiLevelType w:val="hybridMultilevel"/>
    <w:lvl w:ilvl="0">
      <w:lvlJc w:val="left"/>
      <w:lvlText w:val="(%1)"/>
      <w:numFmt w:val="lowerLetter"/>
      <w:start w:val="4"/>
    </w:lvl>
    <w:lvl w:ilvl="1">
      <w:lvlJc w:val="left"/>
      <w:lvlText w:val="%2"/>
      <w:numFmt w:val="lowerRoman"/>
      <w:start w:val="1"/>
    </w:lvl>
  </w:abstractNum>
  <w:abstractNum w:abstractNumId="253">
    <w:nsid w:val="46F8284B"/>
    <w:multiLevelType w:val="hybridMultilevel"/>
    <w:lvl w:ilvl="0">
      <w:lvlJc w:val="left"/>
      <w:lvlText w:val="(%1)"/>
      <w:numFmt w:val="lowerLetter"/>
      <w:start w:val="6"/>
    </w:lvl>
    <w:lvl w:ilvl="1">
      <w:lvlJc w:val="left"/>
      <w:lvlText w:val="(%2)"/>
      <w:numFmt w:val="lowerRoman"/>
      <w:start w:val="1"/>
    </w:lvl>
  </w:abstractNum>
  <w:abstractNum w:abstractNumId="254">
    <w:nsid w:val="4FA327CE"/>
    <w:multiLevelType w:val="hybridMultilevel"/>
    <w:lvl w:ilvl="0">
      <w:lvlJc w:val="left"/>
      <w:lvlText w:val="(%1)"/>
      <w:numFmt w:val="lowerLetter"/>
      <w:start w:val="13"/>
    </w:lvl>
  </w:abstractNum>
  <w:abstractNum w:abstractNumId="255">
    <w:nsid w:val="1873983A"/>
    <w:multiLevelType w:val="hybridMultilevel"/>
    <w:lvl w:ilvl="0">
      <w:lvlJc w:val="left"/>
      <w:lvlText w:val="(%1)"/>
      <w:numFmt w:val="lowerLetter"/>
      <w:start w:val="25"/>
    </w:lvl>
  </w:abstractNum>
  <w:abstractNum w:abstractNumId="256">
    <w:nsid w:val="3D2DD275"/>
    <w:multiLevelType w:val="hybridMultilevel"/>
    <w:lvl w:ilvl="0">
      <w:lvlJc w:val="left"/>
      <w:lvlText w:val="(%1)"/>
      <w:numFmt w:val="lowerLetter"/>
      <w:start w:val="1"/>
    </w:lvl>
  </w:abstractNum>
  <w:abstractNum w:abstractNumId="257">
    <w:nsid w:val="2E17ECA7"/>
    <w:multiLevelType w:val="hybridMultilevel"/>
    <w:lvl w:ilvl="0">
      <w:lvlJc w:val="left"/>
      <w:lvlText w:val="(%1)"/>
      <w:numFmt w:val="lowerLetter"/>
      <w:start w:val="3"/>
    </w:lvl>
  </w:abstractNum>
  <w:abstractNum w:abstractNumId="258">
    <w:nsid w:val="53B2564F"/>
    <w:multiLevelType w:val="hybridMultilevel"/>
    <w:lvl w:ilvl="0">
      <w:lvlJc w:val="left"/>
      <w:lvlText w:val="%1"/>
      <w:numFmt w:val="lowerRoman"/>
      <w:start w:val="1"/>
    </w:lvl>
    <w:lvl w:ilvl="1">
      <w:lvlJc w:val="left"/>
      <w:lvlText w:val="(%2)"/>
      <w:numFmt w:val="lowerRoman"/>
      <w:start w:val="1"/>
    </w:lvl>
  </w:abstractNum>
  <w:abstractNum w:abstractNumId="259">
    <w:nsid w:val="75509D76"/>
    <w:multiLevelType w:val="hybridMultilevel"/>
    <w:lvl w:ilvl="0">
      <w:lvlJc w:val="left"/>
      <w:lvlText w:val="(%1)"/>
      <w:numFmt w:val="lowerRoman"/>
      <w:start w:val="2"/>
    </w:lvl>
    <w:lvl w:ilvl="1">
      <w:lvlJc w:val="left"/>
      <w:lvlText w:val="(%2)"/>
      <w:numFmt w:val="lowerRoman"/>
      <w:start w:val="4"/>
    </w:lvl>
  </w:abstractNum>
  <w:abstractNum w:abstractNumId="260">
    <w:nsid w:val="1AF7F0EA"/>
    <w:multiLevelType w:val="hybridMultilevel"/>
    <w:lvl w:ilvl="0">
      <w:lvlJc w:val="left"/>
      <w:lvlText w:val="%1"/>
      <w:numFmt w:val="lowerLetter"/>
      <w:start w:val="1"/>
    </w:lvl>
    <w:lvl w:ilvl="1">
      <w:lvlJc w:val="left"/>
      <w:lvlText w:val="(%2)"/>
      <w:numFmt w:val="upperLetter"/>
      <w:start w:val="9"/>
    </w:lvl>
  </w:abstractNum>
  <w:abstractNum w:abstractNumId="261">
    <w:nsid w:val="4DA32C7E"/>
    <w:multiLevelType w:val="hybridMultilevel"/>
    <w:lvl w:ilvl="0">
      <w:lvlJc w:val="left"/>
      <w:lvlText w:val="(%1)"/>
      <w:numFmt w:val="lowerLetter"/>
      <w:start w:val="13"/>
    </w:lvl>
    <w:lvl w:ilvl="1">
      <w:lvlJc w:val="left"/>
      <w:lvlText w:val="%2"/>
      <w:numFmt w:val="upperLetter"/>
      <w:start w:val="1"/>
    </w:lvl>
  </w:abstractNum>
  <w:abstractNum w:abstractNumId="262">
    <w:nsid w:val="6EC68664"/>
    <w:multiLevelType w:val="hybridMultilevel"/>
    <w:lvl w:ilvl="0">
      <w:lvlJc w:val="left"/>
      <w:lvlText w:val="(%1)"/>
      <w:numFmt w:val="lowerLetter"/>
      <w:start w:val="16"/>
    </w:lvl>
  </w:abstractNum>
  <w:abstractNum w:abstractNumId="263">
    <w:nsid w:val="E0D31FF"/>
    <w:multiLevelType w:val="hybridMultilevel"/>
    <w:lvl w:ilvl="0">
      <w:lvlJc w:val="left"/>
      <w:lvlText w:val="(%1)"/>
      <w:numFmt w:val="lowerLetter"/>
      <w:start w:val="25"/>
    </w:lvl>
  </w:abstractNum>
  <w:abstractNum w:abstractNumId="264">
    <w:nsid w:val="2FD0AD81"/>
    <w:multiLevelType w:val="hybridMultilevel"/>
    <w:lvl w:ilvl="0">
      <w:lvlJc w:val="left"/>
      <w:lvlText w:val="(%1)"/>
      <w:numFmt w:val="lowerLetter"/>
      <w:start w:val="1"/>
    </w:lvl>
    <w:lvl w:ilvl="1">
      <w:lvlJc w:val="left"/>
      <w:lvlText w:val="(%2)"/>
      <w:numFmt w:val="lowerRoman"/>
      <w:start w:val="1"/>
    </w:lvl>
  </w:abstractNum>
  <w:abstractNum w:abstractNumId="265">
    <w:nsid w:val="1978EBE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66">
    <w:nsid w:val="52C12C6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67">
    <w:nsid w:val="4BDD53FD"/>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9"/>
    </w:lvl>
  </w:abstractNum>
  <w:abstractNum w:abstractNumId="268">
    <w:nsid w:val="569951FE"/>
    <w:multiLevelType w:val="hybridMultilevel"/>
    <w:lvl w:ilvl="0">
      <w:lvlJc w:val="left"/>
      <w:lvlText w:val="(%1)"/>
      <w:numFmt w:val="lowerRoman"/>
      <w:start w:val="2"/>
    </w:lvl>
    <w:lvl w:ilvl="1">
      <w:lvlJc w:val="left"/>
      <w:lvlText w:val="(%2)"/>
      <w:numFmt w:val="upperLetter"/>
      <w:start w:val="1"/>
    </w:lvl>
  </w:abstractNum>
  <w:abstractNum w:abstractNumId="269">
    <w:nsid w:val="4C54E2C3"/>
    <w:multiLevelType w:val="hybridMultilevel"/>
    <w:lvl w:ilvl="0">
      <w:lvlJc w:val="left"/>
      <w:lvlText w:val="(%1)"/>
      <w:numFmt w:val="upperLetter"/>
      <w:start w:val="6"/>
    </w:lvl>
  </w:abstractNum>
  <w:abstractNum w:abstractNumId="270">
    <w:nsid w:val="788BD9B"/>
    <w:multiLevelType w:val="hybridMultilevel"/>
    <w:lvl w:ilvl="0">
      <w:lvlJc w:val="left"/>
      <w:lvlText w:val="(%1)"/>
      <w:numFmt w:val="lowerLetter"/>
      <w:start w:val="6"/>
    </w:lvl>
    <w:lvl w:ilvl="1">
      <w:lvlJc w:val="left"/>
      <w:lvlText w:val="(%2)"/>
      <w:numFmt w:val="lowerRoman"/>
      <w:start w:val="1"/>
    </w:lvl>
  </w:abstractNum>
  <w:abstractNum w:abstractNumId="271">
    <w:nsid w:val="47CAA567"/>
    <w:multiLevelType w:val="hybridMultilevel"/>
    <w:lvl w:ilvl="0">
      <w:lvlJc w:val="left"/>
      <w:lvlText w:val="(%1)"/>
      <w:numFmt w:val="lowerLetter"/>
      <w:start w:val="1"/>
    </w:lvl>
    <w:lvl w:ilvl="1">
      <w:lvlJc w:val="left"/>
      <w:lvlText w:val="(%2)"/>
      <w:numFmt w:val="lowerRoman"/>
      <w:start w:val="1"/>
    </w:lvl>
  </w:abstractNum>
  <w:abstractNum w:abstractNumId="272">
    <w:nsid w:val="48249DB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73">
    <w:nsid w:val="1F0E5D0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74">
    <w:nsid w:val="26BAAE9"/>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275">
    <w:nsid w:val="2C02FE8C"/>
    <w:multiLevelType w:val="hybridMultilevel"/>
    <w:lvl w:ilvl="0">
      <w:lvlJc w:val="left"/>
      <w:lvlText w:val="(%1)"/>
      <w:numFmt w:val="lowerLetter"/>
      <w:start w:val="17"/>
    </w:lvl>
  </w:abstractNum>
  <w:abstractNum w:abstractNumId="276">
    <w:nsid w:val="129517E"/>
    <w:multiLevelType w:val="hybridMultilevel"/>
    <w:lvl w:ilvl="0">
      <w:lvlJc w:val="left"/>
      <w:lvlText w:val="(%1)"/>
      <w:numFmt w:val="lowerLetter"/>
      <w:start w:val="1"/>
    </w:lvl>
  </w:abstractNum>
  <w:abstractNum w:abstractNumId="277">
    <w:nsid w:val="763B8C4E"/>
    <w:multiLevelType w:val="hybridMultilevel"/>
    <w:lvl w:ilvl="0">
      <w:lvlJc w:val="left"/>
      <w:lvlText w:val="(%1)"/>
      <w:numFmt w:val="lowerLetter"/>
      <w:start w:val="5"/>
    </w:lvl>
    <w:lvl w:ilvl="1">
      <w:lvlJc w:val="left"/>
      <w:lvlText w:val="(%2)"/>
      <w:numFmt w:val="lowerRoman"/>
      <w:start w:val="1"/>
    </w:lvl>
  </w:abstractNum>
  <w:abstractNum w:abstractNumId="278">
    <w:nsid w:val="4CFB8D32"/>
    <w:multiLevelType w:val="hybridMultilevel"/>
    <w:lvl w:ilvl="0">
      <w:lvlJc w:val="left"/>
      <w:lvlText w:val="%1"/>
      <w:numFmt w:val="lowerLetter"/>
      <w:start w:val="1"/>
    </w:lvl>
    <w:lvl w:ilvl="1">
      <w:lvlJc w:val="left"/>
      <w:lvlText w:val="(%2)"/>
      <w:numFmt w:val="lowerRoman"/>
      <w:start w:val="2"/>
    </w:lvl>
  </w:abstractNum>
  <w:abstractNum w:abstractNumId="279">
    <w:nsid w:val="62A5D5BD"/>
    <w:multiLevelType w:val="hybridMultilevel"/>
    <w:lvl w:ilvl="0">
      <w:lvlJc w:val="left"/>
      <w:lvlText w:val="(%1)"/>
      <w:numFmt w:val="lowerLetter"/>
      <w:start w:val="8"/>
    </w:lvl>
    <w:lvl w:ilvl="1">
      <w:lvlJc w:val="left"/>
      <w:lvlText w:val="%2"/>
      <w:numFmt w:val="lowerRoman"/>
      <w:start w:val="1"/>
    </w:lvl>
  </w:abstractNum>
  <w:abstractNum w:abstractNumId="280">
    <w:nsid w:val="718FABF9"/>
    <w:multiLevelType w:val="hybridMultilevel"/>
    <w:lvl w:ilvl="0">
      <w:lvlJc w:val="left"/>
      <w:lvlText w:val="(%1)"/>
      <w:numFmt w:val="lowerLetter"/>
      <w:start w:val="9"/>
    </w:lvl>
    <w:lvl w:ilvl="1">
      <w:lvlJc w:val="left"/>
      <w:lvlText w:val="(%2)"/>
      <w:numFmt w:val="lowerRoman"/>
      <w:start w:val="1"/>
    </w:lvl>
  </w:abstractNum>
  <w:abstractNum w:abstractNumId="281">
    <w:nsid w:val="7775797C"/>
    <w:multiLevelType w:val="hybridMultilevel"/>
    <w:lvl w:ilvl="0">
      <w:lvlJc w:val="left"/>
      <w:lvlText w:val="(%1)"/>
      <w:numFmt w:val="lowerLetter"/>
      <w:start w:val="1"/>
    </w:lvl>
  </w:abstractNum>
  <w:abstractNum w:abstractNumId="282">
    <w:nsid w:val="1626FB8C"/>
    <w:multiLevelType w:val="hybridMultilevel"/>
    <w:lvl w:ilvl="0">
      <w:lvlJc w:val="left"/>
      <w:lvlText w:val="(%1)"/>
      <w:numFmt w:val="lowerLetter"/>
      <w:start w:val="7"/>
    </w:lvl>
  </w:abstractNum>
  <w:abstractNum w:abstractNumId="283">
    <w:nsid w:val="3957756A"/>
    <w:multiLevelType w:val="hybridMultilevel"/>
    <w:lvl w:ilvl="0">
      <w:lvlJc w:val="left"/>
      <w:lvlText w:val="%1"/>
      <w:numFmt w:val="lowerLetter"/>
      <w:start w:val="1"/>
    </w:lvl>
    <w:lvl w:ilvl="1">
      <w:lvlJc w:val="left"/>
      <w:lvlText w:val="(%2)"/>
      <w:numFmt w:val="lowerLetter"/>
      <w:start w:val="18"/>
    </w:lvl>
  </w:abstractNum>
  <w:abstractNum w:abstractNumId="284">
    <w:nsid w:val="3E6DA1C7"/>
    <w:multiLevelType w:val="hybridMultilevel"/>
    <w:lvl w:ilvl="0">
      <w:lvlJc w:val="left"/>
      <w:lvlText w:val="(%1)"/>
      <w:numFmt w:val="lowerLetter"/>
      <w:start w:val="9"/>
    </w:lvl>
    <w:lvl w:ilvl="1">
      <w:lvlJc w:val="left"/>
      <w:lvlText w:val="(%2)"/>
      <w:numFmt w:val="lowerLetter"/>
      <w:start w:val="19"/>
    </w:lvl>
  </w:abstractNum>
  <w:abstractNum w:abstractNumId="285">
    <w:nsid w:val="65CA235B"/>
    <w:multiLevelType w:val="hybridMultilevel"/>
    <w:lvl w:ilvl="0">
      <w:lvlJc w:val="left"/>
      <w:lvlText w:val="(%1)"/>
      <w:numFmt w:val="lowerLetter"/>
      <w:start w:val="1"/>
    </w:lvl>
  </w:abstractNum>
  <w:abstractNum w:abstractNumId="286">
    <w:nsid w:val="51CB0DA4"/>
    <w:multiLevelType w:val="hybridMultilevel"/>
    <w:lvl w:ilvl="0">
      <w:lvlJc w:val="left"/>
      <w:lvlText w:val="(%1)"/>
      <w:numFmt w:val="lowerRoman"/>
      <w:start w:val="1"/>
    </w:lvl>
  </w:abstractNum>
  <w:abstractNum w:abstractNumId="287">
    <w:nsid w:val="7B9B743C"/>
    <w:multiLevelType w:val="hybridMultilevel"/>
    <w:lvl w:ilvl="0">
      <w:lvlJc w:val="left"/>
      <w:lvlText w:val="(%1)"/>
      <w:numFmt w:val="lowerRoman"/>
      <w:start w:val="4"/>
    </w:lvl>
  </w:abstractNum>
  <w:abstractNum w:abstractNumId="288">
    <w:nsid w:val="13E210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9">
    <w:nsid w:val="257D63F4"/>
    <w:multiLevelType w:val="hybridMultilevel"/>
    <w:lvl w:ilvl="0">
      <w:lvlJc w:val="left"/>
      <w:lvlText w:val="(%1)"/>
      <w:numFmt w:val="lowerLetter"/>
      <w:start w:val="2"/>
    </w:lvl>
    <w:lvl w:ilvl="1">
      <w:lvlJc w:val="left"/>
      <w:lvlText w:val="(%2)"/>
      <w:numFmt w:val="lowerRoman"/>
      <w:start w:val="1"/>
    </w:lvl>
  </w:abstractNum>
  <w:abstractNum w:abstractNumId="290">
    <w:nsid w:val="70EC11B2"/>
    <w:multiLevelType w:val="hybridMultilevel"/>
    <w:lvl w:ilvl="0">
      <w:lvlJc w:val="left"/>
      <w:lvlText w:val="(%1)"/>
      <w:numFmt w:val="lowerLetter"/>
      <w:start w:val="3"/>
    </w:lvl>
  </w:abstractNum>
  <w:abstractNum w:abstractNumId="291">
    <w:nsid w:val="2EDA00ED"/>
    <w:multiLevelType w:val="hybridMultilevel"/>
    <w:lvl w:ilvl="0">
      <w:lvlJc w:val="left"/>
      <w:lvlText w:val="(%1)"/>
      <w:numFmt w:val="lowerLetter"/>
      <w:start w:val="1"/>
    </w:lvl>
    <w:lvl w:ilvl="1">
      <w:lvlJc w:val="left"/>
      <w:lvlText w:val="(%2)"/>
      <w:numFmt w:val="lowerRoman"/>
      <w:start w:val="1"/>
    </w:lvl>
  </w:abstractNum>
  <w:abstractNum w:abstractNumId="292">
    <w:nsid w:val="73209072"/>
    <w:multiLevelType w:val="hybridMultilevel"/>
    <w:lvl w:ilvl="0">
      <w:lvlJc w:val="left"/>
      <w:lvlText w:val="(%1)"/>
      <w:numFmt w:val="upperLetter"/>
      <w:start w:val="1"/>
    </w:lvl>
  </w:abstractNum>
  <w:abstractNum w:abstractNumId="293">
    <w:nsid w:val="5FB29816"/>
    <w:multiLevelType w:val="hybridMultilevel"/>
    <w:lvl w:ilvl="0">
      <w:lvlJc w:val="left"/>
      <w:lvlText w:val="(%1)"/>
      <w:numFmt w:val="lowerLetter"/>
      <w:start w:val="1"/>
    </w:lvl>
  </w:abstractNum>
  <w:abstractNum w:abstractNumId="294">
    <w:nsid w:val="3CE732EC"/>
    <w:multiLevelType w:val="hybridMultilevel"/>
    <w:lvl w:ilvl="0">
      <w:lvlJc w:val="left"/>
      <w:lvlText w:val="(%1)"/>
      <w:numFmt w:val="lowerLetter"/>
      <w:start w:val="1"/>
    </w:lvl>
  </w:abstractNum>
  <w:abstractNum w:abstractNumId="295">
    <w:nsid w:val="22F13DF3"/>
    <w:multiLevelType w:val="hybridMultilevel"/>
    <w:lvl w:ilvl="0">
      <w:lvlJc w:val="left"/>
      <w:lvlText w:val="%1"/>
      <w:numFmt w:val="lowerLetter"/>
      <w:start w:val="1"/>
    </w:lvl>
    <w:lvl w:ilvl="1">
      <w:lvlJc w:val="left"/>
      <w:lvlText w:val="(%2)"/>
      <w:numFmt w:val="lowerRoman"/>
      <w:start w:val="1"/>
    </w:lvl>
  </w:abstractNum>
  <w:abstractNum w:abstractNumId="296">
    <w:nsid w:val="792B8401"/>
    <w:multiLevelType w:val="hybridMultilevel"/>
    <w:lvl w:ilvl="0">
      <w:lvlJc w:val="left"/>
      <w:lvlText w:val="(%1)"/>
      <w:numFmt w:val="lowerLetter"/>
      <w:start w:val="3"/>
    </w:lvl>
    <w:lvl w:ilvl="1">
      <w:lvlJc w:val="left"/>
      <w:lvlText w:val="(%2)"/>
      <w:numFmt w:val="lowerRoman"/>
      <w:start w:val="1"/>
    </w:lvl>
  </w:abstractNum>
  <w:abstractNum w:abstractNumId="297">
    <w:nsid w:val="FA85F4D"/>
    <w:multiLevelType w:val="hybridMultilevel"/>
    <w:lvl w:ilvl="0">
      <w:lvlJc w:val="left"/>
      <w:lvlText w:val="(%1)"/>
      <w:numFmt w:val="lowerLetter"/>
      <w:start w:val="6"/>
    </w:lvl>
    <w:lvl w:ilvl="1">
      <w:lvlJc w:val="left"/>
      <w:lvlText w:val="(%2)"/>
      <w:numFmt w:val="lowerRoman"/>
      <w:start w:val="1"/>
    </w:lvl>
  </w:abstractNum>
  <w:abstractNum w:abstractNumId="298">
    <w:nsid w:val="6ECE91F0"/>
    <w:multiLevelType w:val="hybridMultilevel"/>
    <w:lvl w:ilvl="0">
      <w:lvlJc w:val="left"/>
      <w:lvlText w:val="(%1)"/>
      <w:numFmt w:val="lowerLetter"/>
      <w:start w:val="1"/>
    </w:lvl>
    <w:lvl w:ilvl="1">
      <w:lvlJc w:val="left"/>
      <w:lvlText w:val="(%2)"/>
      <w:numFmt w:val="lowerRoman"/>
      <w:start w:val="1"/>
    </w:lvl>
  </w:abstractNum>
  <w:abstractNum w:abstractNumId="299">
    <w:nsid w:val="4FC4D600"/>
    <w:multiLevelType w:val="hybridMultilevel"/>
    <w:lvl w:ilvl="0">
      <w:lvlJc w:val="left"/>
      <w:lvlText w:val="(%1)"/>
      <w:numFmt w:val="lowerLetter"/>
      <w:start w:val="2"/>
    </w:lvl>
  </w:abstractNum>
  <w:abstractNum w:abstractNumId="300">
    <w:nsid w:val="5BFD4210"/>
    <w:multiLevelType w:val="hybridMultilevel"/>
    <w:lvl w:ilvl="0">
      <w:lvlJc w:val="left"/>
      <w:lvlText w:val="(%1)"/>
      <w:numFmt w:val="lowerLetter"/>
      <w:start w:val="1"/>
    </w:lvl>
  </w:abstractNum>
  <w:abstractNum w:abstractNumId="301">
    <w:nsid w:val="76574F8B"/>
    <w:multiLevelType w:val="hybridMultilevel"/>
    <w:lvl w:ilvl="0">
      <w:lvlJc w:val="left"/>
      <w:lvlText w:val="(%1)"/>
      <w:numFmt w:val="lowerLetter"/>
      <w:start w:val="1"/>
    </w:lvl>
  </w:abstractNum>
  <w:abstractNum w:abstractNumId="302">
    <w:nsid w:val="178F7B67"/>
    <w:multiLevelType w:val="hybridMultilevel"/>
    <w:lvl w:ilvl="0">
      <w:lvlJc w:val="left"/>
      <w:lvlText w:val="(%1)"/>
      <w:numFmt w:val="lowerLetter"/>
      <w:start w:val="1"/>
    </w:lvl>
  </w:abstractNum>
  <w:abstractNum w:abstractNumId="303">
    <w:nsid w:val="2421DFCF"/>
    <w:multiLevelType w:val="hybridMultilevel"/>
    <w:lvl w:ilvl="0">
      <w:lvlJc w:val="left"/>
      <w:lvlText w:val="(%1)"/>
      <w:numFmt w:val="lowerLetter"/>
      <w:start w:val="1"/>
    </w:lvl>
  </w:abstractNum>
  <w:abstractNum w:abstractNumId="304">
    <w:nsid w:val="1565AC99"/>
    <w:multiLevelType w:val="hybridMultilevel"/>
    <w:lvl w:ilvl="0">
      <w:lvlJc w:val="left"/>
      <w:lvlText w:val="(%1)"/>
      <w:numFmt w:val="upperLetter"/>
      <w:start w:val="3"/>
    </w:lvl>
  </w:abstractNum>
  <w:abstractNum w:abstractNumId="305">
    <w:nsid w:val="19FB26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6">
    <w:nsid w:val="5024DE5B"/>
    <w:multiLevelType w:val="hybridMultilevel"/>
    <w:lvl w:ilvl="0">
      <w:lvlJc w:val="left"/>
      <w:lvlText w:val="%1"/>
      <w:numFmt w:val="lowerRoman"/>
      <w:start w:val="1"/>
    </w:lvl>
    <w:lvl w:ilvl="1">
      <w:lvlJc w:val="left"/>
      <w:lvlText w:val="(%2)"/>
      <w:numFmt w:val="upperLetter"/>
      <w:start w:val="3"/>
    </w:lvl>
  </w:abstractNum>
  <w:abstractNum w:abstractNumId="307">
    <w:nsid w:val="168EFE17"/>
    <w:multiLevelType w:val="hybridMultilevel"/>
    <w:lvl w:ilvl="0">
      <w:lvlJc w:val="left"/>
      <w:lvlText w:val="(%1)"/>
      <w:numFmt w:val="lowerRoman"/>
      <w:start w:val="2"/>
    </w:lvl>
    <w:lvl w:ilvl="1">
      <w:lvlJc w:val="left"/>
      <w:lvlText w:val="%2"/>
      <w:numFmt w:val="upperLetter"/>
      <w:start w:val="1"/>
    </w:lvl>
  </w:abstractNum>
  <w:abstractNum w:abstractNumId="308">
    <w:nsid w:val="1036B29F"/>
    <w:multiLevelType w:val="hybridMultilevel"/>
    <w:lvl w:ilvl="0">
      <w:lvlJc w:val="left"/>
      <w:lvlText w:val="(%1)"/>
      <w:numFmt w:val="lowerLetter"/>
      <w:start w:val="2"/>
    </w:lvl>
    <w:lvl w:ilvl="1">
      <w:lvlJc w:val="left"/>
      <w:lvlText w:val="(%2)"/>
      <w:numFmt w:val="lowerRoman"/>
      <w:start w:val="1"/>
    </w:lvl>
  </w:abstractNum>
  <w:abstractNum w:abstractNumId="309">
    <w:nsid w:val="1D206B8E"/>
    <w:multiLevelType w:val="hybridMultilevel"/>
    <w:lvl w:ilvl="0">
      <w:lvlJc w:val="left"/>
      <w:lvlText w:val="(%1)"/>
      <w:numFmt w:val="lowerRoman"/>
      <w:start w:val="3"/>
    </w:lvl>
  </w:abstractNum>
  <w:abstractNum w:abstractNumId="310">
    <w:nsid w:val="7934D3D4"/>
    <w:multiLevelType w:val="hybridMultilevel"/>
    <w:lvl w:ilvl="0">
      <w:lvlJc w:val="left"/>
      <w:lvlText w:val="(%1)"/>
      <w:numFmt w:val="lowerLetter"/>
      <w:start w:val="1"/>
    </w:lvl>
  </w:abstractNum>
  <w:abstractNum w:abstractNumId="311">
    <w:nsid w:val="1C65E98"/>
    <w:multiLevelType w:val="hybridMultilevel"/>
    <w:lvl w:ilvl="0">
      <w:lvlJc w:val="left"/>
      <w:lvlText w:val="(%1)"/>
      <w:numFmt w:val="lowerLetter"/>
      <w:start w:val="3"/>
    </w:lvl>
  </w:abstractNum>
  <w:abstractNum w:abstractNumId="312">
    <w:nsid w:val="1495E50A"/>
    <w:multiLevelType w:val="hybridMultilevel"/>
    <w:lvl w:ilvl="0">
      <w:lvlJc w:val="left"/>
      <w:lvlText w:val="(%1)"/>
      <w:numFmt w:val="lowerLetter"/>
      <w:start w:val="1"/>
    </w:lvl>
    <w:lvl w:ilvl="1">
      <w:lvlJc w:val="left"/>
      <w:lvlText w:val="(%2)"/>
      <w:numFmt w:val="lowerRoman"/>
      <w:start w:val="1"/>
    </w:lvl>
  </w:abstractNum>
  <w:abstractNum w:abstractNumId="313">
    <w:nsid w:val="F5BCF61"/>
    <w:multiLevelType w:val="hybridMultilevel"/>
    <w:lvl w:ilvl="0">
      <w:lvlJc w:val="left"/>
      <w:lvlText w:val="%1"/>
      <w:numFmt w:val="lowerLetter"/>
      <w:start w:val="1"/>
    </w:lvl>
    <w:lvl w:ilvl="1">
      <w:lvlJc w:val="left"/>
      <w:lvlText w:val="(%2)"/>
      <w:numFmt w:val="lowerRoman"/>
      <w:start w:val="4"/>
    </w:lvl>
  </w:abstractNum>
  <w:abstractNum w:abstractNumId="314">
    <w:nsid w:val="3B1DD403"/>
    <w:multiLevelType w:val="hybridMultilevel"/>
    <w:lvl w:ilvl="0">
      <w:lvlJc w:val="left"/>
      <w:lvlText w:val="(%1)"/>
      <w:numFmt w:val="lowerLetter"/>
      <w:start w:val="2"/>
    </w:lvl>
    <w:lvl w:ilvl="1">
      <w:lvlJc w:val="left"/>
      <w:lvlText w:val="%2"/>
      <w:numFmt w:val="lowerRoman"/>
      <w:start w:val="1"/>
    </w:lvl>
  </w:abstractNum>
  <w:abstractNum w:abstractNumId="315">
    <w:nsid w:val="530386D1"/>
    <w:multiLevelType w:val="hybridMultilevel"/>
    <w:lvl w:ilvl="0">
      <w:lvlJc w:val="left"/>
      <w:lvlText w:val="%1"/>
      <w:numFmt w:val="lowerLetter"/>
      <w:start w:val="1"/>
    </w:lvl>
    <w:lvl w:ilvl="1">
      <w:lvlJc w:val="left"/>
      <w:lvlText w:val="(%2)"/>
      <w:numFmt w:val="lowerLetter"/>
      <w:start w:val="1"/>
    </w:lvl>
  </w:abstractNum>
  <w:abstractNum w:abstractNumId="316">
    <w:nsid w:val="7525F2BC"/>
    <w:multiLevelType w:val="hybridMultilevel"/>
    <w:lvl w:ilvl="0">
      <w:lvlJc w:val="left"/>
      <w:lvlText w:val="(%1)"/>
      <w:numFmt w:val="lowerLetter"/>
      <w:start w:val="61"/>
    </w:lvl>
    <w:lvl w:ilvl="1">
      <w:lvlJc w:val="left"/>
      <w:lvlText w:val="%2"/>
      <w:numFmt w:val="lowerLetter"/>
      <w:start w:val="1"/>
    </w:lvl>
  </w:abstractNum>
  <w:abstractNum w:abstractNumId="317">
    <w:nsid w:val="CE8E1A7"/>
    <w:multiLevelType w:val="hybridMultilevel"/>
    <w:lvl w:ilvl="0">
      <w:lvlJc w:val="left"/>
      <w:lvlText w:val="(%1)"/>
      <w:numFmt w:val="lowerLetter"/>
      <w:start w:val="3"/>
    </w:lvl>
    <w:lvl w:ilvl="1">
      <w:lvlJc w:val="left"/>
      <w:lvlText w:val="(%2)"/>
      <w:numFmt w:val="lowerRoman"/>
      <w:start w:val="1"/>
    </w:lvl>
  </w:abstractNum>
  <w:abstractNum w:abstractNumId="318">
    <w:nsid w:val="4E9EFB0D"/>
    <w:multiLevelType w:val="hybridMultilevel"/>
    <w:lvl w:ilvl="0">
      <w:lvlJc w:val="left"/>
      <w:lvlText w:val="(%1)"/>
      <w:numFmt w:val="lowerRoman"/>
      <w:start w:val="4"/>
    </w:lvl>
    <w:lvl w:ilvl="1">
      <w:lvlJc w:val="left"/>
      <w:lvlText w:val="(%2)"/>
      <w:numFmt w:val="upperLetter"/>
      <w:start w:val="1"/>
    </w:lvl>
  </w:abstractNum>
  <w:abstractNum w:abstractNumId="319">
    <w:nsid w:val="90802BE"/>
    <w:multiLevelType w:val="hybridMultilevel"/>
    <w:lvl w:ilvl="0">
      <w:lvlJc w:val="left"/>
      <w:lvlText w:val="(%1)"/>
      <w:numFmt w:val="lowerRoman"/>
      <w:start w:val="1"/>
    </w:lvl>
  </w:abstractNum>
  <w:abstractNum w:abstractNumId="320">
    <w:nsid w:val="3266459B"/>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321">
    <w:nsid w:val="3F8B0CBF"/>
    <w:multiLevelType w:val="hybridMultilevel"/>
    <w:lvl w:ilvl="0">
      <w:lvlJc w:val="left"/>
      <w:lvlText w:val="(%1)"/>
      <w:numFmt w:val="upperLetter"/>
      <w:start w:val="35"/>
    </w:lvl>
    <w:lvl w:ilvl="1">
      <w:lvlJc w:val="left"/>
      <w:lvlText w:val="(%2)"/>
      <w:numFmt w:val="lowerRoman"/>
      <w:start w:val="3"/>
    </w:lvl>
    <w:lvl w:ilvl="2">
      <w:lvlJc w:val="left"/>
      <w:lvlText w:val="(%3)"/>
      <w:numFmt w:val="upperLetter"/>
      <w:start w:val="1"/>
    </w:lvl>
  </w:abstractNum>
  <w:abstractNum w:abstractNumId="322">
    <w:nsid w:val="37E203AB"/>
    <w:multiLevelType w:val="hybridMultilevel"/>
    <w:lvl w:ilvl="0">
      <w:lvlJc w:val="left"/>
      <w:lvlText w:val="(%1)"/>
      <w:numFmt w:val="upperLetter"/>
      <w:start w:val="2"/>
    </w:lvl>
  </w:abstractNum>
  <w:abstractNum w:abstractNumId="323">
    <w:nsid w:val="2586D60E"/>
    <w:multiLevelType w:val="hybridMultilevel"/>
    <w:lvl w:ilvl="0">
      <w:lvlJc w:val="left"/>
      <w:lvlText w:val="(%1)"/>
      <w:numFmt w:val="lowerLetter"/>
      <w:start w:val="1"/>
    </w:lvl>
    <w:lvl w:ilvl="1">
      <w:lvlJc w:val="left"/>
      <w:lvlText w:val="(%2)"/>
      <w:numFmt w:val="lowerRoman"/>
      <w:start w:val="1"/>
    </w:lvl>
  </w:abstractNum>
  <w:abstractNum w:abstractNumId="324">
    <w:nsid w:val="1F3DA4D5"/>
    <w:multiLevelType w:val="hybridMultilevel"/>
    <w:lvl w:ilvl="0">
      <w:lvlJc w:val="left"/>
      <w:lvlText w:val="(%1)"/>
      <w:numFmt w:val="lowerLetter"/>
      <w:start w:val="2"/>
    </w:lvl>
  </w:abstractNum>
  <w:abstractNum w:abstractNumId="325">
    <w:nsid w:val="74C93698"/>
    <w:multiLevelType w:val="hybridMultilevel"/>
    <w:lvl w:ilvl="0">
      <w:lvlJc w:val="left"/>
      <w:lvlText w:val="(%1)"/>
      <w:numFmt w:val="lowerLetter"/>
      <w:start w:val="4"/>
    </w:lvl>
  </w:abstractNum>
  <w:abstractNum w:abstractNumId="326">
    <w:nsid w:val="48781401"/>
    <w:multiLevelType w:val="hybridMultilevel"/>
    <w:lvl w:ilvl="0">
      <w:lvlJc w:val="left"/>
      <w:lvlText w:val="(%1)"/>
      <w:numFmt w:val="lowerLetter"/>
      <w:start w:val="8"/>
    </w:lvl>
  </w:abstractNum>
  <w:abstractNum w:abstractNumId="327">
    <w:nsid w:val="186928D6"/>
    <w:multiLevelType w:val="hybridMultilevel"/>
    <w:lvl w:ilvl="0">
      <w:lvlJc w:val="left"/>
      <w:lvlText w:val="(%1)"/>
      <w:numFmt w:val="lowerLetter"/>
      <w:start w:val="1"/>
    </w:lvl>
  </w:abstractNum>
  <w:abstractNum w:abstractNumId="328">
    <w:nsid w:val="47195E5"/>
    <w:multiLevelType w:val="hybridMultilevel"/>
    <w:lvl w:ilvl="0">
      <w:lvlJc w:val="left"/>
      <w:lvlText w:val="(%1)"/>
      <w:numFmt w:val="lowerLetter"/>
      <w:start w:val="1"/>
    </w:lvl>
    <w:lvl w:ilvl="1">
      <w:lvlJc w:val="left"/>
      <w:lvlText w:val="(%2)"/>
      <w:numFmt w:val="lowerRoman"/>
      <w:start w:val="1"/>
    </w:lvl>
  </w:abstractNum>
  <w:abstractNum w:abstractNumId="329">
    <w:nsid w:val="3746A5F2"/>
    <w:multiLevelType w:val="hybridMultilevel"/>
    <w:lvl w:ilvl="0">
      <w:lvlJc w:val="left"/>
      <w:lvlText w:val="(%1)"/>
      <w:numFmt w:val="lowerLetter"/>
      <w:start w:val="2"/>
    </w:lvl>
    <w:lvl w:ilvl="1">
      <w:lvlJc w:val="left"/>
      <w:lvlText w:val="(%2)"/>
      <w:numFmt w:val="decimal"/>
    </w:lvl>
    <w:lvl w:ilvl="2">
      <w:lvlJc w:val="left"/>
      <w:lvlText w:val="(%3)"/>
      <w:numFmt w:val="lowerRoman"/>
      <w:start w:val="1"/>
    </w:lvl>
    <w:lvl w:ilvl="3">
      <w:lvlJc w:val="left"/>
      <w:lvlText w:val="(%4)"/>
      <w:numFmt w:val="upperLetter"/>
      <w:start w:val="1"/>
    </w:lvl>
  </w:abstractNum>
  <w:abstractNum w:abstractNumId="330">
    <w:nsid w:val="682DFED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331">
    <w:nsid w:val="606ED7F6"/>
    <w:multiLevelType w:val="hybridMultilevel"/>
    <w:lvl w:ilvl="0">
      <w:lvlJc w:val="left"/>
      <w:lvlText w:val="(%1)"/>
      <w:numFmt w:val="lowerLetter"/>
      <w:start w:val="24"/>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332">
    <w:nsid w:val="2D9DF57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333">
    <w:nsid w:val="7FBD7A3E"/>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334">
    <w:nsid w:val="490B7C5"/>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2"/>
    </w:lvl>
  </w:abstractNum>
  <w:abstractNum w:abstractNumId="335">
    <w:nsid w:val="4303A216"/>
    <w:multiLevelType w:val="hybridMultilevel"/>
    <w:lvl w:ilvl="0">
      <w:lvlJc w:val="left"/>
      <w:lvlText w:val="(%1)"/>
      <w:numFmt w:val="lowerRoman"/>
      <w:start w:val="6"/>
    </w:lvl>
  </w:abstractNum>
  <w:abstractNum w:abstractNumId="336">
    <w:nsid w:val="19B8A08E"/>
    <w:multiLevelType w:val="hybridMultilevel"/>
    <w:lvl w:ilvl="0">
      <w:lvlJc w:val="left"/>
      <w:lvlText w:val="(%1)"/>
      <w:numFmt w:val="lowerLetter"/>
      <w:start w:val="3"/>
    </w:lvl>
  </w:abstractNum>
  <w:abstractNum w:abstractNumId="337">
    <w:nsid w:val="54B59621"/>
    <w:multiLevelType w:val="hybridMultilevel"/>
    <w:lvl w:ilvl="0">
      <w:lvlJc w:val="left"/>
      <w:lvlText w:val="(%1)"/>
      <w:numFmt w:val="lowerLetter"/>
      <w:start w:val="4"/>
    </w:lvl>
  </w:abstractNum>
  <w:abstractNum w:abstractNumId="338">
    <w:nsid w:val="5992A02E"/>
    <w:multiLevelType w:val="hybridMultilevel"/>
    <w:lvl w:ilvl="0">
      <w:lvlJc w:val="left"/>
      <w:lvlText w:val="(%1)"/>
      <w:numFmt w:val="lowerLetter"/>
      <w:start w:val="7"/>
    </w:lvl>
    <w:lvl w:ilvl="1">
      <w:lvlJc w:val="left"/>
      <w:lvlText w:val="(%2)"/>
      <w:numFmt w:val="lowerRoman"/>
      <w:start w:val="1"/>
    </w:lvl>
  </w:abstractNum>
  <w:abstractNum w:abstractNumId="339">
    <w:nsid w:val="29EF532D"/>
    <w:multiLevelType w:val="hybridMultilevel"/>
    <w:lvl w:ilvl="0">
      <w:lvlJc w:val="left"/>
      <w:lvlText w:val="(%1)"/>
      <w:numFmt w:val="lowerRoman"/>
      <w:start w:val="3"/>
    </w:lvl>
  </w:abstractNum>
  <w:abstractNum w:abstractNumId="340">
    <w:nsid w:val="71D601AF"/>
    <w:multiLevelType w:val="hybridMultilevel"/>
    <w:lvl w:ilvl="0">
      <w:lvlJc w:val="left"/>
      <w:lvlText w:val="(%1)"/>
      <w:numFmt w:val="lowerRoman"/>
      <w:start w:val="1"/>
    </w:lvl>
    <w:lvl w:ilvl="1">
      <w:lvlJc w:val="left"/>
      <w:lvlText w:val="(%2)"/>
      <w:numFmt w:val="lowerRoman"/>
      <w:start w:val="1"/>
    </w:lvl>
  </w:abstractNum>
  <w:abstractNum w:abstractNumId="341">
    <w:nsid w:val="52C77402"/>
    <w:multiLevelType w:val="hybridMultilevel"/>
    <w:lvl w:ilvl="0">
      <w:lvlJc w:val="left"/>
      <w:lvlText w:val="%1"/>
      <w:numFmt w:val="lowerLetter"/>
      <w:start w:val="1"/>
    </w:lvl>
    <w:lvl w:ilvl="1">
      <w:lvlJc w:val="left"/>
      <w:lvlText w:val="(%2)"/>
      <w:numFmt w:val="lowerLetter"/>
      <w:start w:val="35"/>
    </w:lvl>
  </w:abstractNum>
  <w:abstractNum w:abstractNumId="342">
    <w:nsid w:val="2BB5B1C6"/>
    <w:multiLevelType w:val="hybridMultilevel"/>
    <w:lvl w:ilvl="0">
      <w:lvlJc w:val="left"/>
      <w:lvlText w:val="(%1)"/>
      <w:numFmt w:val="lowerLetter"/>
      <w:start w:val="10"/>
    </w:lvl>
    <w:lvl w:ilvl="1">
      <w:lvlJc w:val="left"/>
      <w:lvlText w:val="%2"/>
      <w:numFmt w:val="lowerLetter"/>
      <w:start w:val="1"/>
    </w:lvl>
  </w:abstractNum>
  <w:abstractNum w:abstractNumId="343">
    <w:nsid w:val="66BE6B9"/>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344">
    <w:nsid w:val="62234363"/>
    <w:multiLevelType w:val="hybridMultilevel"/>
    <w:lvl w:ilvl="0">
      <w:lvlJc w:val="left"/>
      <w:lvlText w:val="(%1)"/>
      <w:numFmt w:val="lowerLetter"/>
      <w:start w:val="13"/>
    </w:lvl>
  </w:abstractNum>
  <w:abstractNum w:abstractNumId="345">
    <w:nsid w:val="66D385C9"/>
    <w:multiLevelType w:val="hybridMultilevel"/>
    <w:lvl w:ilvl="0">
      <w:lvlJc w:val="left"/>
      <w:lvlText w:val="(%1)"/>
      <w:numFmt w:val="lowerLetter"/>
      <w:start w:val="1"/>
    </w:lvl>
  </w:abstractNum>
  <w:abstractNum w:abstractNumId="346">
    <w:nsid w:val="596F6D8A"/>
    <w:multiLevelType w:val="hybridMultilevel"/>
    <w:lvl w:ilvl="0">
      <w:lvlJc w:val="left"/>
      <w:lvlText w:val="(%1)"/>
      <w:numFmt w:val="lowerRoman"/>
      <w:start w:val="1"/>
    </w:lvl>
  </w:abstractNum>
  <w:abstractNum w:abstractNumId="347">
    <w:nsid w:val="5749361F"/>
    <w:multiLevelType w:val="hybridMultilevel"/>
    <w:lvl w:ilvl="0">
      <w:lvlJc w:val="left"/>
      <w:lvlText w:val="(%1)"/>
      <w:numFmt w:val="lowerRoman"/>
      <w:start w:val="4"/>
    </w:lvl>
  </w:abstractNum>
  <w:abstractNum w:abstractNumId="348">
    <w:nsid w:val="73BC6770"/>
    <w:multiLevelType w:val="hybridMultilevel"/>
    <w:lvl w:ilvl="0">
      <w:lvlJc w:val="left"/>
      <w:lvlText w:val="(%1)"/>
      <w:numFmt w:val="lowerLetter"/>
      <w:start w:val="1"/>
    </w:lvl>
  </w:abstractNum>
  <w:abstractNum w:abstractNumId="349">
    <w:nsid w:val="280E6897"/>
    <w:multiLevelType w:val="hybridMultilevel"/>
    <w:lvl w:ilvl="0">
      <w:lvlJc w:val="left"/>
      <w:lvlText w:val="(%1)"/>
      <w:numFmt w:val="lowerLetter"/>
      <w:start w:val="3"/>
    </w:lvl>
  </w:abstractNum>
  <w:abstractNum w:abstractNumId="350">
    <w:nsid w:val="605138DE"/>
    <w:multiLevelType w:val="hybridMultilevel"/>
    <w:lvl w:ilvl="0">
      <w:lvlJc w:val="left"/>
      <w:lvlText w:val="(%1)"/>
      <w:numFmt w:val="lowerRoman"/>
      <w:start w:val="2"/>
    </w:lvl>
  </w:abstractNum>
  <w:abstractNum w:abstractNumId="351">
    <w:nsid w:val="2622AD0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pn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png"/><Relationship Id="rId511" Type="http://schemas.openxmlformats.org/officeDocument/2006/relationships/image" Target="media/image482.png"/><Relationship Id="rId512" Type="http://schemas.openxmlformats.org/officeDocument/2006/relationships/image" Target="media/image483.png"/><Relationship Id="rId513" Type="http://schemas.openxmlformats.org/officeDocument/2006/relationships/image" Target="media/image484.pn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pn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34" Type="http://schemas.openxmlformats.org/officeDocument/2006/relationships/image" Target="media/image505.png"/><Relationship Id="rId535" Type="http://schemas.openxmlformats.org/officeDocument/2006/relationships/image" Target="media/image506.png"/><Relationship Id="rId536" Type="http://schemas.openxmlformats.org/officeDocument/2006/relationships/image" Target="media/image507.png"/><Relationship Id="rId537"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2" Type="http://schemas.openxmlformats.org/officeDocument/2006/relationships/image" Target="media/image513.png"/><Relationship Id="rId543" Type="http://schemas.openxmlformats.org/officeDocument/2006/relationships/image" Target="media/image514.png"/><Relationship Id="rId544"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49" Type="http://schemas.openxmlformats.org/officeDocument/2006/relationships/image" Target="media/image520.png"/><Relationship Id="rId550" Type="http://schemas.openxmlformats.org/officeDocument/2006/relationships/image" Target="media/image521.png"/><Relationship Id="rId551" Type="http://schemas.openxmlformats.org/officeDocument/2006/relationships/image" Target="media/image522.png"/><Relationship Id="rId552" Type="http://schemas.openxmlformats.org/officeDocument/2006/relationships/image" Target="media/image523.png"/><Relationship Id="rId553" Type="http://schemas.openxmlformats.org/officeDocument/2006/relationships/image" Target="media/image524.png"/><Relationship Id="rId554" Type="http://schemas.openxmlformats.org/officeDocument/2006/relationships/image" Target="media/image525.png"/><Relationship Id="rId555"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60" Type="http://schemas.openxmlformats.org/officeDocument/2006/relationships/image" Target="media/image531.png"/><Relationship Id="rId561" Type="http://schemas.openxmlformats.org/officeDocument/2006/relationships/image" Target="media/image532.png"/><Relationship Id="rId562" Type="http://schemas.openxmlformats.org/officeDocument/2006/relationships/image" Target="media/image533.png"/><Relationship Id="rId563" Type="http://schemas.openxmlformats.org/officeDocument/2006/relationships/image" Target="media/image534.png"/><Relationship Id="rId564" Type="http://schemas.openxmlformats.org/officeDocument/2006/relationships/image" Target="media/image535.png"/><Relationship Id="rId565" Type="http://schemas.openxmlformats.org/officeDocument/2006/relationships/image" Target="media/image536.png"/><Relationship Id="rId566" Type="http://schemas.openxmlformats.org/officeDocument/2006/relationships/image" Target="media/image537.png"/><Relationship Id="rId567" Type="http://schemas.openxmlformats.org/officeDocument/2006/relationships/image" Target="media/image538.png"/><Relationship Id="rId568" Type="http://schemas.openxmlformats.org/officeDocument/2006/relationships/image" Target="media/image539.png"/><Relationship Id="rId569" Type="http://schemas.openxmlformats.org/officeDocument/2006/relationships/image" Target="media/image540.png"/><Relationship Id="rId570" Type="http://schemas.openxmlformats.org/officeDocument/2006/relationships/image" Target="media/image541.png"/><Relationship Id="rId571" Type="http://schemas.openxmlformats.org/officeDocument/2006/relationships/image" Target="media/image542.png"/><Relationship Id="rId572" Type="http://schemas.openxmlformats.org/officeDocument/2006/relationships/image" Target="media/image543.png"/><Relationship Id="rId573" Type="http://schemas.openxmlformats.org/officeDocument/2006/relationships/image" Target="media/image544.png"/><Relationship Id="rId574" Type="http://schemas.openxmlformats.org/officeDocument/2006/relationships/image" Target="media/image545.png"/><Relationship Id="rId575" Type="http://schemas.openxmlformats.org/officeDocument/2006/relationships/image" Target="media/image546.png"/><Relationship Id="rId576" Type="http://schemas.openxmlformats.org/officeDocument/2006/relationships/image" Target="media/image547.png"/><Relationship Id="rId577" Type="http://schemas.openxmlformats.org/officeDocument/2006/relationships/image" Target="media/image548.png"/><Relationship Id="rId578" Type="http://schemas.openxmlformats.org/officeDocument/2006/relationships/image" Target="media/image549.png"/><Relationship Id="rId579" Type="http://schemas.openxmlformats.org/officeDocument/2006/relationships/image" Target="media/image550.png"/><Relationship Id="rId580" Type="http://schemas.openxmlformats.org/officeDocument/2006/relationships/image" Target="media/image551.png"/><Relationship Id="rId581" Type="http://schemas.openxmlformats.org/officeDocument/2006/relationships/image" Target="media/image552.png"/><Relationship Id="rId582" Type="http://schemas.openxmlformats.org/officeDocument/2006/relationships/image" Target="media/image553.png"/><Relationship Id="rId583" Type="http://schemas.openxmlformats.org/officeDocument/2006/relationships/image" Target="media/image554.png"/><Relationship Id="rId584" Type="http://schemas.openxmlformats.org/officeDocument/2006/relationships/image" Target="media/image555.png"/><Relationship Id="rId585" Type="http://schemas.openxmlformats.org/officeDocument/2006/relationships/image" Target="media/image556.png"/><Relationship Id="rId586" Type="http://schemas.openxmlformats.org/officeDocument/2006/relationships/image" Target="media/image557.png"/><Relationship Id="rId587" Type="http://schemas.openxmlformats.org/officeDocument/2006/relationships/image" Target="media/image558.png"/><Relationship Id="rId588" Type="http://schemas.openxmlformats.org/officeDocument/2006/relationships/image" Target="media/image559.png"/><Relationship Id="rId589" Type="http://schemas.openxmlformats.org/officeDocument/2006/relationships/image" Target="media/image560.png"/><Relationship Id="rId590" Type="http://schemas.openxmlformats.org/officeDocument/2006/relationships/image" Target="media/image561.png"/><Relationship Id="rId591" Type="http://schemas.openxmlformats.org/officeDocument/2006/relationships/image" Target="media/image562.png"/><Relationship Id="rId592" Type="http://schemas.openxmlformats.org/officeDocument/2006/relationships/image" Target="media/image563.png"/><Relationship Id="rId593" Type="http://schemas.openxmlformats.org/officeDocument/2006/relationships/image" Target="media/image564.png"/><Relationship Id="rId594" Type="http://schemas.openxmlformats.org/officeDocument/2006/relationships/image" Target="media/image565.png"/><Relationship Id="rId595" Type="http://schemas.openxmlformats.org/officeDocument/2006/relationships/image" Target="media/image566.png"/><Relationship Id="rId596" Type="http://schemas.openxmlformats.org/officeDocument/2006/relationships/image" Target="media/image567.png"/><Relationship Id="rId597" Type="http://schemas.openxmlformats.org/officeDocument/2006/relationships/image" Target="media/image568.png"/><Relationship Id="rId598" Type="http://schemas.openxmlformats.org/officeDocument/2006/relationships/image" Target="media/image569.png"/><Relationship Id="rId599" Type="http://schemas.openxmlformats.org/officeDocument/2006/relationships/image" Target="media/image570.png"/><Relationship Id="rId600" Type="http://schemas.openxmlformats.org/officeDocument/2006/relationships/image" Target="media/image571.png"/><Relationship Id="rId601" Type="http://schemas.openxmlformats.org/officeDocument/2006/relationships/image" Target="media/image572.png"/><Relationship Id="rId602" Type="http://schemas.openxmlformats.org/officeDocument/2006/relationships/image" Target="media/image573.png"/><Relationship Id="rId603" Type="http://schemas.openxmlformats.org/officeDocument/2006/relationships/image" Target="media/image574.png"/><Relationship Id="rId604" Type="http://schemas.openxmlformats.org/officeDocument/2006/relationships/image" Target="media/image575.png"/><Relationship Id="rId605" Type="http://schemas.openxmlformats.org/officeDocument/2006/relationships/image" Target="media/image576.png"/><Relationship Id="rId606" Type="http://schemas.openxmlformats.org/officeDocument/2006/relationships/image" Target="media/image577.png"/><Relationship Id="rId303" Type="http://schemas.openxmlformats.org/officeDocument/2006/relationships/hyperlink" Target="https://www.sec.gov/Archives/edgar/data/1853513/000095017022009801/mcw-ex2_1.htm" TargetMode="External"/><Relationship Id="rId304" Type="http://schemas.openxmlformats.org/officeDocument/2006/relationships/hyperlink" Target="https://www.sec.gov/Archives/edgar/data/1853513/000119312521207571/d197509dex31.htm" TargetMode="External"/><Relationship Id="rId305" Type="http://schemas.openxmlformats.org/officeDocument/2006/relationships/hyperlink" Target="https://www.sec.gov/Archives/edgar/data/1853513/000119312521207571/d197509dex32.htm" TargetMode="External"/><Relationship Id="rId306" Type="http://schemas.openxmlformats.org/officeDocument/2006/relationships/hyperlink" Target="https://www.sec.gov/Archives/edgar/data/1853513/000095017022004616/mcw-ex4_1.htm" TargetMode="External"/><Relationship Id="rId307" Type="http://schemas.openxmlformats.org/officeDocument/2006/relationships/hyperlink" Target="https://www.sec.gov/Archives/edgar/data/1853513/000119312521207571/d197509dex101.htm" TargetMode="External"/><Relationship Id="rId308" Type="http://schemas.openxmlformats.org/officeDocument/2006/relationships/hyperlink" Target="https://www.sec.gov/Archives/edgar/data/1853513/000119312521192606/d117644dex101b.htm" TargetMode="External"/><Relationship Id="rId309" Type="http://schemas.openxmlformats.org/officeDocument/2006/relationships/hyperlink" Target="https://www.sec.gov/Archives/edgar/data/1853513/000119312521178969/d117644dex101.htm" TargetMode="External"/><Relationship Id="rId310" Type="http://schemas.openxmlformats.org/officeDocument/2006/relationships/hyperlink" Target="https://www.sec.gov/Archives/edgar/data/1853513/000119312521178969/d117644dex101a.htm" TargetMode="External"/><Relationship Id="rId311" Type="http://schemas.openxmlformats.org/officeDocument/2006/relationships/hyperlink" Target="https://www.sec.gov/Archives/edgar/data/1853513/000119312521178969/d117644dex102.htm" TargetMode="External"/><Relationship Id="rId312" Type="http://schemas.openxmlformats.org/officeDocument/2006/relationships/hyperlink" Target="https://www.sec.gov/Archives/edgar/data/1853513/000119312521178969/d117644dex102a.htm" TargetMode="External"/><Relationship Id="rId313" Type="http://schemas.openxmlformats.org/officeDocument/2006/relationships/hyperlink" Target="https://www.sec.gov/Archives/edgar/data/1853513/000095017022004616/mcw-ex10_7.htm" TargetMode="External"/><Relationship Id="rId314" Type="http://schemas.openxmlformats.org/officeDocument/2006/relationships/hyperlink" Target="https://www.sec.gov/Archives/edgar/data/1853513/000119312521178969/d117644dex103.htm" TargetMode="External"/><Relationship Id="rId317" Type="http://schemas.openxmlformats.org/officeDocument/2006/relationships/hyperlink" Target="https://www.sec.gov/Archives/edgar/data/1853513/000119312521178969/d117644dex103a.htm" TargetMode="External"/><Relationship Id="rId318" Type="http://schemas.openxmlformats.org/officeDocument/2006/relationships/hyperlink" Target="https://www.sec.gov/Archives/edgar/data/1853513/000119312521192606/d117644dex104.htm" TargetMode="External"/><Relationship Id="rId319" Type="http://schemas.openxmlformats.org/officeDocument/2006/relationships/hyperlink" Target="https://www.sec.gov/Archives/edgar/data/1853513/000119312521192606/d117644dex1012.htm" TargetMode="External"/><Relationship Id="rId320" Type="http://schemas.openxmlformats.org/officeDocument/2006/relationships/hyperlink" Target="https://www.sec.gov/Archives/edgar/data/1853513/000119312521192606/d117644dex1013.htm" TargetMode="External"/><Relationship Id="rId321" Type="http://schemas.openxmlformats.org/officeDocument/2006/relationships/hyperlink" Target="https://www.sec.gov/Archives/edgar/data/1853513/000119312521192606/d117644dex105.htm" TargetMode="External"/><Relationship Id="rId322" Type="http://schemas.openxmlformats.org/officeDocument/2006/relationships/hyperlink" Target="https://www.sec.gov/Archives/edgar/data/1853513/000119312521192606/d117644dex106.htm" TargetMode="External"/><Relationship Id="rId323" Type="http://schemas.openxmlformats.org/officeDocument/2006/relationships/hyperlink" Target="https://www.sec.gov/Archives/edgar/data/1853513/000095017022004616/mcw-ex10_14.htm" TargetMode="External"/><Relationship Id="rId324" Type="http://schemas.openxmlformats.org/officeDocument/2006/relationships/hyperlink" Target="https://www.sec.gov/Archives/edgar/data/1853513/000119312521192606/d117644dex1010.htm" TargetMode="External"/><Relationship Id="rId325" Type="http://schemas.openxmlformats.org/officeDocument/2006/relationships/hyperlink" Target="https://www.sec.gov/Archives/edgar/data/1853513/000119312521192606/d117644dex1011.htm" TargetMode="External"/><Relationship Id="rId326" Type="http://schemas.openxmlformats.org/officeDocument/2006/relationships/hyperlink" Target="https://www.sec.gov/Archives/edgar/data/1853513/000119312522181493/d3625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2023-02-24T13:29:55Z</dcterms:created>
  <dcterms:modified xsi:type="dcterms:W3CDTF">2023-02-24T13:29:55Z</dcterms:modified>
</cp:coreProperties>
</file>