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333-257401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333-270270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333-257401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333-270270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333-277588</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47-1393909</w:t>
      </w:r>
    </w:p>
    <w:p>
      <w:pPr>
        <w:spacing w:after="0" w:line="12" w:lineRule="exact"/>
        <w:rPr>
          <w:sz w:val="24"/>
          <w:szCs w:val="24"/>
          <w:color w:val="auto"/>
        </w:rPr>
      </w:pPr>
    </w:p>
    <w:p>
      <w:pPr>
        <w:sectPr>
          <w:pgSz w:w="11900" w:h="16838" w:orient="portrait"/>
          <w:cols w:equalWidth="0" w:num="2">
            <w:col w:w="7180" w:space="720"/>
            <w:col w:w="312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222 E. 5th Street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Tucson, Arizona 85705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(520) 615-4000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0"/>
          </w:cols>
          <w:pgMar w:left="440" w:top="225" w:right="439" w:bottom="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 2021 INCENTIVE AWARD PLAN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 2021 EMPLOYEE STOCK PURCHASE PLAN</w:t>
      </w:r>
    </w:p>
    <w:p>
      <w:pPr>
        <w:spacing w:after="0" w:line="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2014 STOCK OPTION PLAN OF HOTSHINE HOLDINGS, INC.</w:t>
      </w:r>
    </w:p>
    <w:p>
      <w:pPr>
        <w:spacing w:after="0" w:line="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HOTSHINE HOLDINGS, INC. 2014 ROLLOVER OPTION PLAN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Jedidiah Gold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222 E. 5th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Tucson, Arizona 85705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(520) 615-4000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Gregory P. Rodgers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Benjamin J. Cohen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Drew Capurro</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1271 Avenue of the Americas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Mister Car Wash,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 from registration all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pertaining to the registration of shares of Common Stock.</w:t>
      </w:r>
    </w:p>
    <w:p>
      <w:pPr>
        <w:spacing w:after="0" w:line="85" w:lineRule="exact"/>
        <w:rPr>
          <w:sz w:val="20"/>
          <w:szCs w:val="20"/>
          <w:color w:val="auto"/>
        </w:rPr>
      </w:pPr>
    </w:p>
    <w:p>
      <w:pPr>
        <w:ind w:left="960" w:right="60" w:hanging="424"/>
        <w:spacing w:after="0" w:line="261"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No. 333-257401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June 25, 2021, registering 30,056,431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Incentive Award Plan, 5,000,000 shares of Common Stock under the 2021 Employee Stock Purchase Plan, 34,853,932 shares of Common Stock under the 2014 Stock Option Plan of Hotshine Holdings, Inc. and 630,552 shares of Common Stock under the Hotshine Holdings, Inc. 2014 Rollover Option Plan;</w:t>
      </w:r>
    </w:p>
    <w:p>
      <w:pPr>
        <w:spacing w:after="0" w:line="85" w:lineRule="exact"/>
        <w:rPr>
          <w:rFonts w:ascii="Times New Roman" w:cs="Times New Roman" w:eastAsia="Times New Roman" w:hAnsi="Times New Roman"/>
          <w:sz w:val="18"/>
          <w:szCs w:val="18"/>
          <w:color w:val="0000EE"/>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No. 333-270270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March 3, 2023, registering 3,033,734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Employee Stock Purchase Plan; and</w:t>
      </w:r>
    </w:p>
    <w:p>
      <w:pPr>
        <w:spacing w:after="0" w:line="67" w:lineRule="exact"/>
        <w:rPr>
          <w:rFonts w:ascii="Times New Roman" w:cs="Times New Roman" w:eastAsia="Times New Roman" w:hAnsi="Times New Roman"/>
          <w:sz w:val="18"/>
          <w:szCs w:val="18"/>
          <w:color w:val="0000EE"/>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No. 333-277588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March 1, 2024, registering 1,575,962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Employee Stock Purchase Plan.</w:t>
      </w:r>
    </w:p>
    <w:p>
      <w:pPr>
        <w:spacing w:after="0" w:line="162" w:lineRule="exact"/>
        <w:rPr>
          <w:rFonts w:ascii="Times New Roman" w:cs="Times New Roman" w:eastAsia="Times New Roman" w:hAnsi="Times New Roman"/>
          <w:sz w:val="18"/>
          <w:szCs w:val="18"/>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17, 2026, the Company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MCW Parent, LP, a Delaware limited partnership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Boson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purposes of the Borrower Provisions (as defined in the Merger Agreement), Mister Car Wash Holdings, Inc., a Delaware corporation and wholly owned subsidiary of the Company. On May 19, 2026, pursuant to the Merger Agreement, Merger Sub merged with and into the Company, with the Company continuing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Merger,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offering.</w:t>
      </w:r>
    </w:p>
    <w:p>
      <w:pPr>
        <w:sectPr>
          <w:pgSz w:w="11900" w:h="16838" w:orient="portrait"/>
          <w:cols w:equalWidth="0" w:num="1">
            <w:col w:w="11020"/>
          </w:cols>
          <w:pgMar w:left="440" w:top="266" w:right="4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Tucson, State of Arizona, on May 19,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Lai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9" Type="http://schemas.openxmlformats.org/officeDocument/2006/relationships/hyperlink" Target="http://www.sec.gov/Archives/edgar/data/1853513/000119312521200256/d78114ds8.htm" TargetMode="External"/><Relationship Id="rId20" Type="http://schemas.openxmlformats.org/officeDocument/2006/relationships/hyperlink" Target="http://www.sec.gov/Archives/edgar/data/1853513/000119312523060048/d448572ds8.htm" TargetMode="External"/><Relationship Id="rId21" Type="http://schemas.openxmlformats.org/officeDocument/2006/relationships/hyperlink" Target="http://www.sec.gov/Archives/edgar/data/1853513/000119312524055931/d77298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2026-05-19T09:54:21Z</dcterms:created>
  <dcterms:modified xsi:type="dcterms:W3CDTF">2026-05-19T09:54:21Z</dcterms:modified>
</cp:coreProperties>
</file>