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w-20251231.htm"/>
      <w:bookmarkStart w:id="1" w:name="ksmcw20251231"/>
      <w:bookmarkEnd w:id="0"/>
      <w:bookmarkEnd w:id="1"/>
      <w:r>
        <w:rPr/>
        <w:t> </w:t>
      </w:r>
    </w:p>
    <w:p>
      <w:pPr>
        <w:pStyle w:val="TextBody"/>
        <w:pBdr>
          <w:top w:val="double" w:sz="4" w:space="1" w:color="000000"/>
        </w:pBdr>
        <w:bidi w:val="0"/>
        <w:jc w:val="center"/>
        <w:rPr>
          <w:rFonts w:ascii="Times New Roman" w:hAnsi="Times New Roman"/>
          <w:b/>
          <w:color w:val="000000"/>
          <w:sz w:val="28"/>
        </w:rPr>
      </w:pPr>
      <w:r>
        <w:rPr>
          <w:rFonts w:ascii="Times New Roman" w:hAnsi="Times New Roman"/>
          <w:b/>
          <w:color w:val="000000"/>
          <w:sz w:val="28"/>
        </w:rPr>
        <w:t>UNITED STATES SECURITIES AND EXCHANGE COMMISSION</w:t>
      </w:r>
    </w:p>
    <w:p>
      <w:pPr>
        <w:pStyle w:val="TextBody"/>
        <w:bidi w:val="0"/>
        <w:jc w:val="center"/>
        <w:rPr>
          <w:rFonts w:ascii="Times New Roman" w:hAnsi="Times New Roman"/>
          <w:b/>
          <w:color w:val="000000"/>
          <w:sz w:val="19"/>
        </w:rPr>
      </w:pPr>
      <w:r>
        <w:rPr>
          <w:rFonts w:ascii="Times New Roman" w:hAnsi="Times New Roman"/>
          <w:b/>
          <w:color w:val="000000"/>
          <w:sz w:val="19"/>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9"/>
        </w:rPr>
      </w:pPr>
      <w:r>
        <w:rPr>
          <w:rFonts w:ascii="Times New Roman" w:hAnsi="Times New Roman"/>
          <w:b/>
          <w:color w:val="000000"/>
          <w:sz w:val="29"/>
        </w:rPr>
        <w:t>FORM 10-K</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 2025</w:t>
      </w:r>
      <w:r>
        <w:rPr>
          <w:rFonts w:ascii="Times New Roman" w:hAnsi="Times New Roman"/>
          <w:color w:val="000000"/>
          <w:sz w:val="18"/>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p>
            <w:pPr>
              <w:pStyle w:val="TableContents"/>
              <w:bidi w:val="0"/>
              <w:spacing w:before="60" w:after="283"/>
              <w:jc w:val="center"/>
              <w:rPr>
                <w:rFonts w:ascii="Times New Roman" w:hAnsi="Times New Roman"/>
                <w:sz w:val="18"/>
              </w:rPr>
            </w:pPr>
            <w:r>
              <w:rPr>
                <w:rFonts w:ascii="Times New Roman" w:hAnsi="Times New Roman"/>
                <w:b/>
                <w:color w:val="000000"/>
                <w:sz w:val="18"/>
              </w:rPr>
              <w:t>For the Transition Period From ___to___</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001-40542</w:t>
      </w:r>
    </w:p>
    <w:p>
      <w:pPr>
        <w:pStyle w:val="TextBody"/>
        <w:pBdr>
          <w:bottom w:val="single" w:sz="8" w:space="1" w:color="000000"/>
        </w:pBdr>
        <w:bidi w:val="0"/>
        <w:jc w:val="center"/>
        <w:rPr/>
      </w:pPr>
      <w:r>
        <w:rPr/>
        <w:t> </w:t>
      </w:r>
    </w:p>
    <w:p>
      <w:pPr>
        <w:pStyle w:val="TextBody"/>
        <w:bidi w:val="0"/>
        <w:spacing w:before="60" w:after="283"/>
        <w:jc w:val="center"/>
        <w:rPr/>
      </w:pPr>
      <w:r>
        <w:rPr/>
        <w:drawing>
          <wp:inline distT="0" distB="0" distL="0" distR="0">
            <wp:extent cx="13049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38150"/>
                    </a:xfrm>
                    <a:prstGeom prst="rect">
                      <a:avLst/>
                    </a:prstGeom>
                  </pic:spPr>
                </pic:pic>
              </a:graphicData>
            </a:graphic>
          </wp:inline>
        </w:drawing>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Mister Car Wash,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8" w:space="1" w:color="000000"/>
        </w:pBdr>
        <w:bidi w:val="0"/>
        <w:jc w:val="center"/>
        <w:rPr/>
      </w:pPr>
      <w:r>
        <w:rPr/>
        <w:t> </w:t>
      </w:r>
    </w:p>
    <w:tbl>
      <w:tblPr>
        <w:tblW w:w="6002" w:type="dxa"/>
        <w:jc w:val="left"/>
        <w:tblInd w:w="0" w:type="dxa"/>
        <w:tblLayout w:type="fixed"/>
        <w:tblCellMar>
          <w:top w:w="28" w:type="dxa"/>
          <w:left w:w="28" w:type="dxa"/>
          <w:bottom w:w="28" w:type="dxa"/>
          <w:right w:w="28" w:type="dxa"/>
        </w:tblCellMar>
      </w:tblPr>
      <w:tblGrid>
        <w:gridCol w:w="3751"/>
        <w:gridCol w:w="2251"/>
      </w:tblGrid>
      <w:tr>
        <w:trPr/>
        <w:tc>
          <w:tcPr>
            <w:tcW w:w="375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47-1393909</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r>
        <w:trPr/>
        <w:tc>
          <w:tcPr>
            <w:tcW w:w="375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18"/>
              </w:rPr>
            </w:pPr>
            <w:r>
              <w:rPr>
                <w:rFonts w:ascii="Times New Roman" w:hAnsi="Times New Roman"/>
                <w:b/>
                <w:color w:val="000000"/>
                <w:sz w:val="18"/>
              </w:rPr>
              <w:t>222 E. 5</w:t>
            </w:r>
            <w:r>
              <w:rPr>
                <w:rFonts w:ascii="Times New Roman" w:hAnsi="Times New Roman"/>
                <w:b/>
                <w:color w:val="000000"/>
                <w:sz w:val="12"/>
              </w:rPr>
              <w:t>th</w:t>
            </w:r>
            <w:r>
              <w:rPr>
                <w:rFonts w:ascii="Times New Roman" w:hAnsi="Times New Roman"/>
                <w:color w:val="000000"/>
                <w:sz w:val="18"/>
              </w:rPr>
              <w:t xml:space="preserve"> </w:t>
            </w:r>
            <w:r>
              <w:rPr>
                <w:rFonts w:ascii="Times New Roman" w:hAnsi="Times New Roman"/>
                <w:b/>
                <w:color w:val="000000"/>
                <w:sz w:val="18"/>
              </w:rPr>
              <w:t>Street, Tucson, Arizona</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85705</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(520) 615-4000</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031"/>
        <w:gridCol w:w="146"/>
        <w:gridCol w:w="1456"/>
        <w:gridCol w:w="146"/>
        <w:gridCol w:w="3316"/>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MCW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The aggregate market value of the voting and non-voting common equity held by non-affiliates of the registrant, based on the closing price of the shares of common stock on The Nasdaq Stock Market LLC on June 30, 2025, was $603,562,916.</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13, 2026 was 328,479,065.</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120" w:after="283"/>
        <w:jc w:val="left"/>
        <w:rPr>
          <w:rFonts w:ascii="Times New Roman" w:hAnsi="Times New Roman"/>
          <w:sz w:val="20"/>
        </w:rPr>
      </w:pPr>
      <w:r>
        <w:rPr>
          <w:rFonts w:ascii="Times New Roman" w:hAnsi="Times New Roman"/>
          <w:color w:val="000000"/>
          <w:sz w:val="16"/>
        </w:rPr>
        <w:t>Portions of our Proxy Statement, Information Statement or 10-K/A, as applicable, to be filed with the Securities and Exchange Commission within 120 days of our fiscal year ended December 31, 2025</w:t>
      </w:r>
      <w:r>
        <w:rPr>
          <w:rFonts w:ascii="Times New Roman" w:hAnsi="Times New Roman"/>
          <w:color w:val="000000"/>
          <w:sz w:val="20"/>
        </w:rPr>
        <w:t xml:space="preserve"> </w:t>
      </w:r>
      <w:r>
        <w:rPr>
          <w:rFonts w:ascii="Times New Roman" w:hAnsi="Times New Roman"/>
          <w:color w:val="000000"/>
          <w:sz w:val="16"/>
        </w:rPr>
        <w:t>are incorporated by reference into Part III of this report.</w:t>
      </w:r>
    </w:p>
    <w:p>
      <w:pPr>
        <w:pStyle w:val="TextBody"/>
        <w:pBdr>
          <w:bottom w:val="double" w:sz="6" w:space="1" w:color="000000"/>
        </w:pBdr>
        <w:bidi w:val="0"/>
        <w:spacing w:before="120" w:after="283"/>
        <w:jc w:val="left"/>
        <w:rPr/>
      </w:pPr>
      <w:r>
        <w:rPr/>
        <w:t> </w:t>
      </w:r>
    </w:p>
    <w:p>
      <w:pPr>
        <w:pStyle w:val="TextBody"/>
        <w:bidi w:val="0"/>
        <w:jc w:val="left"/>
        <w:rPr/>
      </w:pPr>
      <w:r>
        <w:rPr/>
        <w:t> </w:t>
      </w:r>
    </w:p>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61"/>
        <w:gridCol w:w="734"/>
        <w:gridCol w:w="146"/>
        <w:gridCol w:w="7693"/>
        <w:gridCol w:w="146"/>
        <w:gridCol w:w="1325"/>
      </w:tblGrid>
      <w:tr>
        <w:trPr/>
        <w:tc>
          <w:tcPr>
            <w:tcW w:w="16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873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73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3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Item 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Item 1A.</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Item 1B.</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Item 1C.</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2_properties">
              <w:r>
                <w:rPr>
                  <w:rStyle w:val="InternetLink"/>
                  <w:rFonts w:ascii="Times New Roman" w:hAnsi="Times New Roman"/>
                  <w:color w:val="0000FF"/>
                  <w:sz w:val="20"/>
                  <w:u w:val="single"/>
                </w:rPr>
                <w:t>Item 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3_legal_proceedings">
              <w:r>
                <w:rPr>
                  <w:rStyle w:val="InternetLink"/>
                  <w:rFonts w:ascii="Times New Roman" w:hAnsi="Times New Roman"/>
                  <w:color w:val="0000FF"/>
                  <w:sz w:val="20"/>
                  <w:u w:val="single"/>
                </w:rPr>
                <w:t>Item 3.</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3_legal_proceedings">
              <w:r>
                <w:rPr>
                  <w:rStyle w:val="InternetLink"/>
                  <w:rFonts w:ascii="Times New Roman" w:hAnsi="Times New Roman"/>
                  <w:color w:val="0000FF"/>
                  <w:sz w:val="20"/>
                  <w:u w:val="single"/>
                </w:rPr>
                <w:t>Legal Proceedings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Not applicable </w:t>
            </w:r>
          </w:p>
        </w:tc>
      </w:tr>
      <w:tr>
        <w:trPr/>
        <w:tc>
          <w:tcPr>
            <w:tcW w:w="873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34" w:type="dxa"/>
            <w:gridSpan w:val="4"/>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5_market_for_registrant_common_equi">
              <w:r>
                <w:rPr>
                  <w:rStyle w:val="InternetLink"/>
                  <w:rFonts w:ascii="Times New Roman" w:hAnsi="Times New Roman"/>
                  <w:color w:val="0000FF"/>
                  <w:sz w:val="20"/>
                  <w:u w:val="single"/>
                </w:rPr>
                <w:t>Item 5.</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5_market_for_registrant_common_equi">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Not applicable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7_management_discussion_and_analysis">
              <w:r>
                <w:rPr>
                  <w:rStyle w:val="InternetLink"/>
                  <w:rFonts w:ascii="Times New Roman" w:hAnsi="Times New Roman"/>
                  <w:color w:val="0000FF"/>
                  <w:sz w:val="20"/>
                  <w:u w:val="single"/>
                </w:rPr>
                <w:t>Item 7.</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7_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7a_quantitative_and_qualitative_dis">
              <w:r>
                <w:rPr>
                  <w:rStyle w:val="InternetLink"/>
                  <w:rFonts w:ascii="Times New Roman" w:hAnsi="Times New Roman"/>
                  <w:color w:val="0000FF"/>
                  <w:sz w:val="20"/>
                  <w:u w:val="single"/>
                </w:rPr>
                <w:t>Item 7A.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7a_quantitative_and_qualitative_di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8_financial_statements_and_suppleme">
              <w:r>
                <w:rPr>
                  <w:rStyle w:val="InternetLink"/>
                  <w:rFonts w:ascii="Times New Roman" w:hAnsi="Times New Roman"/>
                  <w:color w:val="0000FF"/>
                  <w:sz w:val="20"/>
                  <w:u w:val="single"/>
                </w:rPr>
                <w:t>Item 8.</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8_financial_statements_and_suppleme">
              <w:r>
                <w:rPr>
                  <w:rStyle w:val="InternetLink"/>
                  <w:rFonts w:ascii="Times New Roman" w:hAnsi="Times New Roman"/>
                  <w:color w:val="0000FF"/>
                  <w:sz w:val="20"/>
                  <w:u w:val="single"/>
                </w:rPr>
                <w:t>Financial Statements and Supplementary Data</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9_changes_in_and_disagreements_with">
              <w:r>
                <w:rPr>
                  <w:rStyle w:val="InternetLink"/>
                  <w:rFonts w:ascii="Times New Roman" w:hAnsi="Times New Roman"/>
                  <w:color w:val="0000FF"/>
                  <w:sz w:val="20"/>
                  <w:u w:val="single"/>
                </w:rPr>
                <w:t>Item 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9_changes_in_and_disagreements_with">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9a_controls_and_procedures">
              <w:r>
                <w:rPr>
                  <w:rStyle w:val="InternetLink"/>
                  <w:rFonts w:ascii="Times New Roman" w:hAnsi="Times New Roman"/>
                  <w:color w:val="0000FF"/>
                  <w:sz w:val="20"/>
                  <w:u w:val="single"/>
                </w:rPr>
                <w:t>Item 9A.</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9a_controls_and_procedures">
              <w:r>
                <w:rPr>
                  <w:rStyle w:val="InternetLink"/>
                  <w:rFonts w:ascii="Times New Roman" w:hAnsi="Times New Roman"/>
                  <w:color w:val="0000FF"/>
                  <w:sz w:val="20"/>
                  <w:u w:val="single"/>
                </w:rPr>
                <w:t>Controls and Procedures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9b_other_information">
              <w:r>
                <w:rPr>
                  <w:rStyle w:val="InternetLink"/>
                  <w:rFonts w:ascii="Times New Roman" w:hAnsi="Times New Roman"/>
                  <w:color w:val="0000FF"/>
                  <w:sz w:val="20"/>
                  <w:u w:val="single"/>
                </w:rPr>
                <w:t>Item 9B.</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9b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9c_disclosure_regarding_foreign">
              <w:r>
                <w:rPr>
                  <w:rStyle w:val="InternetLink"/>
                  <w:rFonts w:ascii="Times New Roman" w:hAnsi="Times New Roman"/>
                  <w:color w:val="0000FF"/>
                  <w:sz w:val="20"/>
                  <w:u w:val="single"/>
                </w:rPr>
                <w:t>Item 9C.</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9c_disclosure_regarding_foreign">
              <w:r>
                <w:rPr>
                  <w:rStyle w:val="InternetLink"/>
                  <w:rFonts w:ascii="Times New Roman" w:hAnsi="Times New Roman"/>
                  <w:color w:val="0000FF"/>
                  <w:sz w:val="20"/>
                  <w:u w:val="single"/>
                </w:rPr>
                <w:t>Disclosure Regarding Foreign Jurisdictions that Prevent Inspections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73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3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10_directors_executive_officers_and">
              <w:r>
                <w:rPr>
                  <w:rStyle w:val="InternetLink"/>
                  <w:rFonts w:ascii="Times New Roman" w:hAnsi="Times New Roman"/>
                  <w:color w:val="0000FF"/>
                  <w:sz w:val="20"/>
                  <w:u w:val="single"/>
                </w:rPr>
                <w:t>Item 10.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10_directors_executive_officers_and">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1_executive_compensation">
              <w:r>
                <w:rPr>
                  <w:rStyle w:val="InternetLink"/>
                  <w:rFonts w:ascii="Times New Roman" w:hAnsi="Times New Roman"/>
                  <w:color w:val="0000FF"/>
                  <w:sz w:val="20"/>
                  <w:u w:val="single"/>
                </w:rPr>
                <w:t>Item 11.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1_executive_compensation">
              <w:r>
                <w:rPr>
                  <w:rStyle w:val="InternetLink"/>
                  <w:rFonts w:ascii="Times New Roman" w:hAnsi="Times New Roman"/>
                  <w:color w:val="0000FF"/>
                  <w:sz w:val="20"/>
                  <w:u w:val="single"/>
                </w:rPr>
                <w:t>Executive Compensation</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12_security_ownership_of_certain_be">
              <w:r>
                <w:rPr>
                  <w:rStyle w:val="InternetLink"/>
                  <w:rFonts w:ascii="Times New Roman" w:hAnsi="Times New Roman"/>
                  <w:color w:val="0000FF"/>
                  <w:sz w:val="20"/>
                  <w:u w:val="single"/>
                </w:rPr>
                <w:t>Item 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12_security_ownership_of_certain_be">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3_certain_relationships_and_relate">
              <w:r>
                <w:rPr>
                  <w:rStyle w:val="InternetLink"/>
                  <w:rFonts w:ascii="Times New Roman" w:hAnsi="Times New Roman"/>
                  <w:color w:val="0000FF"/>
                  <w:sz w:val="20"/>
                  <w:u w:val="single"/>
                </w:rPr>
                <w:t>Item 13.</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3_certain_relationships_and_relate">
              <w:r>
                <w:rPr>
                  <w:rStyle w:val="InternetLink"/>
                  <w:rFonts w:ascii="Times New Roman" w:hAnsi="Times New Roman"/>
                  <w:color w:val="0000FF"/>
                  <w:sz w:val="20"/>
                  <w:u w:val="single"/>
                </w:rPr>
                <w:t>Certain Relationships and Related Transactions, and Director Independence</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14_principal_accountant_fees_and_ser">
              <w:r>
                <w:rPr>
                  <w:rStyle w:val="InternetLink"/>
                  <w:rFonts w:ascii="Times New Roman" w:hAnsi="Times New Roman"/>
                  <w:color w:val="0000FF"/>
                  <w:sz w:val="20"/>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73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34" w:type="dxa"/>
            <w:gridSpan w:val="4"/>
            <w:tcBorders/>
            <w:tcMar>
              <w:top w:w="0" w:type="dxa"/>
              <w:left w:w="0" w:type="dxa"/>
              <w:bottom w:w="0" w:type="dxa"/>
              <w:right w:w="0" w:type="dxa"/>
            </w:tcMar>
            <w:vAlign w:val="center"/>
          </w:tcPr>
          <w:p>
            <w:pPr>
              <w:pStyle w:val="TableContents"/>
              <w:bidi w:val="0"/>
              <w:spacing w:before="0" w:after="283"/>
              <w:jc w:val="left"/>
              <w:rPr/>
            </w:pPr>
            <w:hyperlink w:anchor="partiv">
              <w:r>
                <w:rPr>
                  <w:rStyle w:val="InternetLink"/>
                  <w:rFonts w:ascii="Times New Roman" w:hAnsi="Times New Roman"/>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5_exhibits_financial_statement">
              <w:r>
                <w:rPr>
                  <w:rStyle w:val="InternetLink"/>
                  <w:rFonts w:ascii="Times New Roman" w:hAnsi="Times New Roman"/>
                  <w:color w:val="0000FF"/>
                  <w:sz w:val="20"/>
                  <w:u w:val="single"/>
                </w:rPr>
                <w:t>Item 15.</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15_exhibits_financial_statement">
              <w:r>
                <w:rPr>
                  <w:rStyle w:val="InternetLink"/>
                  <w:rFonts w:ascii="Times New Roman" w:hAnsi="Times New Roman"/>
                  <w:color w:val="0000FF"/>
                  <w:sz w:val="20"/>
                  <w:u w:val="single"/>
                </w:rPr>
                <w:t>Exhibits and Financial Statement Schedules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tcMar>
              <w:top w:w="0" w:type="dxa"/>
              <w:left w:w="0" w:type="dxa"/>
              <w:bottom w:w="0" w:type="dxa"/>
              <w:right w:w="0" w:type="dxa"/>
            </w:tcMar>
            <w:vAlign w:val="center"/>
          </w:tcPr>
          <w:p>
            <w:pPr>
              <w:pStyle w:val="TableContents"/>
              <w:bidi w:val="0"/>
              <w:spacing w:before="0" w:after="283"/>
              <w:jc w:val="left"/>
              <w:rPr/>
            </w:pPr>
            <w:hyperlink w:anchor="item16_form_10k_summary">
              <w:r>
                <w:rPr>
                  <w:rStyle w:val="InternetLink"/>
                  <w:rFonts w:ascii="Times New Roman" w:hAnsi="Times New Roman"/>
                  <w:color w:val="0000FF"/>
                  <w:sz w:val="20"/>
                  <w:u w:val="single"/>
                </w:rPr>
                <w:t>Item 16.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tcMar>
              <w:top w:w="0" w:type="dxa"/>
              <w:left w:w="0" w:type="dxa"/>
              <w:bottom w:w="0" w:type="dxa"/>
              <w:right w:w="0" w:type="dxa"/>
            </w:tcMar>
            <w:vAlign w:val="center"/>
          </w:tcPr>
          <w:p>
            <w:pPr>
              <w:pStyle w:val="TableContents"/>
              <w:bidi w:val="0"/>
              <w:spacing w:before="0" w:after="283"/>
              <w:jc w:val="left"/>
              <w:rPr/>
            </w:pPr>
            <w:hyperlink w:anchor="item16_form_10k_summary">
              <w:r>
                <w:rPr>
                  <w:rStyle w:val="InternetLink"/>
                  <w:rFonts w:ascii="Times New Roman" w:hAnsi="Times New Roman"/>
                  <w:color w:val="0000FF"/>
                  <w:sz w:val="20"/>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20" w:after="283"/>
        <w:jc w:val="center"/>
        <w:rPr>
          <w:rFonts w:ascii="Times New Roman" w:hAnsi="Times New Roman"/>
          <w:color w:val="000000"/>
          <w:sz w:val="20"/>
        </w:rPr>
      </w:pPr>
      <w:bookmarkStart w:id="2" w:name="forward_looking_statements"/>
      <w:bookmarkEnd w:id="2"/>
      <w:r>
        <w:rPr>
          <w:rFonts w:ascii="Times New Roman" w:hAnsi="Times New Roman"/>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Annual Report on Form 10-K, including without limitation, statements regarding our intent, belief and expectations about our future results of operations and financial position, business strategy and approach, and the Merger (as defined below) are forward-looking. You can generally identify forward-looking statements by our use of forward-looking terminology such as “anticipate,” “believe,” “continue,” “could,” “estimate,” “expect,” “intend,” “may,” “might,” “plan,” “potential,” “predict,” “seek,” or “should,” or the negative thereof or other variations thereon or comparable terminology. However, the absence of these words or similar terminology does not mean that a statement is not forward-looking.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are cautioned not to place undue reliance on these forward-looking statements, which are not guarantees of future performance. Although we believe that the expectations reflected in the forward-looking statements are reasonable, our actual results of operations, financial condition and liquidity, and the development of the industry in which we operate, may differ materially from the forward-looking statements included in this Annual Report on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forward-looking statement that we make in this Annual Report on Form 10-K speaks only as of the date hereof.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Annual Report on Form 10-K, unless otherwise stated or the context requires otherwise, references to “Mister Car Wash,” “Mister,” the “Company,” “we,” “us,” and “our,” refer to Mister Car Wash, Inc. and its subsidiaries on a consolidated basis.</w:t>
      </w:r>
    </w:p>
    <w:p>
      <w:pPr>
        <w:pStyle w:val="Heading1"/>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 w:name="part_i"/>
      <w:bookmarkEnd w:id="3"/>
      <w:r>
        <w:rPr>
          <w:rFonts w:ascii="Times New Roman" w:hAnsi="Times New Roman"/>
          <w:color w:val="000000"/>
          <w:sz w:val="20"/>
        </w:rPr>
        <w:t xml:space="preserve">PART I </w:t>
      </w:r>
    </w:p>
    <w:p>
      <w:pPr>
        <w:pStyle w:val="TextBody"/>
        <w:bidi w:val="0"/>
        <w:spacing w:before="120" w:after="283"/>
        <w:jc w:val="left"/>
        <w:rPr>
          <w:rFonts w:ascii="Times New Roman" w:hAnsi="Times New Roman"/>
          <w:b/>
          <w:color w:val="000000"/>
          <w:sz w:val="20"/>
          <w:u w:val="single"/>
        </w:rPr>
      </w:pPr>
      <w:bookmarkStart w:id="4" w:name="item1_business"/>
      <w:bookmarkEnd w:id="4"/>
      <w:r>
        <w:rPr>
          <w:rFonts w:ascii="Times New Roman" w:hAnsi="Times New Roman"/>
          <w:b/>
          <w:color w:val="000000"/>
          <w:sz w:val="20"/>
          <w:u w:val="single"/>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Who We 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1996, Mister Car Wash, Inc. is the largest national car wash brand, with 548 locations in 21 states, as of December 31, 2025. Primarily offering express exterior cleaning services, we provide the highest quality car wash, ensuring our customers a quick and convenient experience, which we call the “Mister Experience.” Through our advanced technology and dedication to exceptional customer experiences, we deliver a clean, dry and shiny car every time. In addition, with approximately 2.3 million members, we offer North America's largest monthly car wash subscription program, Unlimited Wash Club® (“UWC”), as a flexible, quick and convenient option for customers to keep their cars clean.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purpose is simple: Inspire People to Shine®. This starts with our own people. The Mister brand is deeply rooted in delivering quality service, fostering friendliness, and demonstrating a genuine commitment to the communities it serves, while prioritizing responsible environmental practices and resource management. We have a proven, people-first approach that is scalable and has enabled us to develop a passionate, world class team of professionals. We believe our purpose-driven culture is critical to our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Mister Car Wash offers an affordable, feel-good experience, enjoyed by all who value a clean, dry and shiny car. As we grow, we are dedicated to putting our team members first to deliver a consistent, convenient and superior car wash experience at scale.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car wash locations consist of two formats: (a) Express Exterior Locations (485) and (b) Interior Cleaning Locations (63) as of December 31, 2025. All locations offer express exterior wash packages and have exterior-only lanes.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Express Exterior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Express Exterior Locations offer self-drive exterior cleaning services and include free vacuums available for customer use. Customers can purchase a wash or sign-up for a UWC membership, either through sales kiosks or with the assistance of Mister team members, and remain in their vehicle through the tunnel and wash process. Customers have the option to use free self-serve vacuums at any time before or after their exterior wash.</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Interior Cleaning Locations</w:t>
      </w:r>
    </w:p>
    <w:p>
      <w:pPr>
        <w:pStyle w:val="TextBody"/>
        <w:bidi w:val="0"/>
        <w:spacing w:before="120" w:after="283"/>
        <w:jc w:val="left"/>
        <w:rPr>
          <w:rFonts w:ascii="Times New Roman" w:hAnsi="Times New Roman"/>
          <w:sz w:val="20"/>
        </w:rPr>
      </w:pPr>
      <w:r>
        <w:rPr>
          <w:rFonts w:ascii="Times New Roman" w:hAnsi="Times New Roman"/>
          <w:color w:val="000000"/>
          <w:sz w:val="20"/>
        </w:rPr>
        <w:t>Interior Cleaning Locations offer exterior and interior cleaning services, including vacuuming by our team members</w:t>
      </w:r>
      <w:r>
        <w:rPr>
          <w:rFonts w:ascii="Times New Roman" w:hAnsi="Times New Roman"/>
          <w:b/>
          <w:i/>
          <w:color w:val="000000"/>
          <w:sz w:val="20"/>
        </w:rPr>
        <w:t xml:space="preserve">. </w:t>
      </w:r>
      <w:r>
        <w:rPr>
          <w:rFonts w:ascii="Times New Roman" w:hAnsi="Times New Roman"/>
          <w:color w:val="000000"/>
          <w:sz w:val="20"/>
        </w:rPr>
        <w:t>Customers can purchase a wash or sign-up for a UWC membership, either through sales kiosks or with the assistance of Mister team members, and either remain in their vehicle through the tunnel and wash process or wait in the lobby. Customers who purchase interior cleaning services have their vehicles vacuumed and cleaned by Mister team members.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 a diverse mix of customers, including individual retail customers and UWC Members, which are comprised of both retail and corporate customers. Given the broad appeal of our services, we have a wide variety of customers spanning a broad set of demographics and income levels. The portfolio of cars serviced across our locations is diverse and represents a balance across new and old cars and across all vehicle price points. Our customer service, convenient locations and easy-to-manage membership programs have helped position our locations as the “go-to” destinations for our customers’ car wash needs.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largest national car wash brand, we have developed extensive resources and capabilities over our 30-year history. Our scale, consistency of operations at every location and culture of continuous improvement have enabled us to deliver an efficient and high-quality customer experience with every wash.</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key differentiators include our unified national brand, robust training and development programs which cultivate a talent pipeline, dedicated regional support infrastructure, sophisticated technology and proprietary product formulation, and strategic market density “network effect”.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17, 2026, we entered into an Agreement and Plan of Merger (the “Merger Agreement”) with MCW Parent, LP, a Delaware limited partnership (“Parent”), Boson Merger Sub, Inc., a Delaware corporation and wholly owned subsidiary of Parent (“Merger Sub”, and together with Parent, the “Buyer Parties”), and, solely for purposes of the Borrower Provisions (as defined in the Merger Agreement), one of our wholly owned subsidiaries, Mister Car Wash Holdings, Inc. a Delaware corporation (“Borrower”), pursuant to which, on the terms and subject to the satisfaction or waiver of the conditions set forth therein, Merger Sub will be merged with and into Mister Car Wash, with Mister Car Wash continuing as the surviving corporation (the “Merger”).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terms of the Merger Agreement, at the effective time of the Merger (the “Effective Time”), (i) each share of our common stock that is outstanding as of immediately prior to the Effective Time (other than shares of our common stock described in clauses (ii) or (iii) of this sentence) will be cancelled and extinguished and automatically converted into the right to receive cash in an amount per share equal to $7.00, without interest thereon (the “Per Share Price”), (ii) each share of our common stock that is (a) held by us as treasury stock or (b) owned by the Buyer Parties or any of their direct or indirect subsidiaries as of immediately prior to the Effective Time, including the shares of our common stock held by the Principal Stockholders (as defined below) and the shares contributed to Parent by Company executives who execute a Management Rollover Agreement (as defined in the Merger Agreement), if any, will automatically be cancelled and extinguished without any conversion thereof or consideration paid therefor, and (iii) each share of our common stock that is issued and outstanding as of immediately prior to the Effective Time and held by any person or entity (including a “beneficial owner”) who has validly demanded and not validly withdrawn or otherwise lost its statutory appraisal rights in respect of such share in accordance with Section 262 of the General Corporation Law of the State of Delaware (the “DGCL”) (such shares, “Dissenting Company Shares”) will not be converted into, or represent the right to receive, the Per Share Price, and will instead be entitled to receive payment of the appraised value of such Dissenting Company Shares in accordance with the provisions of Section 262 of the DGCL.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Merger, the board of directors of Mister Car Wash, Inc. established a special committee consisting only of directors that the board of directors determined to each be a “disinterested director” (as defined in Section 144 of the DGCL) with respect to the transactions contemplated by the Merger Agreement (the “Special Committee”) to, among other things, review and evaluate the transactions contemplated by the Merger Agreement, negotiate the Merger Agreement and recommend the Merger Agreement for approval by our board of directors or reject any proposals made by Leonard Green &amp; Partners, L.P. (“LGP”) and/or LGP’s affiliates or affiliated funds and alternatives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Special Committee unanimously (i) determined that the terms of the Merger Agreement and the transactions contemplated by the Merger Agreement (the “Transactions”), including the Merger, are fair to and in the best interests of the Unaffiliated Company Stockholders (which is defined as the stockholders of the Company, other than the Principal Stockholders and the executive officers of the Company); and (ii) recommended that our board of directors (a) determine that the terms of the Merger Agreement and the Transactions, including the Merger, are fair to and in the best interests of our stockholders (in their capacity as such), (b) determine that it is in the best interests of our stockholders (in their capacity as such), and declare it advisable, to enter into the Merger Agreement and the other agreements, certificates, instruments or other documents entered into in connection with the Merger Agreement (the “Transaction Documents”) to which Mister Car Wash is a party, (c) approve the execution and delivery by Mister Car Wash of the Merger Agreement and the other Transaction Documents to which Mister Car Wash is a party, the performance by Mister Car Wash of its covenants and other obligations thereunder, and the consummation of the Merger upon the terms and subject to the conditions set forth in the Merger Agreement, (d) recommend that our stockholders adopt the Merger Agreement in accordance with the DGCL, upon the terms and subject to the conditions of the Merger Agreement, and (e) direct that the Merger Agreement be submitted to our stockholders for their adoption upon the terms and subject to the conditions of the Merger Agreement (the recommendations described in clause (ii), the “Special Committee Recommendation”).</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acting upon the Special Committee Recommendation at a meeting attended by each member of the board of directors other than the directors affiliated with LGP, by unanimous vote of all directors in attendance, (i) determined that the terms of the Merger Agreement and the Transactions, including the Merger, are fair to and in the best interests of our stockholders (in their capacity as such), (ii) determined that it is in the best interests of our stockholders (in their capacity as such), and declared it advisable, to enter into the Merger Agreement and the other Transaction Documents to which Mister Car Wash is a party, (iii) approved the execution and delivery by Mister Car Wash of the Merger Agreement and the other Transaction Documents to which Mister Car Wash is a party, the performance by Mister Car Wash of its covenants and other obligations thereunder, and the consummation of the Merger upon the terms and subject to the conditions set forth therein, (iv) recommended that our stockholders adopt the Merger Agreement in accordance with the DGCL, upon the terms and subject to the conditions of the Merger Agreement, and (v) directed that the Merger Agreement be submitted to our stockholders for their adoption upon the terms and subject to the conditions of the Merger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execution and delivery of the Merger Agreement, Green Equity Investors VI, L.P.; Green Equity Investors Side VI, L.P.; LGP Associates VI-A LLC; and LGP Associates VI-B LLC (collectively, the “Principal Stockholders”), all of which are affiliates and/or affiliated funds of LGP and who on the date of the Merger Agreement collectively held approximately 67% of our common stock, executed and delivered a written consent to us (the “Written Consent”). The Written Consent approved and adopted the Merger Agreement in accordance with the DGCL and became effective immediately following the execution of the Merger Agreement. No further approval of our stockholders is required to adopt the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Merger Agreement, neither Mister Car Wash, on the one hand, nor the Buyer Parties, on the other hand, are required to consummate the Merger prior to April 20, 2026. The Merger is expected to close in the first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Consummation of the Merger is subject to certain conditions set forth in the Merger Agreement, including (i) the adoption of the Merger Agreement by the affirmative vote of the holders of at least a majority of the outstanding shares of our common stock entitled to vote in accordance with the DGCL (which has been received through the Written Consent), (ii) the mailing of a written information statement of the type contemplated by Rule 14c-2 of the Securities Exchange Act of 1934, as amended (the “Information Statement”) to our stockholders at least twenty (20) calendar days prior to the consummation of the Merger (the “Closing”), (iii) the expiration or termination of any waiting periods (and any extensions thereof) applicable to the consummation of the Merger pursuant to the Hart-Scott-Rodino Antitrust Improvements Act of 1976, as amended and the receipt of any clearance or other affirmative approvals applicable to the Merger under antitrust laws or foreign investment laws; (iv) the absence of any law or order issued by a governmental authority of competent jurisdiction that prohibits, makes illegal or enjoins the consummation of the Merger; (v) the accuracy of the parties’ respective representations and warranties contained in the Merger Agreement, subject to specified materiality qualifications; (vi) the parties’ performance of and compliance with their respective pre-Closing covenants and obligations in the Merger Agreement in all material respects; and (vii) the delivery by each party to the other party of a certificate certifying compliance with the conditions described in clauses (v) and (vi).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Parent has obtained debt financing commitments for the purpose of financing the transactions contemplated by the Merger Agreement and paying related fees and expenses. Certain financial institutions have severally committed to provide Borrower with a $900 million senior secured first lien incremental term loan facility under the amended and restated first lien credit agreement entered into on May 14, 2019, as amended, on the terms set forth in the related debt commitment letter. The obligations of such financial institutions to provide debt financing under the debt commitment letter are subject to a number of customary conditions. Pursuant to the Merger Agreement, Mister Car Wash is required to provide Parent with customary cooperation in connection with the debt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Merger is completed, our common stock will no longer be listed on The Nasdaq Stock Market LLC and we will become a privately held company and deregistered under the Securities and Exchange Act of 1934,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about the Merger Agreement and the Merger will be set forth in the Information Statement and Rule 13e-3 Transaction Statement on Schedule 13E-3 to be filed in connection with the Merger, which have not yet been filed with the Securities and Exchange Commission (“SEC”).</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Growth Drivers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Grow Our UWC Members to Drive Predictable Earnings Growth and Higher Annual Customer Spend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an opportunity to continue to grow UWC penetration in core, acquired and greenfield locations. In 2025, we increased overall UWC penetration from 74% to 76% of total wash sales. We estimate that the average UWC Member spends more than four times the retail car wash consumer, providing us an opportunity to increase our sales as penetration increases. At both greenfield and acquired locations, we have developed processes that have produced continued growth of UWC memberships.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Build Upon Our Success in Opening Greenfield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successfully opened 29 greenfield locations and expect to primarily drive our future location growth through greenfield openings. We have developed a rigorous process for opening new greenfield locations, from site selection to post-opening local marketing initiatives, which has driven our greenfield performance consistently over time. We plan to continue investing in this part of our growth strategy and have a development pipeline for future locations in existing and adjacent markets nationwide.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Pursue Opportunistic Acquisitions in Highly Fragmented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2025, we acquired five Whistle Express locations in Lubbock, Texas. We will continue to employ a disciplined approach to acquisitions, carefully selecting locations that meet our criteria for a potential Mister Car Wash site. We have a proven track record of driving location growth through acquisitions, as well as a stringent process for integrating and upgrading acquired locations that has led to the successful integration of over 100 acquisitions during our history.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Drive Scale Efficiencies and Robust Free Cash Flow Generation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utilize our scale to drive operating leverage as our business grows. As we open and acquire new locations and maximize throughput at our existing locations through our ongoing focus on operational excellence, we believe we will have an opportunity to generate meaningful efficiencies of scale.</w:t>
      </w:r>
    </w:p>
    <w:p>
      <w:pPr>
        <w:pStyle w:val="TextBody"/>
        <w:bidi w:val="0"/>
        <w:spacing w:before="120" w:after="283"/>
        <w:jc w:val="left"/>
        <w:rPr>
          <w:rFonts w:ascii="Times New Roman" w:hAnsi="Times New Roman"/>
          <w:sz w:val="20"/>
        </w:rPr>
      </w:pPr>
      <w:r>
        <w:rPr>
          <w:rFonts w:ascii="Times New Roman" w:hAnsi="Times New Roman"/>
          <w:b/>
          <w:color w:val="000000"/>
          <w:sz w:val="20"/>
        </w:rPr>
        <w:t>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lead with a unified national brand across our entire footprint. To acquire, convert and retain our customers at a local level, we use a mix of traditional and digital marketing tactics and channels to emphasize our convenient, easy, and high-quality wash experience.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Competitive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 wash industry is highly fragmented, and we compete with a variety of operators including national, regional and local independent car wash operators, as well as gasoline and convenience retailers that also offer car washes. We believe our scale enables us to compete effectively due to our convenience, quality, price, and service.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Resources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Proprietary Products and Advanced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(“R&amp;D”) team is responsible for car wash processes, equipment and technology improvements. The team tests new products, formulations, processes and ideas in select markets before rolling out upgrades and changes across the broader platform. Through continuous R&amp;D, Mister Car Wash developed our exclusive Titanium 360°®, that utilizes Titanium Dioxide to provide underbody corrosion resistance, water repellency, and a mirror-like finish. Titanium 360°® is paired with our proprietary Unity Chemistry system which creates a streamlined wash process that factors in conveyor length, line speed, water quality, mechanical equipment, ambient temperature and soil conditions.</w:t>
      </w:r>
    </w:p>
    <w:p>
      <w:pPr>
        <w:pStyle w:val="TextBody"/>
        <w:bidi w:val="0"/>
        <w:spacing w:before="120" w:after="283"/>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Suppliers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long-term relationships with our key vendors. We believe our scale and large volume purchases provide us leverage in securing competitive pricing. Our key purchases include car wash equipment and parts and wash chemicals.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maintain a limited stock of parts and supplies for repairs and maintenance, most equipment, chemicals, and other supplies are purchased on an as-needed basis, which generally are shipped directly from the vendors to our locations. We have deep industry knowledge and maintain relationships with previous and prospective vendors to quickly address issues that may arise with our current 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2018, we entered into an agreement with a supplier of a comprehensive suite of hardware, software, and management systems for our car wash locations which better tracks our membership and customer loyalty programs, streamlines our operations and enhances our ability to track costs.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Intellectual Property and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intellectual property, including patents, patent applications, technology, trade secrets, know-how and trademarks in the United States and internationally. As of December 31, 2025, we had approximately 51 trademark registrations and applications, including registrations for “Mister Car Wash,” “Hotshine,” “Mister Hotshine” and “Unlimited Wash Club,” and held two U.S. patents and one pending U.S. patent application. Our issued patents are expected to expire in 2040. We have also registered the Internet domain name: “mistercarwash.com”.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trademarks and other proprietary rights are important to our success and our competitive position, and, therefore, we devote resources to the protection of our trademarks and proprietary rights. However, we believe that no single patent, trademark or intellectual property asset is material in relation to our business as a whole.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our presence in certain markets that are subject to seasonal weather patterns, some of our business is seasonal. However, our 21-state geographic diversity typically limits the weather impacts of any specific region on our overall performance. Additionally, we do experience a majority of sales of UWC memberships during the first six months of the year.</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centered around our purpose of Inspiring People to Shine, and that starts with our team members. To recruit and retain the most qualified team members in the industry, we focus on competitive wages and benefit packages, as well as offering robust training and development opportunities. We invest in the training and development of our team members through our specialized programs and our MisterLearn training platform that allows us to develop and promote entry-level team members to leadership roles. We believe engaged employees are more productive, are more likely to have a positive impact on other employees and are more likely to deliver memorable experiences to our customers. Through these efforts, we expect to build strength in our bench of future leaders while increasing retention and diversity, as well as ensuring our wash locations run as efficiently as possible.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including both front line team members and our headquarters team, we employed approximately 6,836 team members, which is a 3% increase from the prior year. This increase was primarily due to adding 34 net new locations throughout the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Regulation and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federal, state, and local laws and regulations, including those governing consumer protection, environmental protection, data privacy, labor and employment, tax, and other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aware of any federal, state, local, or other laws or regulations that are likely to materially alter or impact our revenues, cash flow, or competitive positions or result in any material capital expenditures. However, we cannot predict the effect on our operations of any pending or future legislation or regulations or the future interpretation of any existing laws, including newly enacted laws, that may impact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 see Part I, Item 1A. “Risk Factors – Risks Related to Government Regulation – Our locations are subject to certain environmental laws and regulations.”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i/>
          <w:color w:val="000000"/>
          <w:sz w:val="20"/>
        </w:rPr>
        <w:t>www.mistercarwash.com</w:t>
      </w:r>
      <w:r>
        <w:rPr>
          <w:rFonts w:ascii="Times New Roman" w:hAnsi="Times New Roman"/>
          <w:color w:val="000000"/>
          <w:sz w:val="20"/>
        </w:rPr>
        <w:t>. We post, and stockholders may access without charge, our recent filings and any amendments to our Annual Reports on Form 10-K, Quarterly Reports on Form 10-Q, Current Reports on Form 8-K and our Proxy Statement as soon as reasonably practicable after such reports are filed with the SEC.</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 w:hAnsi="Times New Roman"/>
          <w:i/>
          <w:color w:val="000000"/>
          <w:sz w:val="20"/>
        </w:rPr>
        <w:t>https://ir.mistercarwash.com</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reference to the Company's or other websites herein does not constitute incorporation by reference of the information contained on or available through our website, and you should not consider such information to be a part of this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 also maintains a website that contains reports, proxy and information statements, and other information regarding issuers that file electronically with the SEC, including us, at http://www.sec.gov.</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5" w:name="item1a_risk_factors"/>
      <w:bookmarkEnd w:id="5"/>
      <w:r>
        <w:rPr>
          <w:rFonts w:ascii="Times New Roman" w:hAnsi="Times New Roman"/>
          <w:b/>
          <w:color w:val="000000"/>
          <w:sz w:val="20"/>
          <w:u w:val="single"/>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carefully consider the risks described below, together with all of the other information included in this Annual Report on Form 10-K, which could materially affect our business, financial condition and results of operations. In that case, the trading price of our common stock could decline, and you may lose all or part of your investment. The risks described below are not the only risks we face. Additional risks not currently known to us or that we currently deem to be immaterial also may materially adversely affect our business, financial condition and results of operations in future periods.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may be unable to sustain or increase demand for our UWC subscription program, which could adversely affect our business, financial condition and results of operations and rate of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UWC subscription program accounted for 76% of our total wash sales in 2025, and we estimate that the average UWC Member spends approximately seven times than the average retail car wash consumer, our continued business and revenue growth is largely dependent on our ability to continue to attract and retain UWC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UWC Members can cancel their membership at any time and may decide to cancel or forego memberships due to any number of reasons, including increased prices for our services, quality issues with our services, harm to our reputation or brand, seasonal usage, or individuals’ personal economic pressures, as well as potential increasing governmental regulation of automatically renewing subscription programs, and such cancellations may contribute to a net decline, plateau, or continued slower growth plateau in UWC Members, resulting in a potential material adverse effect on revenue and our growth strategies.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If we fail to acquire, open and operate new locations in a timely and cost-effective manner or fail to successfully enter new markets, our financial performance could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strategy depends on growing our location base, primarily through greenfield expansion and acquisitions, in existing and new geographic regions and operating our new locations successfully. Our ability to execute our growth strategy on favorable terms and successfully operate new locations may be exposed to significant risks,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acquire a desired location or property because of competition from other investors with significant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able to acquire a desired location or property, competition from other potential acquirers may significantly increase the purchase price or result in other less favorable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complete an acquisition because we cannot secure financing on favorable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spend more than budgeted amounts to make necessary improvements or renovations to acquired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quickly and efficiently integrate acquired locations into our existing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properties may be subject to tax reassessment, which may result in higher-than-expected property tax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key staff at acquired locations or inability to attract, retain and motivate staff necessary for our expanded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locations or greenfield expansions in regions where we have not historically conducted business may subject us to new operational risks, laws, regulations, staff expectations, customs, and practices;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acquire properties subject to liabilities and without any recourse, or with only limited recourse, with respect to unknown liabilities, such as liabilities for the remediation of undisclosed environmental contamination; and claims for indemnification by general partners, directors, officers, and others indemnified by the former owners of the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realization of any of the above risks could significantly and adversely affect our ability to execute our growth strategy, meet our financial expectations, our financial condition, results of operations, and cash flows, the market price of our common stock, and our ability to satisfy our debt service obligations. We cannot assure you that our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strategy will be successful, or that such expansion will be completed in the time frames or at the costs we estimate.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can be no assurance that newly opened or acquired locations will achieve sales or profitability levels comparable to those of our existing locations in the time periods estimated by us, or at all. In instances where new or acquired locations are geographically proximate to existing locations, such locations may also adversely impact the comparable store sales growth of our existing car wash locations. Changes in areas around our locations or to the adjacent streets that reduce car traffic or otherwise render the locations unsuitable, could cause our sales to decline or otherwise be less than expected. If our locations fail to achieve, or are unable to sustain, acceptable total sales and profitability levels, our business may be materially and adversely affected, and we may incur significant costs associated with the early closure of such locations. Our plans to accelerate the growth of our location base may increase this risk.</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may not be able to maintain and enhance our reputation and brand recognition, which are key contributors to successful implementation of our growth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maintaining and enhancing our reputation and brand recognition are important to our relationships with existing customers and our ability to attract new customers. Presently, we use a mix of traditional and digital marketing tactics and channels to promote our brand.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materially and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factor that diminishes our reputation or that of our management, including failing to meet the expectations of our customers, could make it substantially more difficult for us to attract new customers. The marked increase in the use of social media platforms that provide individuals with access to a broad audience of consumers and other interested persons results in the opportunity for dissemination of information, including inaccurate information. Information posted may be adverse to our interests or inaccurate, each of which may harm our reputation and brand recognition, prospects or business. The harm may be immediate without affording us an opportunity for redress or correction.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successfully maintain and enhance our reputation and brand recognition with our customers, our business may not grow and we could lose our relationships with customers, which would materially and adversely affect our business, results of operations and financial condition.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If we are unable to compete successfully against other companies and operators in our industry, we may lose customers and market share and our revenues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 wash industry is fragmented, and we compete with a variety of operators. We believe customers consider a number of competitive factors, including name and brand recognition, location, price, product availability and customer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reputation is critical to our continued success. If we fail to maintain high standards for, or receive negative publicity relating to, customer service or quality, as well as our integrity and reputation, we could lose customers to our 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may also require us to reduce our prices, alter current service offerings, or change some of our current operating strategies. If we do not have the resources, expertise and consistent execution, or otherwise fail to develop successful strategies, to address these potential competitive disadvantages, we may lose customers and market share, and our business and results of operations could be adversely affected.</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Global economic conditions, including inflation and supply chain disruptions, and other increased operating costs could adversely affect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indications of increased economic uncertainty in the U.S. including the potential for an economic decline. Impacts of such general economic uncertainty include, without limitation: reduced credit availability; reduced liquidity; volatility in credit, equity and foreign exchange markets; increasing job losses, bankruptcies and fluctuating interest rates. A general economic downturn and negative macroeconomic trends may result in unfavorable conditions that could negatively affect demand for our services and exacerbate some of the other risks that affect our business, financial condition and results of operations. Additionally, these risks which are beyond our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could adversely affect operating costs and administrative expenses such as wages, benefits, supplies and inventory costs, legal claims, insurance costs and borrowing costs. Any such increase could reduce our sales and profit margins if we do not choose, or are unable, to pass the increased costs to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consumer purchases of car washes decline during periods when economic or market conditions are unstable or weak. Reduced consumer confidence and spending cutbacks may result in reduced demand for our services, which could result in lost sales. Reduced demand also may require increased selling and promotional expenses, thereby impacting our profitability. Prolonged or pervasive economic downturns could slow the pace of new greenfield openings, reduce comparable sales or cause us to close certain locations, which could have a material negative impact on our financial performance.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are subject to a number of risks and regulations related to credit card and debit card payments we accept.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pay for our services using a variety of different payment methods, including credit and debit cards, gift cards, and prepaid cards. We rely on internal systems and those of third parties to process payment. Acceptance and processing of these payment methods are subject to certain rules, regulations, and industry standards, including data storage requirements, additional authentication requirements for certain payment methods, and require payment of interchange and other fees. For credit card and debit card payments, we pay interchange and other fees, which may increase over time. An increase in those fees would increase our operating expenses, and potentially require an offsetting increase in membership prices, which could cause us to lose UWC Members, either of which could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of our processing vendors have problems with our billing software or the billing software malfunctions, it could have an adverse effect on our member satisfaction and could cause one or more of the major credit card companies to disallow our continued use of their payment products. In addition, if our billing software fails to work properly and, as a result, we do not automatically charge our UWC Members’ credit cards or debit cards on a timely basis or at all, we could lose membership revenue, which could materially and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adequately control fraudulent credit card and debit card transactions, we may face civil liability, diminished public perception of our security measures and significantly higher credit card and debit card related costs, each of which could adversely affect our business, financial condition and results of operations. We are subject to a number of federal regulations relating to the use of debit and credit cards, such as the Electronic Funds Act and the Truth in Lending Act of 1968, which provide guidelines and parameters for payment processing on debit cards and credit cards, respectively, and certain state regulations relating to automatic renewal, including, among others, the California Business and Professional Code Section 17601-17606, as amended, which provides requirements we must follow for the automatic renewal of subscription fees such as those charged to our UWC Members. We may also face legal liability or reputational harm for any failure, or any allegation that we have failed, to comply with such consumer protection laws relating to consumer debit or credit transactions. We also are subject to the Payment Card Industry Data Security Standard (“PCI DSS”), issued by the PCI Council and to the American National Standards Institute (“ANSI”) data encryption standards and payment network security operating guidelines, as well as the Fair and Accurate Credit Transactions Act (“FACTA”). Failure to comply with these guidelines or standards may result in the imposition of financial penalties or the allocation by debit and credit card companies of the costs of fraudulent charges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material interruptions or failures in our payment-related systems could have a material adverse effect on our business, results of operations and financial condition. If we are unable to comply with the security standards established by banks and the payment card industry, we may be subject to fines, restrictions and expulsion from card acceptance programs, which could materially and adversely affect our retail operations and the UWC program.</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depend on a limited number of suppliers for most of our car wash equipment and certain supplies.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suppliers for most of the car wash equipment and certain other supplies we use in our operations. Our ability to secure such equipment and supplies from alternative sources as needed may be time-consuming or expensive or may cause a temporary disruption in our supply chain. As such, we are subject to the risk that a supplier may not continue to provide us with the required car wash tunnel equipment. We also do not carry a significant inventory of such equipment. Shortages or interruptions in the supply of car wash equipment and other supplies could occur for reasons within or beyond the control of us and the supplier. Decreased fuel supplies are anticipated to increase fuel prices, which may adversely impact our transportation costs. Any shortage or interruption to our supply chain could reduce our sales and profit margins, which in turn may materially and adversely affect our business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locations may experience difficulty hiring and retaining qualified personnel, resulting in higher labor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operation of our locations requires both entry-level and skilled team members, and trained personnel continue to be in high demand and short supply at competitive compensation levels in some areas, which is likely to result in increased labor costs. Accordingly, we may experience increased difficulty hiring and maintaining such qualified personnel. In addition, the formation of unions may increase the operating expenses of our locations. Our ability to meet our labor needs is subject to many factors such as prevailing wage rates, minimum wage legislation, unemployment levels, and actions by our competitors with respect to compensation levels and incentive plans. Any such future difficulties could result in a decline in customer service negatively impacting sales at our locations, which could in turn materially and adversely affect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key personnel have worked for us for a significant amount of time or were recruited by us specifically due to their experience. Our success depends in part upon the reputation and influence within the industry of our senior managers. Each of our executive officers and other key employees may terminate his or her relationship with us at any time and the loss of the services of one or a combination of our senior executives or members of our senior management team may significantly delay or prevent the achievement of our business or development objectives and could materially harm our business. Further, contractual obligations related to confidentiality and noncompetition may be ineffective or unenforceable, and departing employees may share our proprietary information with competitors in ways that could adversely impact us.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rely on cash from our operating activities to make lease payments for the land and buildings where many of our locations are situated, which may strain our cash flow and expose us to potential liabilities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lease the land and buildings for a significant number of our store locations. The terms of the leases and subleases vary in length, with primary terms (i.e., before consideration of option periods) expiring on various dates. In addition, we may not be able to terminate a particular lease if or when we would like to do so, which could prevent us from closing or relocating certain underperforming locations. Our obligations to pay rent are generally non-cancelable, even if the location operated at the leased or subleased location is closed. Thus, if we decide to close locations, we generally are required to continue paying rent and operating expenses for the balance of the lease term. The performance of any of these obligations may be expensive. We may not assign or sublet the leased locations without consent of the landlord. When we assign or sublease vacated locations, we may remain liable on the lease obligations if the assignee or sub-lessee does not perform. Accordingly, we are subject to the risks associated with leasing locations which can have a material adverse effect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leases expire, we may be unable to negotiate renewals on commercially acceptable terms or at all, which could cause us to close locations in desirable locations or otherwise negatively affect profits, which in turn could materially and adversely affect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net cash provided by operating activities to pay our rent and other lease expenses and to fulfill our other cash needs. If our business does not generate sufficient cash provided by operating activities, and sufficient funds are not otherwise available to us from borrowings under our First Lien Term Loan and Revolving Commitment or from other sources, we may not be able to service our lease expenses, grow our business, respond to competitive challenges or fund our other liquidity and capital needs, which would harm our business.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Changes in applicable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taxation at the federal and state level due to the scope of our operations. We have also recorded non-income tax-based liabilities such as those related to sales, property, payroll and withholding tax. We have structured our operations in a manner designed to comply with current prevailing laws but the Internal Revenue Service, state and/or local taxing authorities could seek to impose incremental or new taxes on our business operations. In addition, changes in federal and state tax rates, laws and regulations may result in additional income and non-income tax liabilities being imposed on us and have an adverse effect on our effective tax rate, results of operations and financial condition. Lastly, changes in the scope of our operations, including expanding into new geographies, could increase our income tax liabilities and have an adverse impact on our effective tax rate.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17, 2026, we entered into the Merger Agreement with Parent, Merger Sub and Borrower, pursuant to which, on the terms and subject to the satisfaction or waiver of the conditions set forth therein, Merger Sub will be merged with and into Mister Car Wash, with Mister Car Wash surviving the Merger as the surviving corporation and a wholly owned subsidiary of Parent. Parent and Merger Sub are affiliates of LGP.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The Merger may not be completed on the timeline currently contemplated, or at all, and failure to complete the Merger may result in material adverse consequences to our business and operations and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Consummation of the Merger is subject to certain conditions set forth in the Merger Agreement, including (i) the adoption of the Merger Agreement by the affirmative vote of the holders of at least a majority of the outstanding shares of our common stock entitled to vote in accordance with the DGCL (which has been received through the Written Consent), (ii) the mailing of the Information Statement to our stockholders at least twenty (20) calendar days prior to the Closing, (iii) the expiration or termination of any waiting periods (and any extensions thereof) applicable to the consummation of the Merger pursuant to the Hart-Scott-Rodino Antitrust Improvements Act of 1976, as amended and the receipt of any clearance or other affirmative approvals applicable to the Merger under antitrust laws or foreign investment laws; (iv) the absence of any law or order issued by a governmental authority of competent jurisdiction that prohibits, makes illegal or enjoins the consummation of the Merger; (v) the accuracy of the parties’ respective representations and warranties contained in the Merger Agreement, subject to specified materiality qualifications; (vi) the parties’ performance of and compliance with their respective pre-Closing covenants and obligations in the Merger Agreement in all material respects; and (vii) the delivery by each party to the other party of a certificate certifying compliance with the conditions described in clauses (v) and (vi).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assurance that all of the various conditions will be satisfied within the expected timeframe, or at all. We are subject to a number of risks relating to the announcement and pendency of the Merger,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negative publicity, which could have an adverse effect on our ongoing operations including, but not limited to, retaining and attracting employees and maintaining our relationships with existing customers and obtaining potential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an event, change or other circumstances that could give rise to the termination of the Merger Agreement, including in circumstances requiring us to pay a $31,250,000 termination fee to LGP;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may experience increased volatility or decrease to the extent that the current market price reflects a market assumption that the Merger will be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consummated, the risks described above may materialize or be worsened, and they may have a material adverse effect on our business, results of operations, financial condition and the price of our common stock, particularly to the extent that the current market price reflects a market assumption that the Merger will be completed. Furthermore, investor confidence could decline, stockholder litigation could be brought against us, our directors and/or our officers, relationships with existing and prospective customers, service providers, investors, lenders and other business partners may be adversely impacted, we may be unable to attract or retain key personnel, our employees could be distracted and profitability may be adversely impacted due to costs incurred in connection with the pending Merger. We may experience negative reactions from the financial markets, including negative impacts on our stock price, and it is uncertain when, if ever, the price of our common stock would return to the prices at which our common stock traded prior to the failure of the proposed Merger. If the Merger is not consummated, our stockholders will not receive any payment for their shares of our common stock in connection with the Merger. Instead, we will remain a public company, our common stock will continue to be listed and traded on The Nasdaq Stock Market LLC and registered under the Securities Exchange Act of 1934, as amended, and we will be required to continue to file periodic reports with the Securities and Exchange Commission.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successfully completed, there are certain risks to our stockholders from the Merger,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 that receipt of the all-cash per share consideration under the Merger Agreement is taxable to stockholders that are treated as U.S. holders for U.S. federal income tax purposes;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fact that, if the Merger is completed, our stockholders will not participate in any future growth potential or benefit from any future increase in the value of the Company.</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will be subject to various uncertainties while the Merger is pending that may cause disruption and may make it more difficult to maintain relationships with employees, customers and other third-party business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complete the Merger could cause substantial disruptions in, and create uncertainty surrounding, our business. Uncertainty about the effect of the Merger on employees, customers, suppliers and vendors may have an adverse effect on the business, financial condition and results of operations of Mister Car Wash. These uncertainties may impair our ability to attract, retain and motivate key personnel pending the consummation of the Merger, as such personnel may experience uncertainty about their future roles following the consummation. Additionally, these uncertainties could cause customers, suppliers, vendors and others who deal with us to defer decisions concerning working with us, seek to change existing business relationships with Mister Car Wash or fail to extend an existing relationship with us. In addition, competitors may target our existing customers by highlighting potential uncertainties that may result from the Merger. Changes to or termination of existing business relationships could adversely affect our revenue, earnings and financial condition, as well as the market price of our common stock. The adverse effects of the pendency of the Merger could be exacerbated by any delays in completion of the Merger or termination of the Merger Agreement.</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While the Merger is pending and the Merger Agreement is in effect, we are subject to restrictions on our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Merger is pending and the Merger Agreement is in effect, we are generally required to conduct our business in the ordinary course of business in all material respects. Mister Car Wash is also subject to customary operating restrictions between during the pendency of the Merger. These include restrictions on our ability to take certain material actions, including issuing shares or paying dividends, entering into certain material contracts, incurring or assuming material debt, or acquiring another business or entering into a joint venture, in each case, subject to certain exceptions. These restrictions could prevent us from pursuing strategic business opportunities and taking actions with respect to our business that we may consider advantageous and may, as a result, materially and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arising from these restrictions during the pendency of the Merger could be exacerbated by any delays in consummation of the Merger or termination of the Merger Agreement.</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The Merger Agreement contains provisions that could discourage a potential competing acquirer of the Company or could result in a competing acquisition proposal being at a lower price than it might otherwise be.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contains provisions that may discourage third parties from submitting acquisition proposals to Mister Car Wash, even if such third party were prepared to pay consideration with a higher value than the value of the consideration in the Merger. The Merger Agreement generally prohibits Mister Car Wash from soliciting any competing acquisition proposal. In addition, the Merger Agreement requires us to notify Parent and provide certain information if we receive certain inquiries related to a competing acquisition proposal, which might deter third parties from proposing alternative acquisition proposals. Although the Merger Agreement permits us to terminate the Merger Agreement in order to enter into an acquisition agreement with respect to a “Superior Proposal” (as defined in the Merger Agreement), we would be required to pay a termination fee of $31,250,000 to Parent, which might cause a potential competing acquirer to propose to pay a lower price than it might otherwise have proposed to pay. The Merger Agreement also requires us to pay Parent a termination fee of $31,250,000 if the Merger Agreement is terminated in certain circumstances and, within 12 months of such termination, we consummate a similar acquisition transaction or enter into a definitive agreement for a similar acquisition transaction which is later consummated, which might cause a potential acquirer to propose to pay a lower price than it might otherwise have proposed to pay.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If the Merger Agreement is terminated, we may, under certain circumstances, be obligated to pay a termination fee to Parent. These costs could require us to use available cash that would have otherwise been available for other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not completed, in certain circumstances, we could be required to pay a termination fee of $31,250,000 to Parent. If the Merger Agreement is terminated under such circumstances, the termination fee we may be required to pay under the Merger Agreement may require us to use available cash that would have otherwise been available for general corporate purposes or other uses. For these and other reasons, termination of the Merger Agreement could materially and adversely affect our business, results of operations or financial condition, which in turn would materially and adversely affect the price of our common stock.</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have incurred, and will continue to incur, direct and indirect costs as a result of the Merger.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and will continue to incur, significant costs and expenses, including regulatory costs, fees for professional services and other transaction costs in connection with the Merger, for which we will have received little or no benefit if the Merger is not completed. There are a number of factors beyond our control that could affect the total amount or the timing of these costs and expenses. Many of these fees and costs will be payable by us regardless of whether or not the pending Merger is consummated and may relate to activities that we would not have undertaken other than to complete the Merger.</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Litigation challenging the Merger Agreement may prevent the Merger from being consummated within the expected timeframe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may be filed against us, our board of directors or other parties to the Merger Agreement challenging the Merger Agreement or the Merger or making other claims in connection therewith. Such lawsuits may be brought by our purported stockholders and may seek, among other things, to enjoin consummation of the Merger. One of the conditions to the consummation of the Merger is the absence of any law or order issued by a governmental authority of competent jurisdiction that prohibits, makes illegal or enjoins the consummation of the Merger. As such, if the plaintiffs in such potential lawsuits are successful in obtaining an injunction prohibiting the defendants from completing the Merger on the agreed upon terms, then such injunction may prevent the Merger from becoming effective, or from becoming effective within the expected timeframe.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If the Merger is completed, our stockholders will forgo the opportunity to benefit from potential future appreciation in the value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Merger Agreement provides that, at the effective time of the Merger, each share of our common stock (other than Dissenting Company Shares and certain other shares held by or contributed to Parent at the Closing) will be automatically converted into the right receive cash in an amount equal to the Per Share Price ($7.00), without interest. If the Merger is consummated, our stockholders (other than the Principal Stockholders and other certain stockholders contributing shares to Parent at the Closing) will no longer hold interests in Mister Car Wash and, therefore, will not be entitled to benefit from any potential future appreciation in the value of Mister Car Wash.</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Indebtedness and Capital Requirements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indebtedness could adversely affect our financial health and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$800.1 million of indebtedness outstanding pursuant to an amended and restated first lien credit agreement entered into on May 14, 2019, as amended, (“First Lien Term Loan”).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capital needs. To the extent we are required to use our cash flow from operations or the proceeds of any future financing to service our debt instead of funding working capital, capital expenditures, or acquisitions, we will be less able to plan for, or react to, changes in our business, industry and in the economy generally. This places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 make it more difficult for us to obtain additional capital and to pursue business opportunities, including potential acquisitions.</w:t>
      </w:r>
    </w:p>
    <w:p>
      <w:pPr>
        <w:pStyle w:val="Heading2"/>
        <w:bidi w:val="0"/>
        <w:spacing w:before="120" w:after="283"/>
        <w:jc w:val="left"/>
        <w:rPr>
          <w:rFonts w:ascii="Times New Roman" w:hAnsi="Times New Roman"/>
          <w:sz w:val="20"/>
        </w:rPr>
      </w:pPr>
      <w:r>
        <w:rPr>
          <w:rFonts w:ascii="Times New Roman" w:hAnsi="Times New Roman"/>
          <w:i/>
          <w:color w:val="000000"/>
          <w:sz w:val="20"/>
        </w:rPr>
        <w:t>The terms of our credit facilities impose certain operating and financial restrictions on us that may impair our ability to adapt to changing competitive or economic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agreements governing our credit facilities contain, and any agreements evidencing or governing other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debt may contain, certain restrictive covenants that limit our ability, among other things, to engage in certain activities that are in our long-term best interests, including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or assume additional debt or amend our debt and other material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certain disqualified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declare or make dividends or distributions and redeem, repurchase or retire equity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prepay, redeem or repurchase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investments, loans, advances, guarantees and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agreements restricting the ability to pay dividends or grant liens securing the obligations under the credit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or modify governing documents;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certain business activities or alter the business conducted by us and our restricted subsidiaries;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certain mergers, consolidations and asset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First Lien Term Loan contains a springing maximum first lien net leverage ratio financial covenant. Our ability to meet this requirement can be affected by events beyond our control, and we may not be able to satisfy such financial covenants. Our ability to comply with these covenants and restrictions may be affected by events and factors beyond our control. Our failure to comply with any of these covenants or restrictions could result in an event of default under our credit facilities. An event of default would permit the lending banks under the facility to take certain actions, including terminating all outstanding commitments and declaring all amounts outstanding under our credit facility to be immediately due and payable, including all outstanding borrowings, accrued and unpaid interest thereon, and all other amounts owing or payable with respect to such borrowings and any terminated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lenders would have the right to proceed against the collateral we granted to them, which includes substantially all of our assets. </w:t>
      </w:r>
    </w:p>
    <w:p>
      <w:pPr>
        <w:pStyle w:val="Heading2"/>
        <w:bidi w:val="0"/>
        <w:spacing w:before="120" w:after="283"/>
        <w:jc w:val="left"/>
        <w:rPr>
          <w:rFonts w:ascii="Times New Roman" w:hAnsi="Times New Roman"/>
          <w:sz w:val="20"/>
        </w:rPr>
      </w:pPr>
      <w:r>
        <w:rPr>
          <w:rFonts w:ascii="Times New Roman" w:hAnsi="Times New Roman"/>
          <w:i/>
          <w:color w:val="000000"/>
          <w:sz w:val="20"/>
        </w:rPr>
        <w:t>In order to support the growth of our business, we may need to incur additional indebtedness or seek capital through new equity or debt financings, which sources of additional capital may not be available to us on acceptable terms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continue to make significant investments to support our business growth, respond to business challenges or opportunities, develop new services, enhance our existing services and operating infrastructure, open additional greenfield locations and potentially acquire complementary businesses and assets. For the year ended December 31, 2025, our net cash provided by operating activities was $285.7 million. As of December 31, 2025, we had $28.5 million of cash and cash equivalents, which were held for working capital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may be significantly different from our current estimates and will depend on many factors, including the need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unanticipated working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open new greenfield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enhance our infrastructure and our existing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complementary businesses, assets 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the availability of sale-leaseback arrangements when we engage in an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 strategic relationships, including joint ventures and co-investments;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 additional implementation engagements;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respond to competitive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we may need to engage in equity or debt financings or other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and adverse effect on our business, results of operations and financial condition.</w:t>
      </w:r>
    </w:p>
    <w:p>
      <w:pPr>
        <w:pStyle w:val="Heading2"/>
        <w:bidi w:val="0"/>
        <w:spacing w:before="120" w:after="283"/>
        <w:jc w:val="left"/>
        <w:rPr>
          <w:rFonts w:ascii="Times New Roman" w:hAnsi="Times New Roman"/>
          <w:sz w:val="20"/>
        </w:rPr>
      </w:pPr>
      <w:r>
        <w:rPr>
          <w:rFonts w:ascii="Times New Roman" w:hAnsi="Times New Roman"/>
          <w:i/>
          <w:color w:val="000000"/>
          <w:sz w:val="20"/>
        </w:rPr>
        <w:t>We are a holding company and depend on our subsidiaries for cash to fund operations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holding company that does not conduct any business operations of our own. As a result, we are largely dependent upon cash distributions and other transfers from our subsidiaries to meet our obligations and to make future dividend payments, if any. The deterioration of the earnings from, or other available assets of, our subsidiaries for any reason could impair their ability to make distributions to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various laws and regulations and changes in such laws and regulations, or failure to comply with existing or future laws and regulations,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and frequently changing federal, state and local laws and regulations. We routinely incur significant costs in complying with these regulations. New or existing laws, regulations and policies, liabilities arising thereunder and the related interpretations and enforcement practices, particularly those dealing with minimum wages, paid sick time, workplace safety, employee and public health emergencies, advertising and marketing, consumer protection, recurring debit and credit card charges, information security, data privacy, environmental protection including recycling, waste, water usage, zoning and land use, taxation and public company compliance, may result in significant added expenses or may require extensive system and operating changes that may be difficult to implement and/or could materially increase our cost of doing business. In addition, we are subject to environmental laws pursuant to which we could be strictly liable for any contamination at our current or former locations, or at third-party waste disposal sites, regardless of our knowledge of or responsibility for such contamination.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locations are subject to certain environmental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former car wash operations and quick lube businesses, as well as our former motor fuel dispensing, are governed by stringent federal, state and local laws and regulations, including environmental regulations of the handling, storage, transportation, import/export, recycling, or disposing of various new and used products the generation, storage and disposal of solid and hazardous wastes, and the release of materials into the environment. Additionally, in the course of our operations, we may generate some amounts of material that may be regulated as hazardous substances.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these laws and regulations, or future changes thereto, we may be required to obtain and maintain approvals or permits for the discharge of wastewater or storm water and are required to develop and implement spill prevention, control and countermeasure plans in connection with on-site storage of significant quantities of motor fuel. We believe that we maintain all required discharge permits necessary to conduct our operations, and further believe we are in substantial compliance with the terms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Clean Air Act, as amended, (“CAA”) and similar state laws impose requirements on emissions to the air from motor fueling activities in certain areas of the country, including those that do not meet state or national ambient air quality standards. These laws may require the installation of vapor recovery systems to control emissions of volatile organic compounds to the air during the motor fueling process. Under the CAA and comparable state and local laws, permits are typically required to emit regulated air pollutants into the atmosphere.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federal Clean Water Act (“CWA”) and analogous state laws may require us to obtain and maintain individual permits or coverage under general permits for discharges of wastewater or storm water runoff. While we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 to obtain necessary approvals for our operations, as with all governmental permitting processes, there is a degree of uncertainty as to whether a particular permit will be granted, the time it will take for such permit to be issued, and the conditions that may be imposed in connection with the granting of such permit. We are unaware of pending changes to environmental laws and regulations that will have a material adverse effect on our financial condition, results of operations or cash available for distribution to our stockholders; nonetheless, there exists the possibility that new laws or regulations may be imposed in the future that could result in more stringent and costly compliance requirements that potentially could materially and adversely affect our business. We are not presently aware of any material liability related to the costs of investigations and cleaning up sites of spills, disposals or other releases of hazardous materials at our current or former locations or business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The historical transportation, distribution and storage of motor fuels (diesel fuel and gasoline) and other chemicals are subject to environmental protection and operational safety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do not dispense gasoline or diesel fuels at any locations. However, our historical operations, at limited locations obtained through acquisitions, involved using underground storage tanks (USTs) for fuel and chemicals. Some of these tanks remain on leased properties, with future obligations for removal and potential environmental remediation. Instances of contamination have been identified in the past, leading to remediation costs. This historical legacy presents ongoing environmental risks and potential liabilities under our lease agreements and environmental laws. We continue to evaluate and address these risks, recognizing their potential impact on our financial condition and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Evolving global climate change regulations and effects of greenhouse gas emissions may adversely affect our operations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continuing concern from members of the scientific community and the general public that emissions of greenhouse gases (“GHG”) and other human activities have or will cause significant changes in weather patterns and increase the frequency or severity of extreme weather events, including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adverse environmental impact on our locations due to climate change could materially and adversely affect our business and the results of our operations. New federal or state legislation or regulations on greenhouse gas (“GHG”) emissions that may be imposed in areas of the United States in which we conduct business and that apply to our operations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such legislation or regulations are enacted, we could incur increased energy, environmental and other costs and capital expenditures to comply with the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along with other companies in many business sectors, are considering and implementing sustainability strategies, specifically ways to reduce GHG emissions. As a result, our customers may request that changes be made to our products or facilities, as well as other aspects of our business, that increase costs and may require the investment of capital. Failure to provide climate-friendly products or demonstrate GHG reductions could potentially result in loss of market share.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Government regulations, weather conditions including drought and natural hazards may affect the availability of water supplies for use at our car wash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the existing and future water demands at our car wash locations depends on adequate supplies of water. Generally, the water used in our car wash locations is sourced from rivers, lakes, streams and groundwater aquifers and, in some limited instances, through onsite groundwater wells. As such, we typically do not own the water that we use in our operations but instead are dependent on local public and/or private water agencies for most of the water used. Accordingly, governmental restrictions on water use may result in decreased access to water supplies or to temporary suspension of water usage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Climate change, drought, overuse of sources of water, the protection of threatened species or habitats or other factors may limit the availability of ground and surface water and our access to water supplies. Ongoing drought conditions currently exist in several areas of the United States, particularly in the western states, where we operate. Governmental restrictions on water use may also result in decreased access to water supplies, which may adversely affect our financial condition and results of operations. Water service interruptions are also possible due to severe weather events, including winter storms and freezing conditions in colder climate locations, high wind conditions in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areas known to experience tornados, earthquakes in areas known to experience seismic activity, high water conditions in areas located in or near designated flood plains, hurricanes, and severe electrical storms.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interruption in our ability to access water could materially and adversely affect the results of our operations and financial condition. Furthermore, losses from business interruptions or damage to our facilities might not be covered by our insurance policies and such losses may make it difficult for us to secure insurance coverage in the future at acceptable rates.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 Information Technology and Data Privacy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are subject to data security and privacy risks that could negatively impact our results of operations or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process, transmit and store personal, sensitive and confidential information, including our proprietary business information and that of consumers (including UWC Members), employees and suppliers. The secure processing, maintenance and transmission of this information is critical to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global IT security threats and more sophisticated and targeted computer crime and increased ransomware attacks pose a risk to the security of our computer systems and networks and the confidentiality, availability and integrity of our data. Despite our security measures, we have been subject to cyber-attacks and attempts in the past and our IT systems and infrastructure may continue to be vulnerable to computer viruses, cyber-attacks, security breaches caused by employee error or malfeasance or other disruptions in the future. Though no such incident to date has had a material impact on our business, we cannot ensure that our security efforts will prevent unauthorized access or loss of functionality to our or our third-party providers' systems. Any such incident could compromise our networks and the information stored there could be accessed, publicly disclosed, lost or stolen. A security breach of our computer systems or those of our third-party service providers and business partners could interrupt or damage our operations or harm our reputation, or both. In addition, any such breach, attack, virus or other event could result in costly investigations and litigation, government enforcement actions, civil or criminal penalties, fines, operational changes or other response measures, loss of consumer confidence in our security measures, and negative publicity that could materially and adversely affect our brand, business, results of operations and financial condition. These costs and losses may not be adequately covered by applicable insurance coverage or other contractual rights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comply with increasingly and complex privacy and security laws and regulations in the United States, including the California Consumer Privacy Act (the “CCPA”), as amended, and other state data privacy laws that have been enacted to date. Although there are limited exemptions for health-related information, including Protected Health Information and clinical trial data, the CCPA and other state privacy laws may increase our compliance costs and potential liability. Similar laws have been proposed or enacted in other states and at the federal level, and when passed, such laws may have potentially conflicting requirements that would make compliance challenging. Our operations are subject to the Telephone Consumer Protection Act and similar state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general matter, compliance with laws,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materially and adversely affect our ability to acquire customers and otherwise materially and adversely affect our business, results of operations and financial condition.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may be unable to adequately protect, and we may incur significant costs in enforcing or defending, our intellectual property and other 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brand image and our ability to enforce and defend our intellectual property and other proprietary rights and differentiate ourselves from our competitors. We rely upon a combination of trademark, patent, trade secret, copyright, and unfair competition laws, and other contractual provisions, to protect our intellectual property and other proprietary rights. We cannot assure you that the steps we take to protect our intellectual property and other proprietary rights will be adequate to prevent the infringement or other violation of such rights by others, including the imitation and misappropriation of our brand, which could damage our brand identity and the goodwill we have created. To the extent that our intellectual property and other proprietary rights are not adequately protected,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could result in costly redesign efforts, discontinuance of certain service offerings or other competitive harm. We may have to litigate to enforce or determine the scope and enforceability of our intellectual property rights, which is expensive and could exceed applicable insurance coverage, could cause a diversion of resources and may not prove successful. The loss of intellectual property protection or the inability to obtain sufficient rights to use third-party intellectual property could harm our business and ability to compete.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may be subject to infringement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that our services and operations do not infringe upon or otherwise violate the proprietary rights of third parties, we cannot guarantee that we do not, and will not in the future, infringe or otherwise violate the proprietary rights of third parties. Third parties have in the past, and may in the future, assert infringement or other intellectual property violation claims against us with respect to future products, services or operations. Any claim from a third party may result in a limitation on our ability to use our intellectual property. Even if we believe that intellectual property related claims are without merit, defending against such claims is time-consuming, expensive and could result in the diversion of the time and attention of our management and employees. Claims of intellectual property infringement are inherently uncertain, and might require us to redesign affected services, enter into costly settlement or license agreements, pay costly damage awards for which we may not have insurance coverage, or face a temporary or permanent injunction prohibiting us from marketing or selling certain of our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business, results of operations, and financial condition could be materially and adversely affected.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are a “controlled company” within the meaning of the NASDAQ rules and, as a result, will qualify for, and may rely on, exemptions from certain corporate governance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LGP has more than 50% of the voting power for the election of directors, and, as a result, we are considered a “controlled company” for the purposes of the Nasdaq Stock Market (“NASDAQ”). Although we currently comply with the NASDAQ rules applicable to companies that do not qualify as a “controlled company,” as a “controlled company,” in the future we may elect not to comply with certain corporate governance standards, including the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a majority of our board of directors consist of independent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our board of directors have a compensation committee that is composed entirely of independent directors with a written charter addressing the committee’s purpose and responsibilities;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the nominating function of our board of directors be exercised by independent directors or by an independent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as long as LGP owns more than 50% of our common stock it will be able to exert a controlling influence over all matters requiring stockholder approval, including the nomination and election of directors and approval of significant corporate transactions, such as a merger or other sale of our Company or its assets. Even if LGP were to own or control less than a majority of our total outstanding shares of common stock, it will be able to influence the outcome of corporate actions so long as it owns a significant portion of our total outstanding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LGP may have interests that are different from our other stockholders and may vote in a way with which our other stockholders disagree and that may be averse to their respective interests. In addition, LGP’s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amended and restated certificate of incorporation could prevent us from benefiting from corporate opportunities that might otherwise have been available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or their respective affiliates, other than those officers, directors, stockholders or affiliates who are our or our subsidiaries’ employees. Our amended and restated certificate of incorporation will provide that, to the fullest extent permitted by law, none of LGP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these provisions in our amended and restated certificate of incorporation, we may not receive the benefit from certain corporate opportunities, such as an acquisition target or other extraordinary transaction, that might have otherwise been available to us and potentially beneficial to our business.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Sales of a substantial number of shares of our common stock in the public market by our existing stockholders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holders of approximately 70% of our outstanding common stock as of the date of this Annual Report on Form 10-K have rights, pursuant to the Stockholders Agreement, to require us to file registration statements for the public sale of their shares or to include their shares in registration statements that we may file for ourselves or other stockholders. A registration statement covering such shares has been filed and has been declared effective. Any sales of securities by these stockholders could have a material and adverse effect on the trading price of our common stock.</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our amended and restated bylaws, as well as provisions of the DGCL,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classified Board such that not all members of the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allowing the total number of directors to be determined exclusively (subject to the rights of holders of any series of preferred stock to elect additional directors) by resolution of our Board and granting to our Board the sole power (subject to the rights of holders of any series of preferred stock or rights granted pursuant to the Stockholders’ Agreement) to fill any vacancy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that our stockholders may remove members of our Board only for cause and only by the affirmative vote of the holders of at least two-thirds of the voting power of our then-outstanding stock, following such time as LGP ceases to beneficially own, in the aggregate, at least 50% of the voting power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the issuance of “blank check” preferred stock by our Board, without further stockholder approval, to thwart a takeover attempt;</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stockholder action by written consent (and, thus, requiring that all stockholder actions be taken at a meeting of our stockholders), if LGP ceases to beneficially own, in the aggregate, at least 50% of the voting power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eliminating the ability of stockholders to call a special meeting of stockholders, except for LGP for so long as LGP beneficially owns, in the aggregate, at least 50% of the voting power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advance notice requirements for nominations for election to the Board or for proposing matters that can be acted upon at annual stockholder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approval of the holders of at least two-thirds of the voting power of all outstanding stock entitled to vote thereon, voting together as a single class, to amend or repeal our certificate of incorporation or bylaws if LGP ceases to beneficially own, in the aggregate, at least 50% of the voting power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provisions could discourage, delay or prevent a transaction involving a change in control. They could also discourage proxy contests and make it more difficult for stockholders to elect directors of their choosing and cause us to take corporate actions other than those that stockholders desire.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Our amended and restated certificate of incorporation provides that the Court of Chancery of the State of Delaware or federal district courts of the United States will be the sole and exclusive forum for certain types of lawsuits, which could limit our stockholders' abilities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the amended and restated certificate of incorporation or the proposed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We do not intend to pay dividends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intend to retain any future earnings to finance the operation and expansion of our business and we do not expect to declare or pay any dividends in the foreseeable future. Moreover, the terms of our existing First Lien Term Loan and Revolving Commitment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bookmarkStart w:id="6" w:name="item1b_unresolved_staff_comments"/>
      <w:bookmarkEnd w:id="6"/>
      <w:r>
        <w:rPr>
          <w:rFonts w:ascii="Times New Roman" w:hAnsi="Times New Roman"/>
          <w:b/>
          <w:color w:val="000000"/>
          <w:sz w:val="20"/>
          <w:u w:val="single"/>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bookmarkStart w:id="7" w:name="item1c_cybersecurity"/>
      <w:bookmarkEnd w:id="7"/>
      <w:r>
        <w:rPr>
          <w:rFonts w:ascii="Times New Roman" w:hAnsi="Times New Roman"/>
          <w:b/>
          <w:color w:val="000000"/>
          <w:sz w:val="20"/>
          <w:u w:val="single"/>
        </w:rPr>
        <w:t>Item 1C. Cybersecurity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component of our overall risk management system and processes, we have a risk-based cybersecurity program, dedicated to protecting our data as well as data belonging to consumers (including UWC Members), employees and suppliers. We devote significant resources and utilize a defensive in-depth strategy, with multiple layers of security controls to protect the security of our computer systems, software, networks, and other technology assets. Our security efforts are designed to preserve the confidentiality, integrity, and continued availability of all information we own, or is in our care, and protect against, among other things, cybersecurity attacks by unauthorized parties attempting to obtain access to confidential information, destroy data, disrupt or degrade service, sabotage systems, or cause other damage. These processes include technical, administrative and physical controls and processes, as well as contractual mechanisms to mitigate risk. We also have policies and procedures to oversee and identify the cybersecurity risks associated with our use of third-party service providers, including the regular review of System &amp; Organization Controls (“SOC”) reports, relevant cyber attestations, and other independent cyber ratings.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a combination of governance, risk, and compliance (GRC) resources,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proactively monitor IT controls to ensure compliance with legal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 third-party risk management assessments,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processes designed to ensure essential business functions remain available during business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update incident response plans to address potential weaknesses,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cyber incident management and reporting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processes are overseen by our Chief Technology Officer, who has over 30 years of experience consulting and leading technology teams at several global multi-unit brands, including Blockbuster, FedEx, and Yum! Brands.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systems are periodically the target of directed attacks intended to lead to interruptions and delays in our service and operations as well as loss, misuse or theft of personal information (of third parties, employees, and our customers) and other data, confidential information or intellectual property. However, to date, we are not aware of any incident or cybersecurity risks having a material impact on our business, results of operations or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Board Oversight and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recognizes the important role of information security and mitigating cybersecurity and other data security threats. While the full Board has overall responsibility for risk oversight, it is supported in this function primarily by its committees. The Audit Committee is responsible for reviewing and discussing our policies with respect to risk assessment and risk management, including risks related to cybersecurity and other technology issues. The Board periodically evaluates our cybersecurity strategy to help ensure its effectiveness. Management provides periodic reports to the Audit Committee regarding cybersecurity and other information technology risks, as well as our plans to mitigate cybersecurity risks and to respond to any breaches, and to the Nominating and Corporate Governance Committee regarding governance matters related to cybersecurity and other information technology risks.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8" w:name="item2_properties"/>
      <w:bookmarkEnd w:id="8"/>
      <w:r>
        <w:rPr>
          <w:rFonts w:ascii="Times New Roman" w:hAnsi="Times New Roman"/>
          <w:b/>
          <w:color w:val="000000"/>
          <w:sz w:val="20"/>
          <w:u w:val="single"/>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25,350 and own 27,973 square feet of office space at our corporate headquarters in Tucson, Arizona. As of December 31, 2025, we leased 485 locations and owned 63 locations. The chart below provides a breakdown of our operating car wash locations as of December 31, 2025:</w:t>
      </w:r>
    </w:p>
    <w:p>
      <w:pPr>
        <w:pStyle w:val="TextBody"/>
        <w:bidi w:val="0"/>
        <w:spacing w:before="120" w:after="283"/>
        <w:jc w:val="left"/>
        <w:rPr/>
      </w:pPr>
      <w:r>
        <w:rPr/>
        <w:t> </w:t>
      </w:r>
    </w:p>
    <w:tbl>
      <w:tblPr>
        <w:tblW w:w="2409" w:type="dxa"/>
        <w:jc w:val="left"/>
        <w:tblInd w:w="0" w:type="dxa"/>
        <w:tblLayout w:type="fixed"/>
        <w:tblCellMar>
          <w:top w:w="28" w:type="dxa"/>
          <w:left w:w="28" w:type="dxa"/>
          <w:bottom w:w="28" w:type="dxa"/>
          <w:right w:w="28" w:type="dxa"/>
        </w:tblCellMar>
      </w:tblPr>
      <w:tblGrid>
        <w:gridCol w:w="1216"/>
        <w:gridCol w:w="146"/>
        <w:gridCol w:w="220"/>
        <w:gridCol w:w="636"/>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Locations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Alabama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Colorado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Idaho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Iowa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Mississippi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Mexico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Utah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Wisconsin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u w:val="single"/>
        </w:rPr>
      </w:pPr>
      <w:bookmarkStart w:id="9" w:name="item3_legal_proceedings"/>
      <w:bookmarkEnd w:id="9"/>
      <w:r>
        <w:rPr>
          <w:rFonts w:ascii="Times New Roman" w:hAnsi="Times New Roman"/>
          <w:b/>
          <w:color w:val="000000"/>
          <w:sz w:val="20"/>
          <w:u w:val="single"/>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0" w:name="part_ii"/>
      <w:bookmarkEnd w:id="10"/>
      <w:r>
        <w:rPr>
          <w:rFonts w:ascii="Times New Roman" w:hAnsi="Times New Roman"/>
          <w:color w:val="000000"/>
          <w:sz w:val="20"/>
        </w:rPr>
        <w:t>PART II</w:t>
      </w:r>
    </w:p>
    <w:p>
      <w:pPr>
        <w:pStyle w:val="TextBody"/>
        <w:bidi w:val="0"/>
        <w:spacing w:before="120" w:after="283"/>
        <w:jc w:val="left"/>
        <w:rPr>
          <w:rFonts w:ascii="Times New Roman" w:hAnsi="Times New Roman"/>
          <w:b/>
          <w:color w:val="000000"/>
          <w:sz w:val="20"/>
          <w:u w:val="single"/>
        </w:rPr>
      </w:pPr>
      <w:bookmarkStart w:id="11" w:name="item5_market_for_registrant_common_equi"/>
      <w:bookmarkEnd w:id="11"/>
      <w:r>
        <w:rPr>
          <w:rFonts w:ascii="Times New Roman" w:hAnsi="Times New Roman"/>
          <w:b/>
          <w:color w:val="000000"/>
          <w:sz w:val="20"/>
          <w:u w:val="single"/>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sz w:val="20"/>
        </w:rPr>
      </w:pPr>
      <w:r>
        <w:rPr>
          <w:rFonts w:ascii="Times New Roman" w:hAnsi="Times New Roman"/>
          <w:color w:val="2B333D"/>
          <w:sz w:val="20"/>
        </w:rPr>
        <w:t>Effective January 1, 2025, our common stock was listed and began trading on Nasdaq's Global Select Market under the ticker symbol “MCW”. From June 25, 2021 through December 31, 2024, our common stock was listed on the New York Stock Exchange under the symbol “MCW”. Prior to June 2021, there was no public trading market for our common stock</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13, 2026, there were 1,268 holders of record of our common stock. This number excludes stockholders whose stock is held in street name by banks, brokers and other nominees.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intend to retain any future earnings to fund the development and expansion of our business, and, therefore, we do not anticipate paying cash dividends on our share capital in the foreseeable future. Any future determination to pay dividends will be at the discretion of our board of directors and will depend on our results of operations, financial condition, capital requirements, contractual restrictions, restrictions under our credit facilities and any other agreements governing our indebtedness and other factors deemed relevant by our board of directors.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December 31, 2025, we did not repurchase any equity securities.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graph compares the cumulative stockholder return since June 25, 2021, the date our common stock began trading on a national stock exchange with S&amp;P 1500 Consumer Services Index, S&amp;P 500 Total Return Index, and Russell 2000 Index. The graph assumes that the value of the investment in our stock and in each index was $100 at June 25, 2021, and that all dividends were reinvested. </w:t>
      </w:r>
    </w:p>
    <w:p>
      <w:pPr>
        <w:pStyle w:val="TextBody"/>
        <w:bidi w:val="0"/>
        <w:spacing w:before="120" w:after="120"/>
        <w:jc w:val="left"/>
        <w:rPr/>
      </w:pPr>
      <w:r>
        <w:rPr/>
        <w:drawing>
          <wp:inline distT="0" distB="0" distL="0" distR="0">
            <wp:extent cx="5934075" cy="2276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34075" cy="2276475"/>
                    </a:xfrm>
                    <a:prstGeom prst="rect">
                      <a:avLst/>
                    </a:prstGeom>
                  </pic:spPr>
                </pic:pic>
              </a:graphicData>
            </a:graphic>
          </wp:inline>
        </w:drawing>
      </w:r>
    </w:p>
    <w:p>
      <w:pPr>
        <w:pStyle w:val="TextBody"/>
        <w:bidi w:val="0"/>
        <w:spacing w:before="0" w:after="120"/>
        <w:jc w:val="left"/>
        <w:rPr/>
      </w:pPr>
      <w:r>
        <w:rPr/>
        <w:t> </w:t>
      </w:r>
    </w:p>
    <w:tbl>
      <w:tblPr>
        <w:tblW w:w="8674" w:type="dxa"/>
        <w:jc w:val="left"/>
        <w:tblInd w:w="0" w:type="dxa"/>
        <w:tblLayout w:type="fixed"/>
        <w:tblCellMar>
          <w:top w:w="28" w:type="dxa"/>
          <w:left w:w="28" w:type="dxa"/>
          <w:bottom w:w="28" w:type="dxa"/>
          <w:right w:w="28" w:type="dxa"/>
        </w:tblCellMar>
      </w:tblPr>
      <w:tblGrid>
        <w:gridCol w:w="2536"/>
        <w:gridCol w:w="211"/>
        <w:gridCol w:w="676"/>
        <w:gridCol w:w="146"/>
        <w:gridCol w:w="211"/>
        <w:gridCol w:w="676"/>
        <w:gridCol w:w="146"/>
        <w:gridCol w:w="211"/>
        <w:gridCol w:w="571"/>
        <w:gridCol w:w="146"/>
        <w:gridCol w:w="211"/>
        <w:gridCol w:w="676"/>
        <w:gridCol w:w="146"/>
        <w:gridCol w:w="211"/>
        <w:gridCol w:w="676"/>
        <w:gridCol w:w="146"/>
        <w:gridCol w:w="211"/>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12/31/25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Mister Car Wash,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1500 Consumer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 Total Return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Russell 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12" w:name="item7_management_discussion_and_analysis"/>
      <w:bookmarkEnd w:id="12"/>
      <w:r>
        <w:rPr>
          <w:rFonts w:ascii="Times New Roman" w:hAnsi="Times New Roman"/>
          <w:b/>
          <w:color w:val="000000"/>
          <w:sz w:val="20"/>
          <w:u w:val="single"/>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includes a discussion and analysis of our financial condition and results of operations for 2025 and 2024 and year-to-year comparisons between 2025 and 2024. For discussion and analysis of our financial condition and results of operations for 2023 and year-to-year comparisons between 2024 and 2023, see Part II, Item 7, “Management’s Discussion and Analysis of Financial Condition and Results of Operations” in our Annual Report on Form 10-K for the year ended December 31,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Factors Affecting Our Business and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business and growth depend on a number of factors that present significant opportunities for us and may pose risks and challenges, including those discussed below and in Part I, Item 1A. “Risk Factors” included elsewhere in this Annual Report on Form 10-K.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Growth in comparable store sales.</w:t>
      </w:r>
      <w:r>
        <w:rPr>
          <w:color w:val="000000"/>
        </w:rPr>
        <w:t xml:space="preserve"> </w:t>
      </w:r>
      <w:r>
        <w:rPr>
          <w:rFonts w:ascii="Times New Roman" w:hAnsi="Times New Roman"/>
          <w:color w:val="000000"/>
          <w:sz w:val="20"/>
        </w:rPr>
        <w:t>Comparable store sales have been a driver of our net revenue growth and we expect it to continue to play a key 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Number and loyalty of UWC Members</w:t>
      </w:r>
      <w:r>
        <w:rPr>
          <w:rFonts w:ascii="Times New Roman" w:hAnsi="Times New Roman"/>
          <w:color w:val="000000"/>
          <w:sz w:val="20"/>
        </w:rPr>
        <w:t>. The UWC program is a critical element of our business. UWC Members contribute a significant portion of our net revenue and provide recurring revenue through their monthly membership fees.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Labor management.</w:t>
      </w:r>
      <w:r>
        <w:rPr>
          <w:color w:val="000000"/>
        </w:rPr>
        <w:t xml:space="preserve"> </w:t>
      </w:r>
      <w:r>
        <w:rPr>
          <w:rFonts w:ascii="Times New Roman" w:hAnsi="Times New Roman"/>
          <w:color w:val="000000"/>
          <w:sz w:val="20"/>
        </w:rPr>
        <w:t>Hiring and retaining skilled team members and experienced management represents one of our largest costs. We believe people 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Factors Affecting the Comparability of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have been affected by, and may in the future be affected by, the following factors, which must be understood in order to assess the comparability of our period-to-period financial performance and condition.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Greenfield Location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recently, we have grown through greenfield development of Mister Car Wash locations, with particular focus on Express Exterior Locations, and anticipate continued pursuit of this strategy in the future. During 2025, we successfully opened a total of 29 greenfield locations, with the expectation of driving the majority of our future location growth through greenfield development. We believe such a strategy will drive a more controllable pipeline of unit growth for future locations in existing and adjacent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Business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we completed one business acquisition of five locations in Lubbock, Texas. Following acquisition, we implement a variety of operational improvements to unify branding and enhance profitability. As soon as feasible, we work to fully integrate and transition acquired locations to the “Mister” brand and make investments to improve site flow, upgrade tunnel equipment and technology, and install our proprietary Unity Chemistry system, which is a unique blend of our signature products utilizing the newest technology and services to make a better car wash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comparability of our results may also be impacted by the inclusion of financial performance of our acquisitions that have not delivered a full fiscal year of financial results under Mister Car Wash’s ownership.</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 – Pending Merger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17, 2026, we entered into an Agreement and Plan of Merger (the “Merger Agreement”) with MCW Parent, LP, a Delaware limited partnership (“Parent”), Boson Merger Sub, Inc., a Delaware corporation and wholly owned subsidiary of Parent (“Merger Sub”, and together with Parent, the “Buyer Parties”), and, solely for purposes of the Borrower Provisions (as defined in the Merger Agreement), one of our wholly owned subsidiaries, Mister Car Wash Holdings, Inc. a Delaware corporation (“Borrower”), pursuant to which, on the terms and subject to the satisfaction or waiver of the conditions set forth therein, Merger Sub will be merged with and into Mister Car Wash, with Mister Car Wash continuing as the surviving corporation (the “Merger”). Parent and Merger Sub are each affiliates of the private equity investment firm Leonard Green &amp; Partners, 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terms of the Merger Agreement, neither Mister Car Wash, on the one hand, nor the Buyer Parties, on the other hand, are required to consummate the Merger prior to April 20, 2026. The Merger is expected to close in the first half of 2026, subject to obtaining regulatory approvals and the satisfaction or waiver of other customary closing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Merger is completed, our common stock will no longer be listed on The Nasdaq Stock Market LLC and we will become a privately held company and deregistered under the Securities and Exchange Act of 1934, as amended.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“Business—Recent Developments” included in Item 1 of Part I and Note 20. Subsequent Events in the Notes to Consolidated Financial Statements included in Item 8 of Part II of this Annual Report on Form 10-K for additional information regarding the Merger.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prepare and analyze various operating and financial data to assess the performance of our business and to help in the allocation of our resources. The key operating performance and financial metrics and indicators we use are set forth below, as of and for the years ended December 31, 2025 and 2024.</w:t>
      </w:r>
    </w:p>
    <w:p>
      <w:pPr>
        <w:pStyle w:val="TextBody"/>
        <w:bidi w:val="0"/>
        <w:jc w:val="left"/>
        <w:rPr/>
      </w:pPr>
      <w:bookmarkStart w:id="13" w:name="range_b4_e14"/>
      <w:bookmarkEnd w:id="13"/>
      <w:r>
        <w:rPr/>
        <w:t> </w:t>
      </w:r>
    </w:p>
    <w:tbl>
      <w:tblPr>
        <w:tblW w:w="6659" w:type="dxa"/>
        <w:jc w:val="left"/>
        <w:tblInd w:w="0" w:type="dxa"/>
        <w:tblLayout w:type="fixed"/>
        <w:tblCellMar>
          <w:top w:w="28" w:type="dxa"/>
          <w:left w:w="28" w:type="dxa"/>
          <w:bottom w:w="28" w:type="dxa"/>
          <w:right w:w="28" w:type="dxa"/>
        </w:tblCellMar>
      </w:tblPr>
      <w:tblGrid>
        <w:gridCol w:w="3796"/>
        <w:gridCol w:w="146"/>
        <w:gridCol w:w="211"/>
        <w:gridCol w:w="781"/>
        <w:gridCol w:w="271"/>
        <w:gridCol w:w="146"/>
        <w:gridCol w:w="211"/>
        <w:gridCol w:w="781"/>
        <w:gridCol w:w="3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and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Location count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store sales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Members (in thousands,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UWC sales as a percentage of total wash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Location Count (end of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location count refers to the total number of car wash locations operating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fiscal year 2025, we increased our location count by 34 new locations, including 29 greenfield locations and acquisition of five locations. In fiscal year 2024, we increased our location count by 38 net locations, including 39 greenfield locations and one location that was relocated, offset by two locations that were closed.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Express Exterior Locations, which offer express exterior cleaning services, comprise 485 of our current locations and our Interior Cleaning Locations, which offer both express exterior cleaning services and interior cleaning services, comprise 63 of our current locations.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Comparable Store Sales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a location a comparable store on the first day of the 13th full calendar month following a greenfield location’s first day of operations, or for acquired locations, the first day of the 13th full calendar month following the date of acquisition.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 the number of new locations is a component of our growth strategy and as we continue to execute on our growth strategy, we expect that a significant portion of our sales growth will be attributable to non-comparable store sales. Accordingly, comparable store sales are only one measure we use to assess the success of our growth strategy. During 2025, comparable store sales growth increased 2.9% compared to an increase of 3.0% in 2024.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UWC Members (end of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2.3 million UWC Members as of December 31, 2025 an increase of approximately 7%, from December 31, 2024.</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UWC Sales as a Percentage of Total Wash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UWC sales as a percentage of total wash sales represent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 We have consistently grown this measure over time as we educate customers as to the value of our subscription offering. UWC sales were 76% and 74% of our total wash sales for the years ended December 31, 2025, and 2024, respectively.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before interest expense, net, income tax provision, depreciation and amortization expense, (gain) loss on sale of assets, stock-based compensation expense, acquisition expenses, non-cash rent expense, debt refinancing costs, and other nonrecurring charges. Adjusted EBITDA margin is defined as Adjusted EBITDA divided by net revenues for a given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Times New Roman" w:hAnsi="Times New Roman"/>
          <w:color w:val="231F20"/>
          <w:sz w:val="20"/>
        </w:rPr>
        <w:t xml:space="preserve">Amended First Lien Credit Agreement </w:t>
      </w:r>
      <w:r>
        <w:rPr>
          <w:rFonts w:ascii="Times New Roman" w:hAnsi="Times New Roman"/>
          <w:color w:val="000000"/>
          <w:sz w:val="20"/>
        </w:rPr>
        <w:t>uses measures similar to Adjusted EBITDA to measure our compliance with certain covenants.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has its limitations as an analytical tool, and you should not consider it in isolation or as a substitute for analysis of our results as reported under U.S. GAAP. 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cash expenditure or future requirements for capital expenditures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our cash requirements for our working capital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interest expense and the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cash requirements for replacement of assets that are being depreciated and amortized;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non-cash compensation, which is a key element of our overall long-term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impact of certain cash charges or cash receipts resulting from matters we do not find indicative of our ongoing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in our industry may calculate Adjusted EBITDA differently than we do.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Adjusted EBITDA was approximately $345.4 million and $320.9 million for the years ended December 31, 2025 and 2024, respectively. Our Adjusted EBITDA margin was 33% and 32% for the years ended December 31, 2025 and 2024, respectively. The increase experienced in the year ended December 31, 2025 compared to the prior year is primarily attributable to an increase in car wash sales due to growth in UWC Members and the year-over-year addition of 34 locations, offset by an increase in operating costs and expenses.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is a reconciliation of our net income to Adjusted EBITDA for the periods presented.</w:t>
      </w:r>
    </w:p>
    <w:tbl>
      <w:tblPr>
        <w:tblW w:w="6489" w:type="dxa"/>
        <w:jc w:val="left"/>
        <w:tblInd w:w="0" w:type="dxa"/>
        <w:tblLayout w:type="fixed"/>
        <w:tblCellMar>
          <w:top w:w="28" w:type="dxa"/>
          <w:left w:w="28" w:type="dxa"/>
          <w:bottom w:w="28" w:type="dxa"/>
          <w:right w:w="28" w:type="dxa"/>
        </w:tblCellMar>
      </w:tblPr>
      <w:tblGrid>
        <w:gridCol w:w="3401"/>
        <w:gridCol w:w="146"/>
        <w:gridCol w:w="211"/>
        <w:gridCol w:w="931"/>
        <w:gridCol w:w="271"/>
        <w:gridCol w:w="146"/>
        <w:gridCol w:w="211"/>
        <w:gridCol w:w="781"/>
        <w:gridCol w:w="391"/>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expenses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refinancing costs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retention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(gains) and losses on the disposition of assets associated with sale leaseback transactions, the sale of property and equipment, and store closures or the impairments associated with store closures and relocations.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non-cash expense associated with our share-based payments as well as related taxes.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expenses incurred in strategic acquisitions and greenfield development. Expenses include professional fees for accounting and auditing services, appraisals, legal fees and financial services, dead deal costs, one-time costs associated with supplies for rebranding the acquired stores, and distinct travel expenses for related, distinct integration efforts by team members who are not part of our dedicated integration team.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difference between cash paid for rent expense and U.S. GAAP rent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Represents non-deferred legal fees and other expenses related to credit agreement amendments, and loss on extinguishment of debt associated with amendments to the debt facilities and voluntary principal payments.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jc w:val="left"/>
        <w:rPr>
          <w:rFonts w:ascii="Times New Roman" w:hAnsi="Times New Roman"/>
          <w:color w:val="000000"/>
          <w:sz w:val="20"/>
        </w:rPr>
      </w:pPr>
      <w:r>
        <w:rPr>
          <w:rFonts w:ascii="Times New Roman" w:hAnsi="Times New Roman"/>
          <w:color w:val="000000"/>
          <w:sz w:val="20"/>
        </w:rPr>
        <w:t>Consists of other items as determined by management not to be reflective of our ongoing operating performance, such as costs associated with severance pay, legal settlements and legal fees related to contract terminations, and nonrecurring strategic project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data for the years ended December 31, 2025 and 2024 have been derived from the consolidated financial statements included elsewhere in this Annual Report on Form 10-K.</w:t>
      </w:r>
    </w:p>
    <w:p>
      <w:pPr>
        <w:pStyle w:val="TextBody"/>
        <w:bidi w:val="0"/>
        <w:jc w:val="left"/>
        <w:rPr/>
      </w:pPr>
      <w:bookmarkStart w:id="14" w:name="range_t4_ab22"/>
      <w:bookmarkEnd w:id="14"/>
      <w:r>
        <w:rPr/>
        <w:t> </w:t>
      </w:r>
    </w:p>
    <w:tbl>
      <w:tblPr>
        <w:tblW w:w="8275" w:type="dxa"/>
        <w:jc w:val="left"/>
        <w:tblInd w:w="0" w:type="dxa"/>
        <w:tblLayout w:type="fixed"/>
        <w:tblCellMar>
          <w:top w:w="28" w:type="dxa"/>
          <w:left w:w="28" w:type="dxa"/>
          <w:bottom w:w="28" w:type="dxa"/>
          <w:right w:w="28" w:type="dxa"/>
        </w:tblCellMar>
      </w:tblPr>
      <w:tblGrid>
        <w:gridCol w:w="2786"/>
        <w:gridCol w:w="146"/>
        <w:gridCol w:w="211"/>
        <w:gridCol w:w="931"/>
        <w:gridCol w:w="166"/>
        <w:gridCol w:w="146"/>
        <w:gridCol w:w="197"/>
        <w:gridCol w:w="569"/>
        <w:gridCol w:w="331"/>
        <w:gridCol w:w="146"/>
        <w:gridCol w:w="211"/>
        <w:gridCol w:w="781"/>
        <w:gridCol w:w="166"/>
        <w:gridCol w:w="146"/>
        <w:gridCol w:w="197"/>
        <w:gridCol w:w="569"/>
        <w:gridCol w:w="576"/>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w:t>
              <w:br/>
              <w:t>Revenue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Revenues</w:t>
      </w:r>
    </w:p>
    <w:p>
      <w:pPr>
        <w:pStyle w:val="TextBody"/>
        <w:bidi w:val="0"/>
        <w:jc w:val="left"/>
        <w:rPr/>
      </w:pPr>
      <w:r>
        <w:rPr/>
        <w:t> </w:t>
      </w:r>
    </w:p>
    <w:tbl>
      <w:tblPr>
        <w:tblW w:w="7001" w:type="dxa"/>
        <w:jc w:val="left"/>
        <w:tblInd w:w="0" w:type="dxa"/>
        <w:tblLayout w:type="fixed"/>
        <w:tblCellMar>
          <w:top w:w="28" w:type="dxa"/>
          <w:left w:w="28" w:type="dxa"/>
          <w:bottom w:w="28" w:type="dxa"/>
          <w:right w:w="28" w:type="dxa"/>
        </w:tblCellMar>
      </w:tblPr>
      <w:tblGrid>
        <w:gridCol w:w="1711"/>
        <w:gridCol w:w="146"/>
        <w:gridCol w:w="211"/>
        <w:gridCol w:w="931"/>
        <w:gridCol w:w="146"/>
        <w:gridCol w:w="146"/>
        <w:gridCol w:w="211"/>
        <w:gridCol w:w="781"/>
        <w:gridCol w:w="146"/>
        <w:gridCol w:w="146"/>
        <w:gridCol w:w="211"/>
        <w:gridCol w:w="676"/>
        <w:gridCol w:w="146"/>
        <w:gridCol w:w="146"/>
        <w:gridCol w:w="380"/>
        <w:gridCol w:w="551"/>
        <w:gridCol w:w="3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increase in net revenues was primarily attributable to growth in UWC Members, favorable wash package mix, price increases, and the year-over-year addition of 34 locations.</w:t>
      </w:r>
    </w:p>
    <w:p>
      <w:pPr>
        <w:pStyle w:val="Heading2"/>
        <w:bidi w:val="0"/>
        <w:jc w:val="left"/>
        <w:rPr>
          <w:rFonts w:ascii="Times New Roman" w:hAnsi="Times New Roman"/>
          <w:i/>
          <w:color w:val="000000"/>
          <w:sz w:val="20"/>
        </w:rPr>
      </w:pPr>
      <w:r>
        <w:rPr>
          <w:rFonts w:ascii="Times New Roman" w:hAnsi="Times New Roman"/>
          <w:i/>
          <w:color w:val="000000"/>
          <w:sz w:val="20"/>
        </w:rPr>
        <w:t>Cost of Labor and Chemicals</w:t>
      </w:r>
    </w:p>
    <w:p>
      <w:pPr>
        <w:pStyle w:val="TextBody"/>
        <w:bidi w:val="0"/>
        <w:jc w:val="left"/>
        <w:rPr/>
      </w:pPr>
      <w:r>
        <w:rPr/>
        <w:t> </w:t>
      </w:r>
    </w:p>
    <w:tbl>
      <w:tblPr>
        <w:tblW w:w="7761" w:type="dxa"/>
        <w:jc w:val="left"/>
        <w:tblInd w:w="0" w:type="dxa"/>
        <w:tblLayout w:type="fixed"/>
        <w:tblCellMar>
          <w:top w:w="28" w:type="dxa"/>
          <w:left w:w="28" w:type="dxa"/>
          <w:bottom w:w="28" w:type="dxa"/>
          <w:right w:w="28" w:type="dxa"/>
        </w:tblCellMar>
      </w:tblPr>
      <w:tblGrid>
        <w:gridCol w:w="2371"/>
        <w:gridCol w:w="146"/>
        <w:gridCol w:w="211"/>
        <w:gridCol w:w="781"/>
        <w:gridCol w:w="271"/>
        <w:gridCol w:w="146"/>
        <w:gridCol w:w="211"/>
        <w:gridCol w:w="781"/>
        <w:gridCol w:w="271"/>
        <w:gridCol w:w="146"/>
        <w:gridCol w:w="211"/>
        <w:gridCol w:w="676"/>
        <w:gridCol w:w="146"/>
        <w:gridCol w:w="146"/>
        <w:gridCol w:w="380"/>
        <w:gridCol w:w="551"/>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the cost of labor and chemicals was primarily attributable to an increase in volume and the year-over-year addition of 34 locations, as well as increased store labor rates, partially offset by labor optimization and lower chemical costs due to new formulations and cost savings from strategic partnerships between periods. Locations opened and acquired during 2025 accounted for $5.7 million of the increase of cost of labor and chemicals.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pPr>
      <w:r>
        <w:rPr/>
        <w:t> </w:t>
      </w:r>
    </w:p>
    <w:p>
      <w:pPr>
        <w:pStyle w:val="Heading2"/>
        <w:bidi w:val="0"/>
        <w:spacing w:before="120" w:after="283"/>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Other Store Operating Expenses</w:t>
      </w:r>
    </w:p>
    <w:p>
      <w:pPr>
        <w:pStyle w:val="TextBody"/>
        <w:bidi w:val="0"/>
        <w:jc w:val="left"/>
        <w:rPr/>
      </w:pPr>
      <w:r>
        <w:rPr/>
        <w:t> </w:t>
      </w:r>
    </w:p>
    <w:tbl>
      <w:tblPr>
        <w:tblW w:w="8001" w:type="dxa"/>
        <w:jc w:val="left"/>
        <w:tblInd w:w="0" w:type="dxa"/>
        <w:tblLayout w:type="fixed"/>
        <w:tblCellMar>
          <w:top w:w="28" w:type="dxa"/>
          <w:left w:w="28" w:type="dxa"/>
          <w:bottom w:w="28" w:type="dxa"/>
          <w:right w:w="28" w:type="dxa"/>
        </w:tblCellMar>
      </w:tblPr>
      <w:tblGrid>
        <w:gridCol w:w="2611"/>
        <w:gridCol w:w="146"/>
        <w:gridCol w:w="211"/>
        <w:gridCol w:w="781"/>
        <w:gridCol w:w="271"/>
        <w:gridCol w:w="146"/>
        <w:gridCol w:w="211"/>
        <w:gridCol w:w="781"/>
        <w:gridCol w:w="271"/>
        <w:gridCol w:w="146"/>
        <w:gridCol w:w="211"/>
        <w:gridCol w:w="676"/>
        <w:gridCol w:w="146"/>
        <w:gridCol w:w="146"/>
        <w:gridCol w:w="380"/>
        <w:gridCol w:w="55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other store operating expenses was primarily attributable to the year-over-year addition of 34 locations, as well as additional rent expense related to our sale-leaseback activity in the current year and end of the prior year. Locations opened during 2025 accounted for $12.7 million of the increase.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left"/>
        <w:rPr/>
      </w:pPr>
      <w:r>
        <w:rPr/>
        <w:t> </w:t>
      </w:r>
    </w:p>
    <w:tbl>
      <w:tblPr>
        <w:tblW w:w="7631" w:type="dxa"/>
        <w:jc w:val="left"/>
        <w:tblInd w:w="0" w:type="dxa"/>
        <w:tblLayout w:type="fixed"/>
        <w:tblCellMar>
          <w:top w:w="28" w:type="dxa"/>
          <w:left w:w="28" w:type="dxa"/>
          <w:bottom w:w="28" w:type="dxa"/>
          <w:right w:w="28" w:type="dxa"/>
        </w:tblCellMar>
      </w:tblPr>
      <w:tblGrid>
        <w:gridCol w:w="2311"/>
        <w:gridCol w:w="146"/>
        <w:gridCol w:w="211"/>
        <w:gridCol w:w="676"/>
        <w:gridCol w:w="271"/>
        <w:gridCol w:w="146"/>
        <w:gridCol w:w="211"/>
        <w:gridCol w:w="781"/>
        <w:gridCol w:w="271"/>
        <w:gridCol w:w="146"/>
        <w:gridCol w:w="211"/>
        <w:gridCol w:w="631"/>
        <w:gridCol w:w="166"/>
        <w:gridCol w:w="146"/>
        <w:gridCol w:w="325"/>
        <w:gridCol w:w="606"/>
        <w:gridCol w:w="37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decrease in general and administrative expenses was primarily attributable to nonrecurring debt refinancing costs in the prior year, and decreased amortization expense due to intangible assets that were fully amortized in the prior year, and decreases in other expenses, partially offset by investments in marketing as well as other costs to support strategic growth initiatives.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Loss on Sale of Assets, net</w:t>
      </w:r>
    </w:p>
    <w:p>
      <w:pPr>
        <w:pStyle w:val="TextBody"/>
        <w:bidi w:val="0"/>
        <w:jc w:val="left"/>
        <w:rPr/>
      </w:pPr>
      <w:r>
        <w:rPr/>
        <w:t> </w:t>
      </w:r>
    </w:p>
    <w:tbl>
      <w:tblPr>
        <w:tblW w:w="7415" w:type="dxa"/>
        <w:jc w:val="left"/>
        <w:tblInd w:w="0" w:type="dxa"/>
        <w:tblLayout w:type="fixed"/>
        <w:tblCellMar>
          <w:top w:w="28" w:type="dxa"/>
          <w:left w:w="28" w:type="dxa"/>
          <w:bottom w:w="28" w:type="dxa"/>
          <w:right w:w="28" w:type="dxa"/>
        </w:tblCellMar>
      </w:tblPr>
      <w:tblGrid>
        <w:gridCol w:w="2281"/>
        <w:gridCol w:w="146"/>
        <w:gridCol w:w="211"/>
        <w:gridCol w:w="676"/>
        <w:gridCol w:w="271"/>
        <w:gridCol w:w="146"/>
        <w:gridCol w:w="211"/>
        <w:gridCol w:w="676"/>
        <w:gridCol w:w="271"/>
        <w:gridCol w:w="146"/>
        <w:gridCol w:w="226"/>
        <w:gridCol w:w="615"/>
        <w:gridCol w:w="146"/>
        <w:gridCol w:w="146"/>
        <w:gridCol w:w="294"/>
        <w:gridCol w:w="637"/>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loss on sale of assets, net in 2025 was primarily attributable to more significant net losses associated with our sale-leaseback activity and asset retirements in the current year.</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Total Other Expense, net</w:t>
      </w:r>
    </w:p>
    <w:p>
      <w:pPr>
        <w:pStyle w:val="TextBody"/>
        <w:bidi w:val="0"/>
        <w:jc w:val="left"/>
        <w:rPr/>
      </w:pPr>
      <w:r>
        <w:rPr/>
        <w:t> </w:t>
      </w:r>
    </w:p>
    <w:tbl>
      <w:tblPr>
        <w:tblW w:w="7601" w:type="dxa"/>
        <w:jc w:val="left"/>
        <w:tblInd w:w="0" w:type="dxa"/>
        <w:tblLayout w:type="fixed"/>
        <w:tblCellMar>
          <w:top w:w="28" w:type="dxa"/>
          <w:left w:w="28" w:type="dxa"/>
          <w:bottom w:w="28" w:type="dxa"/>
          <w:right w:w="28" w:type="dxa"/>
        </w:tblCellMar>
      </w:tblPr>
      <w:tblGrid>
        <w:gridCol w:w="2281"/>
        <w:gridCol w:w="146"/>
        <w:gridCol w:w="211"/>
        <w:gridCol w:w="676"/>
        <w:gridCol w:w="271"/>
        <w:gridCol w:w="146"/>
        <w:gridCol w:w="211"/>
        <w:gridCol w:w="676"/>
        <w:gridCol w:w="271"/>
        <w:gridCol w:w="146"/>
        <w:gridCol w:w="211"/>
        <w:gridCol w:w="736"/>
        <w:gridCol w:w="166"/>
        <w:gridCol w:w="146"/>
        <w:gridCol w:w="260"/>
        <w:gridCol w:w="671"/>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The decrease in total other expense, net was primarily attributable to a decrease in interest expense, net driven by lower average interest rates, and $120.3 million of principal payments on the First Lien Term Loan in the current year, and approximately $1.5 million of additional loss on extinguishment of debt related to our debt refinancing activity in the prior year. The decrease in the current year was partially offset by the $5.2 million gain related to the recognition of an employee retention credit in the prior year</w:t>
      </w:r>
      <w:r>
        <w:rPr>
          <w:rFonts w:ascii="sans-serif" w:hAnsi="sans-serif"/>
          <w:color w:val="000000"/>
          <w:sz w:val="22"/>
        </w:rPr>
        <w:t>.</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Income Tax Provision</w:t>
      </w:r>
    </w:p>
    <w:p>
      <w:pPr>
        <w:pStyle w:val="TextBody"/>
        <w:bidi w:val="0"/>
        <w:jc w:val="left"/>
        <w:rPr/>
      </w:pPr>
      <w:r>
        <w:rPr/>
        <w:t> </w:t>
      </w:r>
    </w:p>
    <w:tbl>
      <w:tblPr>
        <w:tblW w:w="7415" w:type="dxa"/>
        <w:jc w:val="left"/>
        <w:tblInd w:w="0" w:type="dxa"/>
        <w:tblLayout w:type="fixed"/>
        <w:tblCellMar>
          <w:top w:w="28" w:type="dxa"/>
          <w:left w:w="28" w:type="dxa"/>
          <w:bottom w:w="28" w:type="dxa"/>
          <w:right w:w="28" w:type="dxa"/>
        </w:tblCellMar>
      </w:tblPr>
      <w:tblGrid>
        <w:gridCol w:w="2281"/>
        <w:gridCol w:w="146"/>
        <w:gridCol w:w="211"/>
        <w:gridCol w:w="676"/>
        <w:gridCol w:w="271"/>
        <w:gridCol w:w="146"/>
        <w:gridCol w:w="211"/>
        <w:gridCol w:w="676"/>
        <w:gridCol w:w="271"/>
        <w:gridCol w:w="146"/>
        <w:gridCol w:w="226"/>
        <w:gridCol w:w="615"/>
        <w:gridCol w:w="146"/>
        <w:gridCol w:w="146"/>
        <w:gridCol w:w="294"/>
        <w:gridCol w:w="637"/>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income tax provision was primarily attributable to the increase in pre-tax income reduced by the favorable income tax impact from equity awards activity compared to the prior year.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requirements for liquidity and capital are to fund our investments in our core business, which includes lease payments, pursue greenfield location development, acquisitions of new locations and to service our indebtedness. Historically, these cash requirements have been met through funds raised by the sale of our common stock, utilization of our Revolving Commitment, First Lien Term Loan, sale-leaseback transactions, and cash provided by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we had cash and cash equivalents of $28.5 million and $67.5 million, respectively, and $299.9 million and $299.8 million, respectively, of available borrowing capacity under our Revolving Commitment.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credit facilities, please see Note 9 Debt in the consolidated financial statements included elsewhere in this Annual Report on Form 10-K. As of December 31, 2025, we were in compliance with the covenants under our credit facilities and we expect to comply with our covenants in the next 12 months from the issuance date of the financial statements included in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sources of liquidity and capital will be sufficient to finance our growth strategy and resulting operations, as well as planned capital expenditures, for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Cash Flows for the 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summary cash flow information for the periods presented:</w:t>
      </w:r>
    </w:p>
    <w:p>
      <w:pPr>
        <w:pStyle w:val="TextBody"/>
        <w:bidi w:val="0"/>
        <w:jc w:val="left"/>
        <w:rPr/>
      </w:pPr>
      <w:r>
        <w:rPr/>
        <w:t> </w:t>
      </w:r>
    </w:p>
    <w:tbl>
      <w:tblPr>
        <w:tblW w:w="9109" w:type="dxa"/>
        <w:jc w:val="left"/>
        <w:tblInd w:w="0" w:type="dxa"/>
        <w:tblLayout w:type="fixed"/>
        <w:tblCellMar>
          <w:top w:w="28" w:type="dxa"/>
          <w:left w:w="28" w:type="dxa"/>
          <w:bottom w:w="28" w:type="dxa"/>
          <w:right w:w="28" w:type="dxa"/>
        </w:tblCellMar>
      </w:tblPr>
      <w:tblGrid>
        <w:gridCol w:w="6236"/>
        <w:gridCol w:w="146"/>
        <w:gridCol w:w="211"/>
        <w:gridCol w:w="841"/>
        <w:gridCol w:w="166"/>
        <w:gridCol w:w="146"/>
        <w:gridCol w:w="211"/>
        <w:gridCol w:w="841"/>
        <w:gridCol w:w="311"/>
      </w:tblGrid>
      <w:tr>
        <w:trPr/>
        <w:tc>
          <w:tcPr>
            <w:tcW w:w="6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(199,852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change in cash and cash equivalents, and restricted cash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Net cash used in operating activities consists of net income adjusted for certain non-cash items, including stock-based compensation expense, depreciation of property and equipment, amortization of leased assets and deferred income taxes, as well as losses on disposal of property and equipment and the effect of changes in other working capital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net cash provided by operating activities was $285.7 million and was comprised of net income of $103.1 million, increased by $222.3 million primarily as a result of non-cash adjustments including depreciation and amortization expense, non-cash lease expense, deferred income taxes, stock-based compensation expense, and loss on sale of assets, net. Changes in working capital decreased cash provided by operating activities by $39.7 million, primarily due to payments towards operating lease liabilities, partially offset by the timing of payments and receipts of receivables and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net cash provided by operating activities was $248.6 million and was comprised of net income of $70.2 million, increased by $202.5 million primarily as a result of non-cash adjustments including depreciation and amortization expense, non-cash lease expense, deferred income taxes, loss on sale of assets, net, and loss on extinguishment of debt. Changes in working capital decreased cash provided by operating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activities by $24.2 million, primarily due to payments towards operating lease liabilities, partially offset by the timing of payments and receipts of receivables and payables.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Our net cash used in investing activities primarily consists of purchases and sale of property and equipment and acquisition of car washes.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net cash used in investing activities was $206.8 million and was primarily comprised of purchases in property and equipment to support our greenfield development, and the acquisition of car wash locations, partially offset by sale-leaseback transactions and the sale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net cash used in investing activities was $199.9 million and was primarily comprised of purchases in property and equipment to support our greenfield development, partially offset by sale-leaseback transactions and the sale of property and equipment.</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Our net cash provided by (used in) financing activities primarily consists of activity related to our debt, proceeds from issuance of common stock under employee plans and payments on finance lease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net cash used in financing activities was $118.0 million and was primarily comprised of payments for the First Lien Term Loan and finance lease obligations, partially offset by proceeds related to the issuance of common stock under employee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net cash used in financing activities was $0.3 million and was primarily comprised of activities related to our debt and debt refinancings, as well as payments for payroll tax withholdings to settle cashless stock option exercises and proceeds related to the issuance of common stock under employee plans.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and free cash flow excluding growth capital expenditures are non-GAAP liquidity measures used by management as additional cash flow metrics. Free cash flow is defined as net cash provided by operating activities less purchases of property and equipment in a period. Free cash flow excluding growth capital expenditures is defined as operating cash flows less purchases of maintenance property and equipment. Free cash flow includes the impact of capital expenditures, providing a supplemental view of cash generation. Free cash flow excluding growth capital expenditures includes purchases of property and equipment in a period, which are uses of cash that are necessary to maintain the Company's existing business operations, including its washes and support functions. Free cash flow excluding growth capital expenditures provides a supplemental view of cash flow generation before investments in growth capital, which expand future business operations, including the opening or improvement of washes and service capabilities. Free cash flow and free cash flow excluding growth capital expenditures have certain limitations, including that they do not reflect adjustments for certain non-discretionary cash expenditures, such as debt repayments or payments made for business acquisitions.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reconciliation of free cash flow and free cash flow excluding growth capital expenditures to net cash provided by operating activities for the periods presented.</w:t>
      </w:r>
    </w:p>
    <w:tbl>
      <w:tblPr>
        <w:tblW w:w="7459" w:type="dxa"/>
        <w:jc w:val="left"/>
        <w:tblInd w:w="0" w:type="dxa"/>
        <w:tblLayout w:type="fixed"/>
        <w:tblCellMar>
          <w:top w:w="28" w:type="dxa"/>
          <w:left w:w="28" w:type="dxa"/>
          <w:bottom w:w="28" w:type="dxa"/>
          <w:right w:w="28" w:type="dxa"/>
        </w:tblCellMar>
      </w:tblPr>
      <w:tblGrid>
        <w:gridCol w:w="4606"/>
        <w:gridCol w:w="146"/>
        <w:gridCol w:w="211"/>
        <w:gridCol w:w="841"/>
        <w:gridCol w:w="166"/>
        <w:gridCol w:w="146"/>
        <w:gridCol w:w="211"/>
        <w:gridCol w:w="841"/>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Maintenance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 excluding growth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Growth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an ongoing basis, we evaluate our estimates and assumptions, including those related to revenue recognition, goodwill and other intangible assets, income taxes and stock-based compensation. We base our estimates on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2 Summary of Significant Accounting Policies in the consolidated financial statements included elsewhere in this Annual Report on Form 10-K, for a description of our other significant accounting policies. We believe that the following critical accounting policies are affected by significant judgments and estimates used in the preparation of our consolidated financial statements.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in accordance with ASC 606, Revenue from Contracts with Customers. Under ASC 606, revenue is recognized upon transfer of control of promised services or goods to customers in an amount that reflects the consideration we expect to receive for those services or goods. We have two primary sources of revenue. First, we offer the UWC program to our customers. UWC entitles a UWC Member to unlimited washes for a monthly fee, cancelable at any time. UWC Members are automatically charged on a credit or debit card on the same day of the month that they originally signed up. The UWC revenue is recognized ratably over the month in which it is earned and amounts unearned are recorded as deferred revenue on the consolidated balance sheets based on the date of the re-charge. Second, the revenue from car wash services is recognized at the point in time services are rendered and the customer pays. Discounts are applied as a reduction of revenue at the time of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recognition does not require significant judgment as it is based on the UWC monthly charge and deferral or the date of car wash sale, none of which require a significant amount of estimation. However, in determining the amount and timing of revenue from contracts with customers, we make judgments as to whether uncertainty as to collectability of the consideration that we are owed precludes recognition of the revenue on an accrual basis. These judgments are based on the facts specific to each circumstance. Primary factors considered include past payment history and our subjective assessment of the likelihood of receiving payment in the future.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such as property and equipment and intangible assets, are reviewed for impairment whenever events or changes in circumstances indicate that the carrying amount of an asset may not be recoverable. If circumstances require a long-lived asset or asset group to be tested for possible impairment, we first compare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associated with our long-lived assets were recognized during the year ended December 31, 2025. Approximately $1.5 million of impairment losses associated with our long-lived assets were recognized during the year ended December 31, 2024. See Note 4 Property and Equipment, net in the consolidated financial statements included elsewhere in this Annual Report on Form 10-K for additional information.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excess of cost over the fair value of the net tangible and identifiable intangible assets acquired in a business combination. Goodwill is tested for impairment at the reporting unit level annually on October 31 or more frequently if events or changes in circumstances indicate that the asset may be impaired. We first assess qualitative factors to determine whether events or circumstances existed that would lead us to conclude it is more likely than not that the fair value of the reporting unit is below its carrying amount. If we determine that it is more likely than not that the fair value of the reporting unit is below the carrying amount, a quantitative goodwill assessment is required. In the quantitative evaluation, the fair value of the reporting unit is determined and compared to the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as impairment of goodwill in our consolidated statements of operations and comprehensive income. No impairment losses associated with our goodwill were recognized during the years ended December 31, 2025, and December 31, 2024.</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 for income taxes in accordance with ASC 740, </w:t>
      </w:r>
      <w:r>
        <w:rPr>
          <w:rFonts w:ascii="Times New Roman" w:hAnsi="Times New Roman"/>
          <w:i/>
          <w:color w:val="000000"/>
          <w:sz w:val="20"/>
        </w:rPr>
        <w:t>Income Taxes</w:t>
      </w:r>
      <w:r>
        <w:rPr>
          <w:rFonts w:ascii="Times New Roman" w:hAnsi="Times New Roman"/>
          <w:color w:val="000000"/>
          <w:sz w:val="20"/>
        </w:rPr>
        <w:t>. Under this method, deferred tax assets and liabilities are determined based on the temporary differences between the financial statement and tax bases of assets and liabilities using enacted tax rates in effect for the year in which the differences are expected to reverse. We classify all deferred income tax assets and liabilities as noncurrent on our balance sheets. The effect of a change in tax rates on deferred tax assets and liabilities is recognized within the provision for (benefit from) income taxes on the consolidated statements of operations and comprehensive income in the period that includes the enactment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reduce deferred tax assets, if necessary, by a valuation allowance if it is more likely than not that we will not realize some or all of the deferred tax assets. In making such a determination,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believe it is more likely than not that our federal deferred tax assets will be realized in the future based primarily on the timing and reversal of existing taxable temporary differences in that jurisdiction. However, we determined that an amount of our state deferred tax assets is not more likely than not to be realized in the future based primarily on projected future taxable income available in various jurisdictions. Refer to Note 8 Income Taxes in the consolidated financial statements included elsewhere in this Annual Report on Form 10-K for additional information on the composition of these valuation allowances and for information on the impact of U.S. tax reform legislation.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file income tax returns in the U.S. federal and state jurisdictions and believe our accrual for tax liabilities is adequate for all open audit years based on many factors including past experience and interpretations of tax law. We recognize the tax benefit from an uncertain tax position if we believe it is more likely than not that the tax position will be sustained, in a court of last resort, based on the technical merits of the position. This assessment relies on estimates and assumptions and any changes in the recognition or measurement of these benefits or liabilities are reflected in the period in which the change in judgment occurs.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interest and penalties related to uncertain tax positions within income tax provision on our consolidated statements of operations and comprehensive income.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represents the cost related to stock-based awards granted to employees. We measure stock-based compensation cost at grant date, based upon the estimated fair value of the award, and recognize cost as expense using the accelerate attribution method over the employee requisite service period. We estimate the fair value of stock options using Black-Scholes option model. We estimate the fair value of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deferred tax assets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in the period in which the tax deduction arises.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sections titled “Summary of Significant Accounting Policies—Recently Adopted Accounting Pronouncements” and “—Recently Issued Accounting Pronouncements Not Yet Adopted” in Note 2 to our consolidated financial statements included elsewhere in this Annual Report on Form 10</w:t>
        <w:noBreakHyphen/>
        <w:t>K.</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bookmarkStart w:id="15" w:name="item7a_quantitative_and_qualitative_dis"/>
      <w:bookmarkEnd w:id="15"/>
      <w:r>
        <w:rPr>
          <w:rFonts w:ascii="Times New Roman" w:hAnsi="Times New Roman"/>
          <w:b/>
          <w:color w:val="000000"/>
          <w:sz w:val="20"/>
          <w:u w:val="single"/>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December 31, 2025, we had $800.1 million of variable-rate debt outstanding under our First Lien Term Loan. Based on the balance outstanding under our First Lien Term Loan as of December 31, 2025, an increase or decrease of 100 basis points in the effective interest rate on the First Lien Term Loan would cause an increase or decrease in interest expense of approximately $8 million over the next 12 months.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bookmarkStart w:id="16" w:name="item8_financial_statements_and_suppleme"/>
      <w:bookmarkEnd w:id="16"/>
      <w:r>
        <w:rPr>
          <w:rFonts w:ascii="Times New Roman" w:hAnsi="Times New Roman"/>
          <w:b/>
          <w:color w:val="000000"/>
          <w:sz w:val="20"/>
          <w:u w:val="single"/>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8"/>
        <w:gridCol w:w="146"/>
        <w:gridCol w:w="361"/>
      </w:tblGrid>
      <w:tr>
        <w:trPr/>
        <w:tc>
          <w:tcPr>
            <w:tcW w:w="9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9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8_report_of_independent_auditor">
              <w:r>
                <w:rPr>
                  <w:rStyle w:val="InternetLink"/>
                  <w:rFonts w:ascii="Times New Roman" w:hAnsi="Times New Roman"/>
                  <w:color w:val="0000FF"/>
                  <w:sz w:val="20"/>
                  <w:u w:val="single"/>
                </w:rPr>
                <w:t>Report of Deloitte &amp; Touche LLP, Independent Registered Public Accounting Firm</w:t>
              </w:r>
            </w:hyperlink>
          </w:p>
        </w:tc>
        <w:tc>
          <w:tcPr>
            <w:tcW w:w="146" w:type="dxa"/>
            <w:tcBorders/>
            <w:shd w:fill="CFF0FC" w:val="clear"/>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and Comprehensive Income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969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31, 2025, 2024 and 2023</w:t>
              </w:r>
            </w:hyperlink>
          </w:p>
        </w:tc>
        <w:tc>
          <w:tcPr>
            <w:tcW w:w="146" w:type="dxa"/>
            <w:tcBorders/>
            <w:shd w:fill="CFF0FC" w:val="clear"/>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9698"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statements_of_equity">
              <w:r>
                <w:rPr>
                  <w:rStyle w:val="InternetLink"/>
                  <w:rFonts w:ascii="Times New Roman" w:hAnsi="Times New Roman"/>
                  <w:color w:val="0000FF"/>
                  <w:sz w:val="20"/>
                  <w:u w:val="single"/>
                </w:rPr>
                <w:t>Consolidated Statements of Stockholders’ Equity for the years ended December 31, 2025, 2024 and 2023</w:t>
              </w:r>
            </w:hyperlink>
          </w:p>
        </w:tc>
        <w:tc>
          <w:tcPr>
            <w:tcW w:w="146" w:type="dxa"/>
            <w:tcBorders/>
            <w:shd w:fill="CFF0FC" w:val="clear"/>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42</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36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20" w:after="283"/>
        <w:jc w:val="center"/>
        <w:rPr>
          <w:rFonts w:ascii="Times New Roman" w:hAnsi="Times New Roman"/>
          <w:color w:val="000000"/>
          <w:sz w:val="20"/>
        </w:rPr>
      </w:pPr>
      <w:bookmarkStart w:id="17" w:name="item8_report_of_independent_auditor"/>
      <w:bookmarkEnd w:id="17"/>
      <w:r>
        <w:rPr>
          <w:rFonts w:ascii="Times New Roman" w:hAnsi="Times New Roman"/>
          <w:color w:val="000000"/>
          <w:sz w:val="20"/>
        </w:rPr>
        <w:t>REPORT OF INDEPENDENT REGISTERED PUBLIC ACCOUNTING FIRM</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To the stockholders and the Board of Directors of Mister Car Wash, Inc</w:t>
      </w:r>
      <w:r>
        <w:rPr>
          <w:rFonts w:ascii="Times New Roman" w:hAnsi="Times New Roman"/>
          <w:i/>
          <w:color w:val="000000"/>
          <w:sz w:val="20"/>
        </w:rPr>
        <w:t>.</w:t>
      </w:r>
      <w:r>
        <w:rPr>
          <w:rFonts w:ascii="Times New Roman" w:hAnsi="Times New Roman"/>
          <w:color w:val="000000"/>
          <w:sz w:val="20"/>
        </w:rPr>
        <w:t>:</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Mister Car Wash, Inc. and subsidiaries (the “Company”) as of December 31, 2025 and 2024, the related consolidated statements of operations and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27, 2026, expressed an unqualified opinion on the Company's internal control over financial reporting.</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Revenues — Refer to Note 2 to the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revenues in two main streams: (1) revenues recognized ratably daily over the month in which it is earned with their subscription membership Unlimited Wash Club® program which entitles the customer to unlimited washes for a monthly fee, cancelable at any time, and (2) revenues recognized at a point in time from car washes. The Company’s revenue recognition process utilizes point-of-sale systems for the initiating, processing, and recording of transactions. We identified the recognition of revenues as a critical audit matter because performing audit procedures to test the recognition of revenues required significant audit effort, including the involvement of data analytics specialists, given the Company’s high volume of individually low monetary value transactions.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procedures related to the testing of the recognition of revenues included the following,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operating effectiveness of internal controls over the Company’s recognition of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data analytics specialists, we extracted journal entries to analyze the Company’s revenue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reconciled recorded revenues and credit card receivables to cash receipts per the bank.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selected a sample of revenue transactions and agreed the amounts recognized to source documents, then tested the mathematical accuracy and the timing of the recorded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developed an independent expectation of deferred revenue and compared it to the recorded balance.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Tempe, Arizona </w:t>
        <w:br/>
        <w:t>February 27, 2026</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2018.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Mister Car Wash,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18" w:name="consolidated_statements_of_operations"/>
      <w:bookmarkStart w:id="19" w:name="fin111818_3"/>
      <w:bookmarkEnd w:id="18"/>
      <w:bookmarkEnd w:id="19"/>
      <w:r>
        <w:rPr>
          <w:rFonts w:ascii="Times New Roman" w:hAnsi="Times New Roman"/>
          <w:b/>
          <w:color w:val="000000"/>
          <w:sz w:val="20"/>
        </w:rPr>
        <w:t>Consolidated Statements of Operations and Comprehensive Income</w:t>
      </w:r>
    </w:p>
    <w:p>
      <w:pPr>
        <w:pStyle w:val="TextBody"/>
        <w:bidi w:val="0"/>
        <w:jc w:val="left"/>
        <w:rPr/>
      </w:pPr>
      <w:r>
        <w:rPr/>
        <w:t> </w:t>
      </w:r>
    </w:p>
    <w:tbl>
      <w:tblPr>
        <w:tblW w:w="9718" w:type="dxa"/>
        <w:jc w:val="left"/>
        <w:tblInd w:w="0" w:type="dxa"/>
        <w:tblLayout w:type="fixed"/>
        <w:tblCellMar>
          <w:top w:w="28" w:type="dxa"/>
          <w:left w:w="28" w:type="dxa"/>
          <w:bottom w:w="28" w:type="dxa"/>
          <w:right w:w="28" w:type="dxa"/>
        </w:tblCellMar>
      </w:tblPr>
      <w:tblGrid>
        <w:gridCol w:w="4141"/>
        <w:gridCol w:w="146"/>
        <w:gridCol w:w="211"/>
        <w:gridCol w:w="1141"/>
        <w:gridCol w:w="246"/>
        <w:gridCol w:w="246"/>
        <w:gridCol w:w="211"/>
        <w:gridCol w:w="1141"/>
        <w:gridCol w:w="246"/>
        <w:gridCol w:w="246"/>
        <w:gridCol w:w="211"/>
        <w:gridCol w:w="1141"/>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994,727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store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851,528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815,795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178,932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326,253,814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320,031,984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311,035,122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332,099,696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329,513,232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328,239,604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Mister Car Wash,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0" w:name="consolidated_statements_of_cash_flows"/>
      <w:bookmarkStart w:id="21" w:name="fin111818_5"/>
      <w:bookmarkEnd w:id="20"/>
      <w:bookmarkEnd w:id="21"/>
      <w:r>
        <w:rPr>
          <w:rFonts w:ascii="Times New Roman" w:hAnsi="Times New Roman"/>
          <w:b/>
          <w:color w:val="000000"/>
          <w:sz w:val="20"/>
        </w:rPr>
        <w:t>Consolidated Statements of Cash Flows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49"/>
        <w:gridCol w:w="196"/>
        <w:gridCol w:w="751"/>
        <w:gridCol w:w="166"/>
        <w:gridCol w:w="146"/>
        <w:gridCol w:w="196"/>
        <w:gridCol w:w="751"/>
        <w:gridCol w:w="166"/>
        <w:gridCol w:w="146"/>
        <w:gridCol w:w="196"/>
        <w:gridCol w:w="751"/>
        <w:gridCol w:w="791"/>
      </w:tblGrid>
      <w:tr>
        <w:trPr/>
        <w:tc>
          <w:tcPr>
            <w:tcW w:w="5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69,991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sale of assets,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debt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45,084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assets and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(40,434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noncurrent assets and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204,653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(328,124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car wash operations, net of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(259,365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issuance of common stock under employee plans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tax withholding on option exercises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debt borrowings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revolving line of credit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debt borrowings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revolving line of credit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deferred debt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Principal payments on finance lease obligations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financing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cash and cash equivalents and restricted cash during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and restricted cash at beginning of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and restricted cash at end of period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to the consolidated balance sheets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 included in prepaid expenses and other current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cash equivalents, and restricted cash</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75,737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Property and equipment accrued in other accrued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option exercise proceeds in other receivables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Mister Car Wash,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2" w:name="fin111818_2"/>
      <w:bookmarkStart w:id="23" w:name="consolidated_balance_sheets"/>
      <w:bookmarkEnd w:id="22"/>
      <w:bookmarkEnd w:id="23"/>
      <w:r>
        <w:rPr>
          <w:rFonts w:ascii="Times New Roman" w:hAnsi="Times New Roman"/>
          <w:b/>
          <w:color w:val="000000"/>
          <w:sz w:val="20"/>
        </w:rPr>
        <w:t>Consolidated Balance Sheets</w:t>
      </w:r>
    </w:p>
    <w:p>
      <w:pPr>
        <w:pStyle w:val="TextBody"/>
        <w:bidi w:val="0"/>
        <w:jc w:val="left"/>
        <w:rPr/>
      </w:pPr>
      <w:r>
        <w:rPr/>
        <w:t> </w:t>
      </w:r>
    </w:p>
    <w:tbl>
      <w:tblPr>
        <w:tblW w:w="9515" w:type="dxa"/>
        <w:jc w:val="left"/>
        <w:tblInd w:w="0" w:type="dxa"/>
        <w:tblLayout w:type="fixed"/>
        <w:tblCellMar>
          <w:top w:w="28" w:type="dxa"/>
          <w:left w:w="28" w:type="dxa"/>
          <w:bottom w:w="28" w:type="dxa"/>
          <w:right w:w="28" w:type="dxa"/>
        </w:tblCellMar>
      </w:tblPr>
      <w:tblGrid>
        <w:gridCol w:w="5576"/>
        <w:gridCol w:w="146"/>
        <w:gridCol w:w="285"/>
        <w:gridCol w:w="1260"/>
        <w:gridCol w:w="166"/>
        <w:gridCol w:w="146"/>
        <w:gridCol w:w="285"/>
        <w:gridCol w:w="1260"/>
        <w:gridCol w:w="391"/>
      </w:tblGrid>
      <w:tr>
        <w:trPr/>
        <w:tc>
          <w:tcPr>
            <w:tcW w:w="5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(Amounts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$0.01 par value, 1,000,000,000 shares authorized,</w:t>
              <w:br/>
              <w:t>  328,282,533 and 323,693,863 shares outstanding as of</w:t>
              <w:br/>
              <w: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Mister Car Wash,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4" w:name="fin111818_4"/>
      <w:bookmarkStart w:id="25" w:name="consolidated_statements_of_equity"/>
      <w:bookmarkEnd w:id="24"/>
      <w:bookmarkEnd w:id="25"/>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5"/>
        <w:gridCol w:w="146"/>
        <w:gridCol w:w="1141"/>
        <w:gridCol w:w="166"/>
        <w:gridCol w:w="146"/>
        <w:gridCol w:w="211"/>
        <w:gridCol w:w="571"/>
        <w:gridCol w:w="166"/>
        <w:gridCol w:w="146"/>
        <w:gridCol w:w="227"/>
        <w:gridCol w:w="840"/>
        <w:gridCol w:w="166"/>
        <w:gridCol w:w="146"/>
        <w:gridCol w:w="437"/>
        <w:gridCol w:w="997"/>
        <w:gridCol w:w="166"/>
        <w:gridCol w:w="146"/>
        <w:gridCol w:w="218"/>
        <w:gridCol w:w="809"/>
        <w:gridCol w:w="146"/>
        <w:gridCol w:w="146"/>
        <w:gridCol w:w="222"/>
        <w:gridCol w:w="985"/>
        <w:gridCol w:w="316"/>
      </w:tblGrid>
      <w:tr>
        <w:trPr/>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 except share data)</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306,626,530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801,128</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315,192,401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915,035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on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(19,335</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323,693,863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998,352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under employee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328,282,533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1,133,013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Mister Car Wash, Inc.</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spacing w:before="120" w:after="283"/>
        <w:jc w:val="left"/>
        <w:rPr>
          <w:rFonts w:ascii="Times New Roman" w:hAnsi="Times New Roman"/>
          <w:b/>
          <w:color w:val="000000"/>
          <w:sz w:val="20"/>
        </w:rPr>
      </w:pPr>
      <w:bookmarkStart w:id="26" w:name="notes_to_consolidated_financial"/>
      <w:bookmarkEnd w:id="26"/>
      <w:r>
        <w:rPr>
          <w:rFonts w:ascii="Times New Roman" w:hAnsi="Times New Roman"/>
          <w:b/>
          <w:color w:val="000000"/>
          <w:sz w:val="20"/>
        </w:rPr>
        <w:t>1. Nature of Business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Mister Car Wash, Inc., a Delaware corporation, together with its subsidiaries (collectively, </w:t>
      </w:r>
      <w:r>
        <w:rPr>
          <w:rFonts w:ascii="Times New Roman" w:hAnsi="Times New Roman"/>
          <w:color w:val="000000"/>
          <w:sz w:val="20"/>
        </w:rPr>
        <w:t>“</w:t>
      </w:r>
      <w:r>
        <w:rPr>
          <w:rFonts w:ascii="Times New Roman" w:hAnsi="Times New Roman"/>
          <w:color w:val="231F20"/>
          <w:sz w:val="20"/>
        </w:rPr>
        <w:t>we,</w:t>
      </w:r>
      <w:r>
        <w:rPr>
          <w:rFonts w:ascii="Times New Roman" w:hAnsi="Times New Roman"/>
          <w:color w:val="000000"/>
          <w:sz w:val="20"/>
        </w:rPr>
        <w:t>”</w:t>
      </w:r>
      <w:r>
        <w:rPr>
          <w:rFonts w:ascii="Times New Roman" w:hAnsi="Times New Roman"/>
          <w:color w:val="231F20"/>
          <w:sz w:val="20"/>
        </w:rPr>
        <w:t xml:space="preserve"> </w:t>
      </w:r>
      <w:r>
        <w:rPr>
          <w:rFonts w:ascii="Times New Roman" w:hAnsi="Times New Roman"/>
          <w:color w:val="000000"/>
          <w:sz w:val="20"/>
        </w:rPr>
        <w:t>“</w:t>
      </w:r>
      <w:r>
        <w:rPr>
          <w:rFonts w:ascii="Times New Roman" w:hAnsi="Times New Roman"/>
          <w:color w:val="231F20"/>
          <w:sz w:val="20"/>
        </w:rPr>
        <w:t>us,</w:t>
      </w:r>
      <w:r>
        <w:rPr>
          <w:rFonts w:ascii="Times New Roman" w:hAnsi="Times New Roman"/>
          <w:color w:val="000000"/>
          <w:sz w:val="20"/>
        </w:rPr>
        <w:t>”</w:t>
      </w:r>
      <w:r>
        <w:rPr>
          <w:rFonts w:ascii="Times New Roman" w:hAnsi="Times New Roman"/>
          <w:color w:val="231F20"/>
          <w:sz w:val="20"/>
        </w:rPr>
        <w:t xml:space="preserve"> </w:t>
      </w:r>
      <w:r>
        <w:rPr>
          <w:rFonts w:ascii="Times New Roman" w:hAnsi="Times New Roman"/>
          <w:color w:val="000000"/>
          <w:sz w:val="20"/>
        </w:rPr>
        <w:t>“</w:t>
      </w:r>
      <w:r>
        <w:rPr>
          <w:rFonts w:ascii="Times New Roman" w:hAnsi="Times New Roman"/>
          <w:color w:val="231F20"/>
          <w:sz w:val="20"/>
        </w:rPr>
        <w:t>our</w:t>
      </w:r>
      <w:r>
        <w:rPr>
          <w:rFonts w:ascii="Times New Roman" w:hAnsi="Times New Roman"/>
          <w:color w:val="000000"/>
          <w:sz w:val="20"/>
        </w:rPr>
        <w:t>”</w:t>
      </w:r>
      <w:r>
        <w:rPr>
          <w:rFonts w:ascii="Times New Roman" w:hAnsi="Times New Roman"/>
          <w:color w:val="231F20"/>
          <w:sz w:val="20"/>
        </w:rPr>
        <w:t xml:space="preserve"> or the </w:t>
      </w:r>
      <w:r>
        <w:rPr>
          <w:rFonts w:ascii="Times New Roman" w:hAnsi="Times New Roman"/>
          <w:color w:val="000000"/>
          <w:sz w:val="20"/>
        </w:rPr>
        <w:t>“</w:t>
      </w:r>
      <w:r>
        <w:rPr>
          <w:rFonts w:ascii="Times New Roman" w:hAnsi="Times New Roman"/>
          <w:color w:val="231F20"/>
          <w:sz w:val="20"/>
        </w:rPr>
        <w:t>Company</w:t>
      </w:r>
      <w:r>
        <w:rPr>
          <w:rFonts w:ascii="Times New Roman" w:hAnsi="Times New Roman"/>
          <w:color w:val="000000"/>
          <w:sz w:val="20"/>
        </w:rPr>
        <w:t>”</w:t>
      </w:r>
      <w:r>
        <w:rPr>
          <w:rFonts w:ascii="Times New Roman" w:hAnsi="Times New Roman"/>
          <w:color w:val="231F20"/>
          <w:sz w:val="20"/>
        </w:rPr>
        <w:t>), is based in Tucson, Arizona and is a provider of conveyorized car wash services. As of December 31, 2025, we operated 548 car washes in 21 states. As of December 31, 2024, we operated 514 car washes in 21 states.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All material intercompany balances and transactions have been eliminated in consolidation.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accounting principles generally accepted in the United States of America (“U.S. GAAP”) requires management to make estimates and assumptions that affect the reported amounts of assets and liabilities and the disclosure of contingent assets and liabilities at the date of the consolidated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Cash and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all highly liquid investments with original maturities of three months or less to be cash equivalents. We place our temporary cash investments with high credit quality financial institutions. At times, such investments may exceed federally insured limits; however, management does not believe we are exposed to any significant credit risk on counter party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occasion, we are required to maintain restricted cash deposits with certain banks due to contractual or other legal obligations. At December 31, 2025 and 2024, we had $61 and $149, respectively, in restricted cash set aside for the funding of various maintenance expenses. Restricted cash is recorded in Prepaid expenses and other current assets in the consolidated balance sheets.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includes amounts due for consumer credit card sales and other trade accounts receivable. We provide an allowance for doubtful accounts using an expected credit loss model which represents our estimate of expected credit losses over the lifetime of the asset. Recoveries of trade receivables previously written off are recorded when received. Accounts receivable are presented net of an allowance for doubtful accounts of $31 and $123 at December 31, 2025 and 2024, respectively. The activity in the allowance for doubtful accounts was immaterial for the years ended December 31, 2025, 2024 and 2023.</w:t>
      </w:r>
    </w:p>
    <w:p>
      <w:pPr>
        <w:pStyle w:val="Heading2"/>
        <w:bidi w:val="0"/>
        <w:spacing w:before="120" w:after="283"/>
        <w:jc w:val="left"/>
        <w:rPr>
          <w:rFonts w:ascii="Times New Roman" w:hAnsi="Times New Roman"/>
          <w:sz w:val="20"/>
        </w:rPr>
      </w:pPr>
      <w:r>
        <w:rPr>
          <w:rFonts w:ascii="Times New Roman" w:hAnsi="Times New Roman"/>
          <w:i/>
          <w:color w:val="000000"/>
          <w:sz w:val="20"/>
        </w:rPr>
        <w:t>Other Receivables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receivables consist primarily of payroll tax withholding and exercise proceeds receivables, construction receivables and insurance receivable from non-healthcare related insurance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 payroll tax withholding and exercise proceeds receivable for amounts due to us from a third-party broker for amounts used to cover tax liability and exercise proceeds resulting from employee exercises of share-based payment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certain build-to-suit lease arrangements, we are responsible for the construction of a lessor owned facility using our designs. As construction occurs, we will recognize a construction receivable on the consolidated balance sheets due from the lessor. To the extent costs exceed the amount to be reimbursed by the lessor, we will consider such costs prepaid rent, which are added to the associated operating lease right of use asset once the lease commences.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carry a broad range of insurance coverage, including general and business auto liability, commercial property, workers’ compensation, cyber risk, and general umbrella policies. We record receivables from our non-healthcare insurance carriers related to these insurance claims, which are included in other receivables. The receivables are paid when the claim is finalized and the reserved amounts on these claims are expected to be paid within one year.</w:t>
      </w:r>
    </w:p>
    <w:tbl>
      <w:tblPr>
        <w:tblW w:w="8575" w:type="dxa"/>
        <w:jc w:val="left"/>
        <w:tblInd w:w="0" w:type="dxa"/>
        <w:tblLayout w:type="fixed"/>
        <w:tblCellMar>
          <w:top w:w="28" w:type="dxa"/>
          <w:left w:w="28" w:type="dxa"/>
          <w:bottom w:w="28" w:type="dxa"/>
          <w:right w:w="28" w:type="dxa"/>
        </w:tblCellMar>
      </w:tblPr>
      <w:tblGrid>
        <w:gridCol w:w="4756"/>
        <w:gridCol w:w="146"/>
        <w:gridCol w:w="367"/>
        <w:gridCol w:w="1178"/>
        <w:gridCol w:w="146"/>
        <w:gridCol w:w="146"/>
        <w:gridCol w:w="367"/>
        <w:gridCol w:w="1178"/>
        <w:gridCol w:w="2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withholding and exercise proceeds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retention credit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Inventory,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net consists primarily of chemical washing solutions and is stated at the lower of cost or net realizable value using the average cost method. The activity in the reserve for obsolescence accounts was immaterial for the years ended December 31, 2025, 2024 and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Inventory for the periods presented is as follows:</w:t>
      </w:r>
    </w:p>
    <w:tbl>
      <w:tblPr>
        <w:tblW w:w="6475" w:type="dxa"/>
        <w:jc w:val="left"/>
        <w:tblInd w:w="0" w:type="dxa"/>
        <w:tblLayout w:type="fixed"/>
        <w:tblCellMar>
          <w:top w:w="28" w:type="dxa"/>
          <w:left w:w="28" w:type="dxa"/>
          <w:bottom w:w="28" w:type="dxa"/>
          <w:right w:w="28" w:type="dxa"/>
        </w:tblCellMar>
      </w:tblPr>
      <w:tblGrid>
        <w:gridCol w:w="2516"/>
        <w:gridCol w:w="146"/>
        <w:gridCol w:w="417"/>
        <w:gridCol w:w="1128"/>
        <w:gridCol w:w="166"/>
        <w:gridCol w:w="146"/>
        <w:gridCol w:w="417"/>
        <w:gridCol w:w="1128"/>
        <w:gridCol w:w="41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Chemical washing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obsolescence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purchased are stated at cost less accumulated depreciation. Assets acquired in business combinations are recorded at fair value. Depreciation and amortization are recorded using the straight-line method over the estimated useful lives of the property or related lease term. Amortization of assets under finance leases is included in depreciation expense. Estimated useful lives range from 10 to 40 years for buildings and leasehold improvements, and from 3 to 7 years for machinery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for repairs and maintenance are charged to expense as incurred. Expenditures for major renewals and betterments that extend the useful lives of existing equipment are capitalized.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items that are disposed of, the cost and related accumulated depreciation are removed from the accounts and any resulting gain or loss is recognized as (gain) loss on sale of assets, net in the accompanying consolidated statements of operations and 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long-lived assets held and used is periodically reviewed for possible impairment when events and circumstances warrant such a review.</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Other Intangible Assets, Net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intangible assets into three categories: (1) intangible assets with definite lives subject to amortization, (2) intangible assets with indefinite lives not subject to amortization and (3) goodwill. The useful lives of our identifiable intangible assets are determined after considering the specific facts and circumstances related to each intangible asset. The following factors are considered when determining useful lives: the contractual term of any agreement related to the asset, the historical performance of the asset, our long-term strategy for using the asset, any laws or other local regulations which could impact the useful life of the asset, and other economic factors, including competition and specific market conditions.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that are deemed to have definite lives are amortized, primarily on a straight-line basis, over their useful lives, generally ranging from 2 to 10 years. When facts and circumstances indicate that the carrying value of definite-lived intangible assets may not be recoverable, management assesses the recoverability of the carrying value by preparing estimates of sales volume and the resulting profit and cash flows expected to result from the use of the asset or asset group and its eventual disposition. If the sum of the expected future cash flows (undiscounted and without interest charges) is less than the carrying amount, we will recognize an impairment loss. The impairment loss recognized is the amount by which the carrying amount of the asset or asset group exceeds the fair value. We use a variety of methodologies to determine the fair value of these assets, including discounted cash flow models, which are consistent with the assumptions hypothetical marketplace participants would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determined to have indefinite useful lives, including trade names and trademarks, are tested for impairment annually, or more frequently if events or circumstances indicate that assets might be impaired. A variety of methodologies are used in conducting impairment assessments of indefinite-lived intangible assets, including, but not limited to, discounted cash flow models, which are based on the assumptions we believe hypothetical marketplace participants would use. For indefinite-lived intangible assets, other than goodwill, if the carrying amount exceeds the fair value, an impairment charge is recognized in an amount equal to that excess. We have the option to perform a qualitative assessment of indefinite-lived intangible assets, other than goodwill, rather than completing the impairment test. We must assess whether it is more likely than not that the fair value of the intangible asset is less than its carrying amount. If we conclude that this is the case, we must perform the testing described above. Otherwise, we do not need to perform any further assessment. We completed our indefinite-life intangible asset impairment analysis as of October 31, 2025 and 2024 and concluded that it was not more likely than not that the carrying value of the asset may not be recoverable.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evaluated for impairment at the reporting unit-level on an annual basis (or more frequently if events or circumstances indicate that the related carrying amount may be impaired). We evaluate qualitative factors to determine if performing the quantitative impairment test is required. If it is determined that it is more likely than not, as defined in the guidance, that the carrying value is less than the fair value, the potential for goodwill impairment is evaluated and the amount of impairment loss, if any, is measured and recognized. If we determine that it is not more likely than not that the carrying value is less than the fair value, no further evaluation is performed. We completed our goodwill impairment test as of October 31, 2025 and 2024 and concluded that it is not more likely than not that the carrying value is less than the fair value, and therefore, no further evaluation was performed.</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Derivative Financial Instruments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Company has a pay fixed, receive variable interest rate swap contract (“Swap”) to manage its exposure to changes in interest rates. The Swap is recognized in the consolidated balance sheets at fair value. The Swap is a cash flow hedge and is recorded using hedge accounting, as such, changes in the fair value of the Swap are recorded in other comprehensive loss, net of tax until the hedged item is recognized in earnings. Amounts reported in other comprehensive loss, net of tax related to the Swap are reclassified to interest expense as interest payments are made on the Company’s variable-rate debt. The swap is scheduled to terminate June 30, 2027.</w:t>
      </w:r>
    </w:p>
    <w:p>
      <w:pPr>
        <w:pStyle w:val="TextBody"/>
        <w:bidi w:val="0"/>
        <w:jc w:val="left"/>
        <w:rPr>
          <w:rFonts w:ascii="Times New Roman" w:hAnsi="Times New Roman"/>
          <w:color w:val="231F20"/>
          <w:sz w:val="20"/>
        </w:rPr>
      </w:pPr>
      <w:r>
        <w:rPr>
          <w:rFonts w:ascii="Times New Roman" w:hAnsi="Times New Roman"/>
          <w:color w:val="231F20"/>
          <w:sz w:val="20"/>
        </w:rPr>
        <w:t>The Company assesses, both at the inception of the hedge and on an ongoing basis, whether the derivative used as a hedging instrument is highly effective in offsetting the changes in the cash flow of the hedged item. If it is determined that the derivative is not highly effective as a hedge or ceases to be highly effective, the Company will discontinue hedge accounting prospectively. See Note 10 Fair Value Measurements and Note 11 Interest Rate Swap for additional information.</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Deferred 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related to a recognized debt liability are presented in the consolidated balance sheets as a direct deduction from the carrying value of the related liability except for debt issuance costs related to our Revolving Commitment arrangement. In the case of the line-of-credit arrangement, regardless of whether there are any outstanding borrowings on the line-of-credit arrangement, related debt issuance costs are presented in other assets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direct costs associated with the funding of long-term debt are amortized to interest expense over the term of the applicable loan.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determine if a contract contains a lease at inception. Our material operating leases consist of car wash locations, warehouses and office space. U.S. GAAP requires that our leases be evaluated and classified as operating or finance leases for financial reporting purposes. The classification evaluation begins at the commencement date, and the lease term used in the evaluation includes the non-cancelable period for which we have the right to use the underlying asset, together with renewal option periods when the exercise of the renewal option is reasonably certain and failure to exercise such option would result in an economic penalty. Nearly all of our car wash and office space leases are classified as 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disburse cash for leasehold improvements, furniture and fixtures and equipment to build out and equip our leased premises. Tenant improvement allowance incentives may be available to partially offset the cost of developing and opening the related car washes, pursuant to agreed-upon terms in the respective lease agreements. Tenant improvement allowances can take the form of cash payments upon the opening of the related car washes, full or partial credits against rents otherwise payable by us, or a combination thereof. All tenant improvement allowances we receive are recorded as a contra operating lease right of use asset and amortized over the term of the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term used for straight-line rent expense is calculated from the commencement date (the date we take possession of the premises) through the lease termination date (including any options where exercise is reasonably certain and failure to exercise such option would result in an economic penalty). The initial lease term of our operating leases ranges from 6 to 50 years. We record rent expense on a straight-line basis beginning on the lease commencement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insurance and property tax expenses are generally accounted for on an accrual basis as variable lease costs. We recognize variable lease cost for operating leases in the period when changes in facts and circumstances on which the variable lease payments are based occur. All operating lease rent expense is included in other store operating expenses or general and administrative expense on the consolidated statements of operations and 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 lease liability for our operating leases equal to the present value of future payments discounted at the estimated fully collateralized incremental borrowing rate (discount rate) corresponding with the lease term as the rate implicit in our leases is not readily determinable. Our operating lease liability calculation is the total rent payable during the lease term, including rent escalations in which the amount of future rent is certain or fixed on the straight-line basis over the term of the lease (including any rent holiday period beginning upon our possession of the premises, and any fixed payments stated in the lease). A corresponding operating lease asset is also recorded equaling the initial amount of the operating lease liability, plus any lease payments made to the lessor before or at the lease commencement date and any initial direct costs incurred, less any lease incentives received. The difference between the minimum rents paid and the straight-line rent is reflected within the associated operating lease right of use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lease agreements do not contain any material residual value guarantees or material restrictive covenants. Additionally, we do not enter into lease transactions with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judgments regarding the reasonably certain lease term for each car wash property lease, which can impact the classification and accounting for a lease as finance or operating and/or escalations in payments that are taken into consideration when calculating straight-line rent, and the term over which leasehold improvements for each car wash are amortized. These judgments may produce materially different amounts of depreciation, amortization and rent expense than would be reported if different assumed lease terms were used.</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five-step model is used to recognize revenue from customer contracts under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five-step model requires that we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revenue in two main streams. First, we offer an Unlimited Wash Club® (“UWC”) program to our customers. The UWC program entitles the customer to unlimited washes for a monthly fee, cancelable at any time.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a contract with the customer that falls under the definition of a customer contract under ASC 606. Customers are automatically charged on a credit or debit card on the same day of the month that they originally signed up. Our performance obligation is to provide unlimited car wash services for a monthly fee. The UWC revenue is recognized ratably daily over the month in which it is earned and amounts unearned are recorded as deferred revenue on the consolidated balance sheets. All amounts recorded as deferred revenue at year end are recognized as revenue in the following year. Second, revenue from car wash services are recognized at the point in time services are rendered and the customer pays with cash or credit. Revenues are net of sales tax, refunds and discounts applied as a reduction of revenue at the time of payment.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composition of our net revenues for the periods presented:</w:t>
      </w:r>
    </w:p>
    <w:tbl>
      <w:tblPr>
        <w:tblW w:w="6668" w:type="dxa"/>
        <w:jc w:val="left"/>
        <w:tblInd w:w="0" w:type="dxa"/>
        <w:tblLayout w:type="fixed"/>
        <w:tblCellMar>
          <w:top w:w="28" w:type="dxa"/>
          <w:left w:w="28" w:type="dxa"/>
          <w:bottom w:w="28" w:type="dxa"/>
          <w:right w:w="28" w:type="dxa"/>
        </w:tblCellMar>
      </w:tblPr>
      <w:tblGrid>
        <w:gridCol w:w="2521"/>
        <w:gridCol w:w="146"/>
        <w:gridCol w:w="211"/>
        <w:gridCol w:w="931"/>
        <w:gridCol w:w="146"/>
        <w:gridCol w:w="146"/>
        <w:gridCol w:w="211"/>
        <w:gridCol w:w="781"/>
        <w:gridCol w:w="146"/>
        <w:gridCol w:w="146"/>
        <w:gridCol w:w="211"/>
        <w:gridCol w:w="781"/>
        <w:gridCol w:w="2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927,070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promote and sell a limited number of prepaid products, which include discounted car wash packages and gift cards that are not material to the financial statements. We record the sale of these items as deferred revenue, which is reduced for estimated breakage, which is not material to the financial statements. Revenue is recognized based on the terms of the packages and when the prepaid packages or gift cards are redeemed by the customer.</w:t>
      </w:r>
    </w:p>
    <w:p>
      <w:pPr>
        <w:pStyle w:val="Heading2"/>
        <w:bidi w:val="0"/>
        <w:jc w:val="left"/>
        <w:rPr>
          <w:rFonts w:ascii="Times New Roman" w:hAnsi="Times New Roman"/>
          <w:i/>
          <w:color w:val="000000"/>
          <w:sz w:val="20"/>
        </w:rPr>
      </w:pPr>
      <w:r>
        <w:rPr>
          <w:rFonts w:ascii="Times New Roman" w:hAnsi="Times New Roman"/>
          <w:i/>
          <w:color w:val="000000"/>
          <w:sz w:val="20"/>
        </w:rPr>
        <w:t>Cost of Labor and Chemicals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labor and chemicals include labor costs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Other Store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on held-for-use assets at the car wash and warehouse locations.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are expensed as incurred and include costs for advertising, onsite collateral, promotional events and sponsorships, and customer retention. Advertising costs totaled approximately $7,617, $4,253 and $7,048 for the years ended December 31, 2025, 2024, and 2023, respectively, and are recorded in other store operating expenses in the consolidated statements of operations and comprehensive income.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and liabilities are recognized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more likely than not threshold for financial statement recognition and measurement of an uncertain tax position taken or expected to be taken in a tax return. We recognize interest and penalties related to uncertain tax positions in income tax provision in the consolidated statements of operations and comprehensive income.</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Sales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collect sales taxes from customers for taxable services provided and products sold and remit those collected sales and use taxes to the applicable state authorities on a monthly basis. We have adopted a policy of presenting such taxes on revenues on a net basis (excluded from revenues) in the consolidated statements of operations 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Stock-Based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represents the cost related to stock-based awards granted to employees. We measure stock-based compensation cost at grant date, based upon the estimated fair value of the award, and recognize cost as expense using the tranche over the employee requisite service period. We estimate the fair value of stock options and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are recorded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in the period in which the tax deduction arises.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Business Combinations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evaluate each transaction under ASC 805, </w:t>
      </w:r>
      <w:r>
        <w:rPr>
          <w:rFonts w:ascii="Times New Roman" w:hAnsi="Times New Roman"/>
          <w:i/>
          <w:color w:val="000000"/>
          <w:sz w:val="20"/>
        </w:rPr>
        <w:t>Business Combinations</w:t>
      </w:r>
      <w:r>
        <w:rPr>
          <w:rFonts w:ascii="Times New Roman" w:hAnsi="Times New Roman"/>
          <w:color w:val="000000"/>
          <w:sz w:val="20"/>
        </w:rPr>
        <w:t>, including applying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business acquisitions, we recognize, separately from goodwill, the identifiable assets acquired, and liabilities assumed at their estimated acquisition-date fair values. We measure and recognize goodwill as of the acquisition date as the excess of the aggregate of the fair value of consideration transferred over the fair value of assets acquired and liabilities assumed.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contingencies such as pre-acquisition environmental matters, contingent purchase price consideration, litigation, and related legal fees are resolved or settled during a reporting period after a business combination occurs, the effect of changes in such contingencies is included in results of operations in the periods in which the adjustments are determined. We recognize third-party transaction-related costs as general and administrative in the period in which those costs are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information about facts and circumstances existing as of the acquisition date is incomplete by the end of the reporting period in which a business combination occurs, we report provisional amounts for the items for which the accounting is incomplete. This period will not exceed one year from the acquisition date. Any material adjustments recognized during the measurement period are reflected prospectively in the consolidated financial statements of the subsequent period.</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disclose the fair value of our financial instruments based on the fair value hierarchy. The levels of the fair value hierarchy are described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1—Financial assets and liabilities whose values are based on unadjusted quoted market prices for identical assets and liabilities in an active market that we have the ability to access.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2—Financial assets and liabilities whose values are based on quoted prices in markets that are not active, or model inputs that are observable for substantially the full term of the asset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3—Financial assets and liabilities whose values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observable market data, when available, in making fair value measurements. When inputs used to measure fair value fall within different levels of the hierarchy, the level within which the fair value measurement is categorized is based on the lowest level input that is significant to the fair value measurement. See Note 10 Fair Value Measurements in the consolidated financial statements for additional information regarding the contingent consideration liability.</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120" w:after="120"/>
        <w:jc w:val="left"/>
        <w:rPr>
          <w:rFonts w:ascii="Times New Roman" w:hAnsi="Times New Roman"/>
          <w:color w:val="000000"/>
          <w:sz w:val="20"/>
        </w:rPr>
      </w:pPr>
      <w:bookmarkStart w:id="27" w:name="range_b4_i18"/>
      <w:bookmarkEnd w:id="27"/>
      <w:r>
        <w:rPr>
          <w:rFonts w:ascii="Times New Roman" w:hAnsi="Times New Roman"/>
          <w:color w:val="000000"/>
          <w:sz w:val="20"/>
        </w:rPr>
        <w:t>Reconciliations of the numerators and denominators of the basic and diluted earnings per share calculations for the periods presented are as follows:</w:t>
      </w:r>
    </w:p>
    <w:tbl>
      <w:tblPr>
        <w:tblW w:w="10028" w:type="dxa"/>
        <w:jc w:val="left"/>
        <w:tblInd w:w="0" w:type="dxa"/>
        <w:tblLayout w:type="fixed"/>
        <w:tblCellMar>
          <w:top w:w="28" w:type="dxa"/>
          <w:left w:w="28" w:type="dxa"/>
          <w:bottom w:w="28" w:type="dxa"/>
          <w:right w:w="28" w:type="dxa"/>
        </w:tblCellMar>
      </w:tblPr>
      <w:tblGrid>
        <w:gridCol w:w="4751"/>
        <w:gridCol w:w="146"/>
        <w:gridCol w:w="211"/>
        <w:gridCol w:w="1141"/>
        <w:gridCol w:w="146"/>
        <w:gridCol w:w="146"/>
        <w:gridCol w:w="211"/>
        <w:gridCol w:w="1141"/>
        <w:gridCol w:w="146"/>
        <w:gridCol w:w="146"/>
        <w:gridCol w:w="211"/>
        <w:gridCol w:w="1141"/>
        <w:gridCol w:w="491"/>
      </w:tblGrid>
      <w:tr>
        <w:trPr/>
        <w:tc>
          <w:tcPr>
            <w:tcW w:w="4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326,253,814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320,031,984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311,035,122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potentially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16,778,290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396,177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332,099,696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329,513,232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328,239,604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potentially dilutive shares were excluded from the computation of diluted earnings per share for the periods presented because including them would have been antidilutive:</w:t>
      </w:r>
    </w:p>
    <w:tbl>
      <w:tblPr>
        <w:tblW w:w="6028" w:type="dxa"/>
        <w:jc w:val="left"/>
        <w:tblInd w:w="0" w:type="dxa"/>
        <w:tblLayout w:type="fixed"/>
        <w:tblCellMar>
          <w:top w:w="28" w:type="dxa"/>
          <w:left w:w="28" w:type="dxa"/>
          <w:bottom w:w="28" w:type="dxa"/>
          <w:right w:w="28" w:type="dxa"/>
        </w:tblCellMar>
      </w:tblPr>
      <w:tblGrid>
        <w:gridCol w:w="1876"/>
        <w:gridCol w:w="146"/>
        <w:gridCol w:w="146"/>
        <w:gridCol w:w="931"/>
        <w:gridCol w:w="146"/>
        <w:gridCol w:w="146"/>
        <w:gridCol w:w="146"/>
        <w:gridCol w:w="931"/>
        <w:gridCol w:w="146"/>
        <w:gridCol w:w="146"/>
        <w:gridCol w:w="146"/>
        <w:gridCol w:w="93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3,457,404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20" w:after="283"/>
        <w:jc w:val="left"/>
        <w:rPr>
          <w:rFonts w:ascii="Times New Roman" w:hAnsi="Times New Roman"/>
          <w:sz w:val="20"/>
        </w:rPr>
      </w:pPr>
      <w:r>
        <w:rPr>
          <w:rFonts w:ascii="Times New Roman" w:hAnsi="Times New Roman"/>
          <w:i/>
          <w:color w:val="000000"/>
          <w:sz w:val="20"/>
        </w:rPr>
        <w:t>Employee Retention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COVID-19 pandemic, the Employee Retention Credit (“ERC”), was established under the Coronavirus Aid, Relief, and Economic Security Act. The ERC is a refundable tax credit against certain employment taxes equal to 50% of the qualified wages an eligible employer paid to employees from March 13, 2020 to December 31, 2020. Companies who meet the eligibility requirements can claim the ERC on an original or adjusted employment tax return for a period within those dates.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March 2024, we determined that we qualify for $4,663 (net of tax advisory costs) in relief for the period from March 13, 2020 to December 31, 2020. Upon receipt of the credit, we will owe an immaterial amount for tax advisory costs associated with the assessment of the tax credit. As there is no authoritative guidance under U.S. GAAP for government assistance to for-profit business entities, the Company accounts for the ERC by analogy to International Accounting Standards 20, or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xml:space="preserve">. In accordance with IAS 20, management determined it has reasonable assurance of receipt of the identified ERC amount and recorded the credit in other income on our consolidated statements of operations and comprehensive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December 31, 2024, the tax credit receivable was $1,635 and $4,663, respectively. As of December 31, 2025 and December 31, 2024, these amounts are included in other receivables and other assets, respectively, on our consolidated balance sheets.</w:t>
      </w:r>
    </w:p>
    <w:p>
      <w:pPr>
        <w:pStyle w:val="Heading2"/>
        <w:bidi w:val="0"/>
        <w:spacing w:before="120" w:after="283"/>
        <w:jc w:val="left"/>
        <w:rPr>
          <w:rFonts w:ascii="Times New Roman" w:hAnsi="Times New Roman"/>
          <w:sz w:val="20"/>
        </w:rPr>
      </w:pPr>
      <w:r>
        <w:rPr>
          <w:rFonts w:ascii="Times New Roman" w:hAnsi="Times New Roman"/>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2025 we retrospectively adopted ASU No. 2023-09, Income Taxes (Topic 740): </w:t>
      </w:r>
      <w:r>
        <w:rPr>
          <w:rFonts w:ascii="Times New Roman" w:hAnsi="Times New Roman"/>
          <w:i/>
          <w:color w:val="000000"/>
          <w:sz w:val="20"/>
        </w:rPr>
        <w:t>Improvements to Income Tax Disclosures</w:t>
      </w:r>
      <w:r>
        <w:rPr>
          <w:rFonts w:ascii="Times New Roman" w:hAnsi="Times New Roman"/>
          <w:color w:val="000000"/>
          <w:sz w:val="20"/>
        </w:rPr>
        <w:t>, which focuses on the transparency of income tax disclosures by requiring specified categories and greater disaggregation of information in the effective tax rate reconciliation and income taxes paid disaggregated by jurisdiction. It also includes certain other amendments to improve the effectiveness of income tax disclosure. The adoption of this guidance did not have an impact on our financial statements, although it did result in expanded income tax-related disclosures. See Note 8 Income Taxes in the consolidated financial statements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Income Statement - Reporting Comprehensive Income - Expense Disaggregation Disclosures (Subtopic 220-40): </w:t>
      </w:r>
      <w:r>
        <w:rPr>
          <w:rFonts w:ascii="Times New Roman" w:hAnsi="Times New Roman"/>
          <w:i/>
          <w:color w:val="000000"/>
          <w:sz w:val="20"/>
        </w:rPr>
        <w:t>Disaggregation of Income Statement Expenses</w:t>
      </w:r>
      <w:r>
        <w:rPr>
          <w:rFonts w:ascii="Times New Roman" w:hAnsi="Times New Roman"/>
          <w:color w:val="000000"/>
          <w:sz w:val="20"/>
        </w:rPr>
        <w:t>, which requires a PBE to disclose additional information about specific expense categories in the notes to financial statements at interim and annual periods. This information is generally not presented in the financial statements. The ASU requires that at each interim and annual period a PBE: (1) disclose the amounts of (a) purchases of inventory, (b) employee compensation, (c) depreciation, (d) intangible asset amortization, and (e) depreciation, depletion, and amortization; (2) include certain amounts that are already required to be disclosed under current U.S.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The ASU is effective for annual periods beginning after December 15, 2026, and interim periods beginning after December 15, 2027, with early adoption permitted. The guidance should be applied either prospectively to financial statements issued for periods after the effective date of this ASU or retrospectively to any or all prior periods presented in the financial statements. We are still assessing the impact of this ASU.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No. 2025-06, Targeted Improvements to the Accounting for Internal-Use Software. This ASU is intended to improve the operability and application of guidance related to capitalized software development costs. The ASU is effective for annual periods beginning after December 15, 2027, and interim reporting periods within those annual reporting periods, with early adoption permitted. We are still assessing the impact of this ASU.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No. 2025-11, Narrow-Scope Improvements to Interim Reporting (Topic 270). This ASU is intended to clarify interim disclosure requirements and the applicability of Topic 270. The ASU is effective for interim reporting periods within annual reporting periods beginning after December 15, 2027, with early adoption permitted. We are still assessing the impact of this ASU.</w:t>
      </w:r>
    </w:p>
    <w:p>
      <w:pPr>
        <w:pStyle w:val="TextBody"/>
        <w:bidi w:val="0"/>
        <w:spacing w:before="120"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current assets consisted of the following for the periods presented:</w:t>
      </w:r>
    </w:p>
    <w:tbl>
      <w:tblPr>
        <w:tblW w:w="7850" w:type="dxa"/>
        <w:jc w:val="left"/>
        <w:tblInd w:w="0" w:type="dxa"/>
        <w:tblLayout w:type="fixed"/>
        <w:tblCellMar>
          <w:top w:w="28" w:type="dxa"/>
          <w:left w:w="28" w:type="dxa"/>
          <w:bottom w:w="28" w:type="dxa"/>
          <w:right w:w="28" w:type="dxa"/>
        </w:tblCellMar>
      </w:tblPr>
      <w:tblGrid>
        <w:gridCol w:w="4031"/>
        <w:gridCol w:w="146"/>
        <w:gridCol w:w="417"/>
        <w:gridCol w:w="1128"/>
        <w:gridCol w:w="146"/>
        <w:gridCol w:w="146"/>
        <w:gridCol w:w="367"/>
        <w:gridCol w:w="1178"/>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Spare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consisted of the following for the periods presented:</w:t>
      </w:r>
    </w:p>
    <w:tbl>
      <w:tblPr>
        <w:tblW w:w="7515" w:type="dxa"/>
        <w:jc w:val="left"/>
        <w:tblInd w:w="0" w:type="dxa"/>
        <w:tblLayout w:type="fixed"/>
        <w:tblCellMar>
          <w:top w:w="28" w:type="dxa"/>
          <w:left w:w="28" w:type="dxa"/>
          <w:bottom w:w="28" w:type="dxa"/>
          <w:right w:w="28" w:type="dxa"/>
        </w:tblCellMar>
      </w:tblPr>
      <w:tblGrid>
        <w:gridCol w:w="3556"/>
        <w:gridCol w:w="146"/>
        <w:gridCol w:w="285"/>
        <w:gridCol w:w="1260"/>
        <w:gridCol w:w="166"/>
        <w:gridCol w:w="146"/>
        <w:gridCol w:w="285"/>
        <w:gridCol w:w="1260"/>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Depreciation expense was $85,399, $75,200 and $62,214 for the years ended December 31, 2025, 2024 and 2023, respectively. Amortization expense on finance leases was $972, $1,006 and $1,005 for the years ended December 31, 2025, 2024 and 2023, respectively.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During the fourth quarter of 2024, the Company committed to a plan to dispose of two car wash locations. As of December 31, 2025, these locations are classified as held for sale and have a collective net book value of $3,294 primarily related to land and building. The assets of these locations are recorded in property and equipment, net on the consolidated balance sheets. </w:t>
      </w:r>
    </w:p>
    <w:p>
      <w:pPr>
        <w:pStyle w:val="TextBody"/>
        <w:bidi w:val="0"/>
        <w:jc w:val="left"/>
        <w:rPr>
          <w:rFonts w:ascii="Times New Roman" w:hAnsi="Times New Roman"/>
          <w:color w:val="000000"/>
          <w:sz w:val="20"/>
        </w:rPr>
      </w:pPr>
      <w:r>
        <w:rPr>
          <w:rFonts w:ascii="Times New Roman" w:hAnsi="Times New Roman"/>
          <w:color w:val="000000"/>
          <w:sz w:val="20"/>
        </w:rPr>
        <w:t>There were no impairments recognized in the year ended December 31, 2025. During the year ended December 31, 2024, we recorded $1,549 of impairment losses related to the land and building of one of these locations based on the agreed upon sales price. There were no impairments recognized in 2023. Impairment losses are recorded in loss on sale of assets, net on the consolidated statements of operations and comprehensive income.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Other Intangible Assets,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intangibles assets, net consisted of the following as of the periods presented:</w:t>
      </w:r>
    </w:p>
    <w:tbl>
      <w:tblPr>
        <w:tblW w:w="10205" w:type="dxa"/>
        <w:jc w:val="left"/>
        <w:tblInd w:w="0" w:type="dxa"/>
        <w:tblLayout w:type="fixed"/>
        <w:tblCellMar>
          <w:top w:w="28" w:type="dxa"/>
          <w:left w:w="28" w:type="dxa"/>
          <w:bottom w:w="28" w:type="dxa"/>
          <w:right w:w="28" w:type="dxa"/>
        </w:tblCellMar>
      </w:tblPr>
      <w:tblGrid>
        <w:gridCol w:w="2011"/>
        <w:gridCol w:w="354"/>
        <w:gridCol w:w="1314"/>
        <w:gridCol w:w="146"/>
        <w:gridCol w:w="146"/>
        <w:gridCol w:w="437"/>
        <w:gridCol w:w="1407"/>
        <w:gridCol w:w="146"/>
        <w:gridCol w:w="146"/>
        <w:gridCol w:w="354"/>
        <w:gridCol w:w="1314"/>
        <w:gridCol w:w="146"/>
        <w:gridCol w:w="146"/>
        <w:gridCol w:w="437"/>
        <w:gridCol w:w="1407"/>
        <w:gridCol w:w="294"/>
      </w:tblGrid>
      <w:tr>
        <w:trPr/>
        <w:tc>
          <w:tcPr>
            <w:tcW w:w="20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trademarks</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CPC unity system</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Covenants not to compete</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intangible assets, net</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60,323</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 average amortization period for CPC Unity System, customer relationships, and covenants not to compete are 10.0 years, 7.0 years, and 6.3 years, respectively.</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finite-lived intangible assets was $1,834, $5,160 and $6,772 for the years ended December 31, 2025, 2024 and 2023, respectively.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2025, estimated future amortization expense was as follows:</w:t>
      </w:r>
    </w:p>
    <w:tbl>
      <w:tblPr>
        <w:tblW w:w="5009" w:type="dxa"/>
        <w:jc w:val="left"/>
        <w:tblInd w:w="0" w:type="dxa"/>
        <w:tblLayout w:type="fixed"/>
        <w:tblCellMar>
          <w:top w:w="28" w:type="dxa"/>
          <w:left w:w="28" w:type="dxa"/>
          <w:bottom w:w="28" w:type="dxa"/>
          <w:right w:w="28" w:type="dxa"/>
        </w:tblCellMar>
      </w:tblPr>
      <w:tblGrid>
        <w:gridCol w:w="2984"/>
        <w:gridCol w:w="806"/>
        <w:gridCol w:w="146"/>
        <w:gridCol w:w="211"/>
        <w:gridCol w:w="571"/>
        <w:gridCol w:w="291"/>
      </w:tblGrid>
      <w:tr>
        <w:trPr/>
        <w:tc>
          <w:tcPr>
            <w:tcW w:w="29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9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estimated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Goodwill consisted of the following for the periods presented:</w:t>
      </w:r>
    </w:p>
    <w:tbl>
      <w:tblPr>
        <w:tblW w:w="6460" w:type="dxa"/>
        <w:jc w:val="left"/>
        <w:tblInd w:w="0" w:type="dxa"/>
        <w:tblLayout w:type="fixed"/>
        <w:tblCellMar>
          <w:top w:w="28" w:type="dxa"/>
          <w:left w:w="28" w:type="dxa"/>
          <w:bottom w:w="28" w:type="dxa"/>
          <w:right w:w="28" w:type="dxa"/>
        </w:tblCellMar>
      </w:tblPr>
      <w:tblGrid>
        <w:gridCol w:w="2641"/>
        <w:gridCol w:w="146"/>
        <w:gridCol w:w="285"/>
        <w:gridCol w:w="1260"/>
        <w:gridCol w:w="146"/>
        <w:gridCol w:w="146"/>
        <w:gridCol w:w="285"/>
        <w:gridCol w:w="1260"/>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1,134,830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1,134,734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Goodwill is generally deductible for tax purposes, except for the portion related to purchase accounting step-up goodwill.</w:t>
      </w:r>
    </w:p>
    <w:p>
      <w:pPr>
        <w:pStyle w:val="TextBody"/>
        <w:bidi w:val="0"/>
        <w:jc w:val="left"/>
        <w:rPr>
          <w:rFonts w:ascii="Times New Roman" w:hAnsi="Times New Roman"/>
          <w:b/>
          <w:color w:val="000000"/>
          <w:sz w:val="20"/>
        </w:rPr>
      </w:pPr>
      <w:r>
        <w:rPr>
          <w:rFonts w:ascii="Times New Roman" w:hAnsi="Times New Roman"/>
          <w:b/>
          <w:color w:val="000000"/>
          <w:sz w:val="20"/>
        </w:rPr>
        <w:t>7. Other Accrued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Other accrued expenses consisted of the following for the periods presented:</w:t>
      </w:r>
    </w:p>
    <w:tbl>
      <w:tblPr>
        <w:tblW w:w="6610" w:type="dxa"/>
        <w:jc w:val="left"/>
        <w:tblInd w:w="0" w:type="dxa"/>
        <w:tblLayout w:type="fixed"/>
        <w:tblCellMar>
          <w:top w:w="28" w:type="dxa"/>
          <w:left w:w="28" w:type="dxa"/>
          <w:bottom w:w="28" w:type="dxa"/>
          <w:right w:w="28" w:type="dxa"/>
        </w:tblCellMar>
      </w:tblPr>
      <w:tblGrid>
        <w:gridCol w:w="2791"/>
        <w:gridCol w:w="146"/>
        <w:gridCol w:w="367"/>
        <w:gridCol w:w="1178"/>
        <w:gridCol w:w="146"/>
        <w:gridCol w:w="146"/>
        <w:gridCol w:w="367"/>
        <w:gridCol w:w="1178"/>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Greenfield development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Greenfield development accruals represent an obligation to pay for invoices not yet received, primarily related to land and buildings and improvements, on properties which we have taken control of as of December 31, 2025 and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provision for income taxes consisted of the following for the periods presented:</w:t>
      </w:r>
    </w:p>
    <w:tbl>
      <w:tblPr>
        <w:tblW w:w="6273" w:type="dxa"/>
        <w:jc w:val="left"/>
        <w:tblInd w:w="0" w:type="dxa"/>
        <w:tblLayout w:type="fixed"/>
        <w:tblCellMar>
          <w:top w:w="28" w:type="dxa"/>
          <w:left w:w="28" w:type="dxa"/>
          <w:bottom w:w="28" w:type="dxa"/>
          <w:right w:w="28" w:type="dxa"/>
        </w:tblCellMar>
      </w:tblPr>
      <w:tblGrid>
        <w:gridCol w:w="2371"/>
        <w:gridCol w:w="146"/>
        <w:gridCol w:w="211"/>
        <w:gridCol w:w="676"/>
        <w:gridCol w:w="166"/>
        <w:gridCol w:w="146"/>
        <w:gridCol w:w="211"/>
        <w:gridCol w:w="676"/>
        <w:gridCol w:w="146"/>
        <w:gridCol w:w="146"/>
        <w:gridCol w:w="211"/>
        <w:gridCol w:w="676"/>
        <w:gridCol w:w="4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 reconciliation of the statutory income tax rate and provision to our effective tax rate and total tax provision consisted of the following for the periods presented:</w:t>
      </w:r>
    </w:p>
    <w:tbl>
      <w:tblPr>
        <w:tblW w:w="10205" w:type="dxa"/>
        <w:jc w:val="left"/>
        <w:tblInd w:w="0" w:type="dxa"/>
        <w:tblLayout w:type="fixed"/>
        <w:tblCellMar>
          <w:top w:w="28" w:type="dxa"/>
          <w:left w:w="28" w:type="dxa"/>
          <w:bottom w:w="28" w:type="dxa"/>
          <w:right w:w="28" w:type="dxa"/>
        </w:tblCellMar>
      </w:tblPr>
      <w:tblGrid>
        <w:gridCol w:w="3230"/>
        <w:gridCol w:w="211"/>
        <w:gridCol w:w="676"/>
        <w:gridCol w:w="166"/>
        <w:gridCol w:w="146"/>
        <w:gridCol w:w="161"/>
        <w:gridCol w:w="515"/>
        <w:gridCol w:w="271"/>
        <w:gridCol w:w="146"/>
        <w:gridCol w:w="211"/>
        <w:gridCol w:w="676"/>
        <w:gridCol w:w="166"/>
        <w:gridCol w:w="146"/>
        <w:gridCol w:w="161"/>
        <w:gridCol w:w="515"/>
        <w:gridCol w:w="271"/>
        <w:gridCol w:w="146"/>
        <w:gridCol w:w="211"/>
        <w:gridCol w:w="676"/>
        <w:gridCol w:w="166"/>
        <w:gridCol w:w="146"/>
        <w:gridCol w:w="161"/>
        <w:gridCol w:w="515"/>
        <w:gridCol w:w="516"/>
      </w:tblGrid>
      <w:tr>
        <w:trPr/>
        <w:tc>
          <w:tcPr>
            <w:tcW w:w="3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the statutory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payment awards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Effective tax rate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income tax expense recorded in 2025 is different from the expected statutory federal and state tax expense primarily due to a $2,963 income tax expense related to equity award exercises and/or vesting in 2025, which is net of the impact of the internal revenue code rules and regulations related to the deductibility of executive compensation by publicly held companies.</w:t>
      </w:r>
    </w:p>
    <w:tbl>
      <w:tblPr>
        <w:tblW w:w="7295" w:type="dxa"/>
        <w:jc w:val="left"/>
        <w:tblInd w:w="0" w:type="dxa"/>
        <w:tblLayout w:type="fixed"/>
        <w:tblCellMar>
          <w:top w:w="28" w:type="dxa"/>
          <w:left w:w="28" w:type="dxa"/>
          <w:bottom w:w="28" w:type="dxa"/>
          <w:right w:w="28" w:type="dxa"/>
        </w:tblCellMar>
      </w:tblPr>
      <w:tblGrid>
        <w:gridCol w:w="3236"/>
        <w:gridCol w:w="146"/>
        <w:gridCol w:w="310"/>
        <w:gridCol w:w="1235"/>
        <w:gridCol w:w="166"/>
        <w:gridCol w:w="146"/>
        <w:gridCol w:w="310"/>
        <w:gridCol w:w="1235"/>
        <w:gridCol w:w="51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tax credit carryforwards,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312,072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 and 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(77,040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(413,813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federal and state net operating loss (“NOL”) carryforwards available of $108,915 and $85,218 at December 31, 2025, respectively. The federal NOL carryforwards can be carried forward indefinitely while $38,889 of the state NOL carryforwards have indefinite lives and the remaining amounts will expire between 2036 and 2043. We had federal interest expense carryforwards of $108,357 at December 31, 2025</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which can be carried forward indefinitely. We also had state interest expense carryforwards in 12 states where the amounts vary by jurisdiction, which also have indefinite lives. We had federal and state R&amp;D and other business tax credit carryforwards of $3,283 and $1,119 at December 31, 2025, respectively. The federal business tax credit carryforwards can be carried forward for 20 years and will expire between 2039 and 2045. The state R&amp;D and other business tax credit carryforwards can be carried forward for 5 to 20 years and will expire between 2029 and 2038.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above, we had deferred tax assets related to both federal and state NOL and interest expense carryforwards. When determining the need for a valuation allowance,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adjust the valuation allowance in the period management determines it is more likely than not that we will not realize some or all of the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financial reporting purposes, we established valuation allowances of $290 and $262 at December 31, 2025 and 2024, respectively, to offset deferred tax assets. The current and prior year valuation allowance relates to state attributes and carryovers.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(the “OBBBA”) was signed into law. The OBBBA includes tax reform provisions including 100% bonus depreciation, full expensing of domestic research expenditures, and modifications to interest expense limitations. After initial evaluation, the Company does not currently expect these laws to have a material effect on tax expense or the anticipated annual effective tax rate. We expect certain provisions effective for the 2025 tax year will decrease current and future cash taxes paid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Past ownership changes and other equity transactions may have triggered Sections 382 and 383 of the Internal Revenue Code, resulting in certain annual limitations on the utilization of existing federal and state net operating losses and credits. Such provisions may limit the potential future tax benefit to be realized by us from its accumulated net operating losses and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file income tax returns in the U.S. federal and various state tax jurisdictions and are subject to varying statutes of limitation in each jurisdiction. As of December 31, 2025, we are not under audit for federal or state income tax purposes. In general, our federal tax return may be subject to examination for the 2022 through 2024 tax years, while for state purposes, the 2021 through 2024 years are generally open to examination, with some states having either a three- or four-year statute of limitations. Our usage of NOL carryovers also permits taxing authorities to adjust aspects of tax returns that may be outside of these statutes of limitation.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table of income taxes paid is as follows:</w:t>
      </w:r>
    </w:p>
    <w:tbl>
      <w:tblPr>
        <w:tblW w:w="6982" w:type="dxa"/>
        <w:jc w:val="left"/>
        <w:tblInd w:w="0" w:type="dxa"/>
        <w:tblLayout w:type="fixed"/>
        <w:tblCellMar>
          <w:top w:w="28" w:type="dxa"/>
          <w:left w:w="28" w:type="dxa"/>
          <w:bottom w:w="28" w:type="dxa"/>
          <w:right w:w="28" w:type="dxa"/>
        </w:tblCellMar>
      </w:tblPr>
      <w:tblGrid>
        <w:gridCol w:w="3711"/>
        <w:gridCol w:w="211"/>
        <w:gridCol w:w="571"/>
        <w:gridCol w:w="166"/>
        <w:gridCol w:w="146"/>
        <w:gridCol w:w="211"/>
        <w:gridCol w:w="481"/>
        <w:gridCol w:w="166"/>
        <w:gridCol w:w="146"/>
        <w:gridCol w:w="211"/>
        <w:gridCol w:w="571"/>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Arizona</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Florida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Georgia</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Idaho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Michigan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Minnesota</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Pennsylvania</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 net of refunds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income taxes paid during the year does not meet the 5% disaggregation threshold and is included in 'Other'.</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reconciliation of the beginning and ending amounts of gross unrecognized tax benefits is as follows:</w:t>
      </w:r>
    </w:p>
    <w:tbl>
      <w:tblPr>
        <w:tblW w:w="7611" w:type="dxa"/>
        <w:jc w:val="left"/>
        <w:tblInd w:w="0" w:type="dxa"/>
        <w:tblLayout w:type="fixed"/>
        <w:tblCellMar>
          <w:top w:w="28" w:type="dxa"/>
          <w:left w:w="28" w:type="dxa"/>
          <w:bottom w:w="28" w:type="dxa"/>
          <w:right w:w="28" w:type="dxa"/>
        </w:tblCellMar>
      </w:tblPr>
      <w:tblGrid>
        <w:gridCol w:w="5006"/>
        <w:gridCol w:w="211"/>
        <w:gridCol w:w="421"/>
        <w:gridCol w:w="146"/>
        <w:gridCol w:w="146"/>
        <w:gridCol w:w="211"/>
        <w:gridCol w:w="421"/>
        <w:gridCol w:w="146"/>
        <w:gridCol w:w="146"/>
        <w:gridCol w:w="260"/>
        <w:gridCol w:w="206"/>
        <w:gridCol w:w="291"/>
      </w:tblGrid>
      <w:tr>
        <w:trPr/>
        <w:tc>
          <w:tcPr>
            <w:tcW w:w="5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contingencies at beginning of period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based on tax positions related to prior years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contingencies at end of period</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had gross unrecognized tax benefits of $637 and $542 as of December 31, 2025 and 2024, respectively, related to federal and state R&amp;D tax credits. All of the unrecognized tax benefits, if recognized, would affect the effective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accrued interest and penalties of $12 and $42 as of December 31, 2025 and 2024, respectively, in income tax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Debt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Debt consisted of the following as of the periods presented:</w:t>
      </w:r>
    </w:p>
    <w:tbl>
      <w:tblPr>
        <w:tblW w:w="10205" w:type="dxa"/>
        <w:jc w:val="left"/>
        <w:tblInd w:w="0" w:type="dxa"/>
        <w:tblLayout w:type="fixed"/>
        <w:tblCellMar>
          <w:top w:w="28" w:type="dxa"/>
          <w:left w:w="28" w:type="dxa"/>
          <w:bottom w:w="28" w:type="dxa"/>
          <w:right w:w="28" w:type="dxa"/>
        </w:tblCellMar>
      </w:tblPr>
      <w:tblGrid>
        <w:gridCol w:w="2690"/>
        <w:gridCol w:w="146"/>
        <w:gridCol w:w="1113"/>
        <w:gridCol w:w="146"/>
        <w:gridCol w:w="1205"/>
        <w:gridCol w:w="146"/>
        <w:gridCol w:w="1320"/>
        <w:gridCol w:w="146"/>
        <w:gridCol w:w="272"/>
        <w:gridCol w:w="1011"/>
        <w:gridCol w:w="166"/>
        <w:gridCol w:w="146"/>
        <w:gridCol w:w="272"/>
        <w:gridCol w:w="1011"/>
        <w:gridCol w:w="415"/>
      </w:tblGrid>
      <w:tr>
        <w:trPr/>
        <w:tc>
          <w:tcPr>
            <w:tcW w:w="2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Stated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Effective 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lien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920,381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maturities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portion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909,094</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December 31, 2025, annual maturities of debt were as follows:</w:t>
      </w:r>
    </w:p>
    <w:tbl>
      <w:tblPr>
        <w:tblW w:w="3555" w:type="dxa"/>
        <w:jc w:val="left"/>
        <w:tblInd w:w="0" w:type="dxa"/>
        <w:tblLayout w:type="fixed"/>
        <w:tblCellMar>
          <w:top w:w="28" w:type="dxa"/>
          <w:left w:w="28" w:type="dxa"/>
          <w:bottom w:w="28" w:type="dxa"/>
          <w:right w:w="28" w:type="dxa"/>
        </w:tblCellMar>
      </w:tblPr>
      <w:tblGrid>
        <w:gridCol w:w="2126"/>
        <w:gridCol w:w="146"/>
        <w:gridCol w:w="211"/>
        <w:gridCol w:w="781"/>
        <w:gridCol w:w="2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maturities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2025 and 2024, unamortized debt issuance costs was $4,661 and $6,304, respectively, and accumulated amortization of debt issuance costs was $2,034 and $4,018, respectively.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the years ended December 31, 2025, 2024 and 2023, the amortization of debt issuance costs in interest expense, net in the consolidated statements of operations and comprehensive income was approximately $1,103, $1,256 and $1,698, respectively.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Amended and Restated First Lien Credit Agreement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On August 21, 2014, we entered into a Credit Agreement (“Credit Agreement”) which was originally comprised of a term loan (“First Lien Term Loan”) and a revolving commitment (“Revolving Commitment”), which was subsequently amended and restated. The Credit Agreement was collateralized by substantially all personal property (including cash, inventory, property and equipment, and intangible assets), real property, and equity interests owned by us.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First Lien Term Loan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w:t>
      </w:r>
      <w:r>
        <w:rPr>
          <w:rFonts w:ascii="Times New Roman" w:hAnsi="Times New Roman"/>
          <w:color w:val="231F20"/>
          <w:sz w:val="20"/>
        </w:rPr>
        <w:t xml:space="preserve">March 2024, we entered into Amendment No. 5 to the Credit Agreement with the lenders party thereto, and </w:t>
      </w:r>
      <w:r>
        <w:rPr>
          <w:rFonts w:ascii="Times New Roman" w:hAnsi="Times New Roman"/>
          <w:color w:val="000000"/>
          <w:sz w:val="20"/>
        </w:rPr>
        <w:t>Bank of America, N.A. (“BofA</w:t>
      </w:r>
      <w:r>
        <w:rPr>
          <w:rFonts w:ascii="Times New Roman" w:hAnsi="Times New Roman"/>
          <w:color w:val="231F20"/>
          <w:sz w:val="20"/>
        </w:rPr>
        <w:t>”</w:t>
      </w:r>
      <w:r>
        <w:rPr>
          <w:rFonts w:ascii="Times New Roman" w:hAnsi="Times New Roman"/>
          <w:color w:val="000000"/>
          <w:sz w:val="20"/>
        </w:rPr>
        <w:t>) as the successor administrative agent and collateral agent. This amendment further modified the Credit Agreement by providing $925,000 in first lien term commitments, consisting of $901,201 to refinance outstanding term loans and $23,799 in additional incremental term commitments (collectively, the “2024 Term Loans</w:t>
      </w:r>
      <w:r>
        <w:rPr>
          <w:rFonts w:ascii="Times New Roman" w:hAnsi="Times New Roman"/>
          <w:color w:val="231F20"/>
          <w:sz w:val="20"/>
        </w:rPr>
        <w:t>”</w:t>
      </w:r>
      <w:r>
        <w:rPr>
          <w:rFonts w:ascii="Times New Roman" w:hAnsi="Times New Roman"/>
          <w:color w:val="000000"/>
          <w:sz w:val="20"/>
        </w:rPr>
        <w:t>). Starting September 30, 2024, the loans will be amortized in equal quarterly installments at an annual rate of 1.00% of the original principal amount. In connection with Amendment No. 5, we expensed $1,882 of previously unamortized debt issuance costs as a loss on extinguishment of debt in the consolidated statements of operations and comprehensive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we </w:t>
      </w:r>
      <w:r>
        <w:rPr>
          <w:rFonts w:ascii="Times New Roman" w:hAnsi="Times New Roman"/>
          <w:color w:val="231F20"/>
          <w:sz w:val="20"/>
        </w:rPr>
        <w:t>entered into Amendment No. 6 to the Credit Agreement with the lenders party thereto, and Bo</w:t>
      </w:r>
      <w:r>
        <w:rPr>
          <w:rFonts w:ascii="Times New Roman" w:hAnsi="Times New Roman"/>
          <w:color w:val="000000"/>
          <w:sz w:val="20"/>
        </w:rPr>
        <w:t>fA as the successor administrative agent and collateral agent. This amendment further modified the Credit Agreement by resetting the soft call protection of 1% for voluntary prepayments of the Term Loans to last for six months after the effective date of this Amendment, as well as repricing the Term and Revolving Loans margins, where each was reduced by 0.25%. In connection with Amendment No. 6, we expensed $94 of previously unamortized debt issuance costs as a loss on extinguishment of debt in the consolidated statements of operations and 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Lien Term Loan borrowings bear interest equal to the SOFR rate plus a margin, with margin starting at 2.75% and can decrease to 2.50% and 2.25% based on the First Lien Net Leverage Ratio.</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Revolving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Amendment No. 5 to our Credit Agreement also increased our borrowing capacity from $150,000 to $300,000. Any unused commitment fee is also payable based on the First Lien Net Leverage Ratio. The Credit Agreement requires a Rent Adjusted Total Net Leverage Ratio no greater than 6.50 to 1.00, tested quarterly beginning with the quarter ending September 30, 2024, for the benefit of lenders holding the Revolving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available borrowing capacity under the Revolving Commitment is reduced by outstanding letters of credit under the Revolving Commitment. As of December 31, 2025 and 2024, the available borrowing capacity under the Revolving Commitment was $299,926 and $299,791,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 unused commitment fee based on our First Lien Net Leverage Ratio is payable on the average of the unused borrowing capacity under the Revolving Commitment. As of December 31, 2025 and 2024, the unused commitment fee was 0.20% and 0.25%, respectively.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Standby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have a letter of credit sublimit of $90,000 under the Revolving Commitment, provided that the total utilization of revolving commitments under the Revolving Commitment does not exceed $300,000. Any letter of credit issued under the Credit Agreement has an expiration date which is the earlier of (i) no later than 12 months from the date of issuance or (ii) five business days prior to the maturity date of the Revolving Commitment, as amended under Amendment No. 2 to the Credit Agreement. Letters of credit under the Revolving Commitment reduce the maximum available borrowing capacity under the Revolving Commitment. As of December 31, 2025 and 2024, the amounts associated with outstanding letters of credit were $74 and $209, respectively.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 compliance with all covenants related to our long-term debt as of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Fair Value Measurements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assets and liabilities which are measured at fair value on a recurring basis as of December 31, 2025:</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805"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15"/>
        <w:gridCol w:w="430"/>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financial assets and liabilities which are measured at fair value on a recurring basis as of December 31, 2024:</w:t>
      </w:r>
    </w:p>
    <w:tbl>
      <w:tblPr>
        <w:tblW w:w="6805" w:type="dxa"/>
        <w:jc w:val="left"/>
        <w:tblInd w:w="0" w:type="dxa"/>
        <w:tblLayout w:type="fixed"/>
        <w:tblCellMar>
          <w:top w:w="28" w:type="dxa"/>
          <w:left w:w="28" w:type="dxa"/>
          <w:bottom w:w="28" w:type="dxa"/>
          <w:right w:w="28" w:type="dxa"/>
        </w:tblCellMar>
      </w:tblPr>
      <w:tblGrid>
        <w:gridCol w:w="2501"/>
        <w:gridCol w:w="146"/>
        <w:gridCol w:w="211"/>
        <w:gridCol w:w="571"/>
        <w:gridCol w:w="146"/>
        <w:gridCol w:w="146"/>
        <w:gridCol w:w="211"/>
        <w:gridCol w:w="571"/>
        <w:gridCol w:w="146"/>
        <w:gridCol w:w="146"/>
        <w:gridCol w:w="244"/>
        <w:gridCol w:w="401"/>
        <w:gridCol w:w="146"/>
        <w:gridCol w:w="146"/>
        <w:gridCol w:w="211"/>
        <w:gridCol w:w="571"/>
        <w:gridCol w:w="2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the fair value of our financial assets and liabilities using the highest level of inputs that are available as of the measurement date. The carrying amounts of cash and cash equivalents, accounts receivable, and accounts payable approximate their fair value due to the immediate or short-term maturity of these financial instruments. See Note 11 Interest Rate Swap for additional information on the interest rate swap.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deferred compensation plan for a select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2025 and 2024, the fair value of our First Lien Term Loan approximated its carrying value due to the debt's variable interest rate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we did not hold any cash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we recognized a Level 3 contingent consideration liability in connection with the Downtowner Car Wash acquisition. We measured its contingent consideration liability arising from our 2021 acquisition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obtained the certificate of occupancy for the car wash and it opened to the public in 2023 and an ongoing annual payment based on the achievement of certain financial metrics of the business. A change in the forecasted revenue could result in a significantly lower or higher fair value measurement. We determined that there were no significant changes to the unobservable inputs that would have resulted in a change in fair value of this contingent consideration liability at December 31, 2025. During the year ended December 31, 2025, $2,396 payment was made. During the year ended December 31, 2024, a payment of $422 was made.</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During the years ended </w:t>
      </w:r>
      <w:r>
        <w:rPr>
          <w:rFonts w:ascii="Times New Roman" w:hAnsi="Times New Roman"/>
          <w:color w:val="000000"/>
          <w:sz w:val="20"/>
        </w:rPr>
        <w:t>December 31, 2025 and 2024, there were no transfers between fair value measurement levels.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Interest Rate Swap</w:t>
      </w:r>
    </w:p>
    <w:p>
      <w:pPr>
        <w:pStyle w:val="TextBody"/>
        <w:bidi w:val="0"/>
        <w:spacing w:before="120" w:after="283"/>
        <w:jc w:val="left"/>
        <w:rPr>
          <w:rFonts w:ascii="Times New Roman" w:hAnsi="Times New Roman"/>
          <w:sz w:val="20"/>
        </w:rPr>
      </w:pPr>
      <w:r>
        <w:rPr>
          <w:rFonts w:ascii="Times New Roman" w:hAnsi="Times New Roman"/>
          <w:color w:val="000000"/>
          <w:sz w:val="20"/>
        </w:rPr>
        <w:t>On April 28, 2025, the Company executed a pay-fixed, receive-floating interest rate swap (the “Swap”) to mitigate variability in forecasted interest payments on an aggregate notional amount of $250,000 of the Company’s variable-rate First Lien Term Loan. The Swap has an effective date of June 30, 2025, with a maturity date of June 30, 2027. The Company designated the Swap as a cash flow hedge.</w:t>
      </w:r>
      <w:r>
        <w:rPr>
          <w:rFonts w:ascii="Times New Roman" w:hAnsi="Times New Roman"/>
          <w:color w:val="231F20"/>
          <w:sz w:val="20"/>
        </w:rPr>
        <w:t xml:space="preserve">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As of December 31, 2025, information pertaining to the Swap is as follows:</w:t>
      </w:r>
    </w:p>
    <w:tbl>
      <w:tblPr>
        <w:tblW w:w="6809" w:type="dxa"/>
        <w:jc w:val="left"/>
        <w:tblInd w:w="0" w:type="dxa"/>
        <w:tblLayout w:type="fixed"/>
        <w:tblCellMar>
          <w:top w:w="28" w:type="dxa"/>
          <w:left w:w="28" w:type="dxa"/>
          <w:bottom w:w="28" w:type="dxa"/>
          <w:right w:w="28" w:type="dxa"/>
        </w:tblCellMar>
      </w:tblPr>
      <w:tblGrid>
        <w:gridCol w:w="330"/>
        <w:gridCol w:w="1140"/>
        <w:gridCol w:w="146"/>
        <w:gridCol w:w="146"/>
        <w:gridCol w:w="279"/>
        <w:gridCol w:w="636"/>
        <w:gridCol w:w="166"/>
        <w:gridCol w:w="146"/>
        <w:gridCol w:w="871"/>
        <w:gridCol w:w="146"/>
        <w:gridCol w:w="1366"/>
        <w:gridCol w:w="146"/>
        <w:gridCol w:w="1291"/>
      </w:tblGrid>
      <w:tr>
        <w:trPr/>
        <w:tc>
          <w:tcPr>
            <w:tcW w:w="3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Pay-Fixed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Receive-Floating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Maturity Date</w:t>
            </w:r>
          </w:p>
        </w:tc>
      </w:tr>
      <w:tr>
        <w:trPr/>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30, 2027</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December 31, 2024, the current portion of the fair value of the Swap was $52 and $0, respectively, and is included in prepaid and other current assets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December 31, 2024, the long-term portion of the fair value of the Swap was $286 and $0, respectively, and is included in other long-term liabilities in the accompanying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amounts reported in other comprehensive loss in the accompanying consolidated statements of operations and comprehensive income are net of tax of $59. No amounts were reported for the years ended December 31, 2024 and 2023,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incremental borrowing rate for a lease is the rate of interest we expect to pay on a collateralized basis to borrow an amount equal to the lease payments under similar terms. To determine the incremental borrowing rates used to discount the lease payments, we estimated our synthetic credit rating and utilized market data for similarly situated companies.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Balance sheet information related to leases consisted of the following for the periods presented:</w:t>
      </w:r>
    </w:p>
    <w:tbl>
      <w:tblPr>
        <w:tblW w:w="9862" w:type="dxa"/>
        <w:jc w:val="left"/>
        <w:tblInd w:w="0" w:type="dxa"/>
        <w:tblLayout w:type="fixed"/>
        <w:tblCellMar>
          <w:top w:w="28" w:type="dxa"/>
          <w:left w:w="28" w:type="dxa"/>
          <w:bottom w:w="28" w:type="dxa"/>
          <w:right w:w="28" w:type="dxa"/>
        </w:tblCellMar>
      </w:tblPr>
      <w:tblGrid>
        <w:gridCol w:w="2031"/>
        <w:gridCol w:w="146"/>
        <w:gridCol w:w="3766"/>
        <w:gridCol w:w="146"/>
        <w:gridCol w:w="328"/>
        <w:gridCol w:w="1217"/>
        <w:gridCol w:w="146"/>
        <w:gridCol w:w="146"/>
        <w:gridCol w:w="328"/>
        <w:gridCol w:w="1217"/>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953,665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Components of total lease cost, net, consisted of the following for the periods presented:</w:t>
      </w:r>
    </w:p>
    <w:tbl>
      <w:tblPr>
        <w:tblW w:w="5284" w:type="dxa"/>
        <w:jc w:val="left"/>
        <w:tblInd w:w="0" w:type="dxa"/>
        <w:tblLayout w:type="fixed"/>
        <w:tblCellMar>
          <w:top w:w="28" w:type="dxa"/>
          <w:left w:w="28" w:type="dxa"/>
          <w:bottom w:w="28" w:type="dxa"/>
          <w:right w:w="28" w:type="dxa"/>
        </w:tblCellMar>
      </w:tblPr>
      <w:tblGrid>
        <w:gridCol w:w="2471"/>
        <w:gridCol w:w="146"/>
        <w:gridCol w:w="211"/>
        <w:gridCol w:w="781"/>
        <w:gridCol w:w="146"/>
        <w:gridCol w:w="146"/>
        <w:gridCol w:w="211"/>
        <w:gridCol w:w="781"/>
        <w:gridCol w:w="39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expense includes an immaterial amount of sublease income and is included in other store operating expenses and general and administrative expenses in the accompanying consolidated statements of operations and comprehensive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Variable lease costs consist primarily of property taxes, property insurance, and common area or other maintenance costs for our leases of land and buildings and is included in other store operating expenses in the accompanying consolidated statements of operations and comprehensive income.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includes supplemental information for the periods presented:</w:t>
      </w:r>
    </w:p>
    <w:tbl>
      <w:tblPr>
        <w:tblW w:w="8549" w:type="dxa"/>
        <w:jc w:val="left"/>
        <w:tblInd w:w="0" w:type="dxa"/>
        <w:tblLayout w:type="fixed"/>
        <w:tblCellMar>
          <w:top w:w="28" w:type="dxa"/>
          <w:left w:w="28" w:type="dxa"/>
          <w:bottom w:w="28" w:type="dxa"/>
          <w:right w:w="28" w:type="dxa"/>
        </w:tblCellMar>
      </w:tblPr>
      <w:tblGrid>
        <w:gridCol w:w="5686"/>
        <w:gridCol w:w="146"/>
        <w:gridCol w:w="211"/>
        <w:gridCol w:w="781"/>
        <w:gridCol w:w="271"/>
        <w:gridCol w:w="146"/>
        <w:gridCol w:w="211"/>
        <w:gridCol w:w="781"/>
        <w:gridCol w:w="316"/>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ROU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operating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finance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operating lease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finance lease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2025, lease obligation maturities were as follows:</w:t>
      </w:r>
    </w:p>
    <w:tbl>
      <w:tblPr>
        <w:tblW w:w="8255" w:type="dxa"/>
        <w:jc w:val="left"/>
        <w:tblInd w:w="0" w:type="dxa"/>
        <w:tblLayout w:type="fixed"/>
        <w:tblCellMar>
          <w:top w:w="28" w:type="dxa"/>
          <w:left w:w="28" w:type="dxa"/>
          <w:bottom w:w="28" w:type="dxa"/>
          <w:right w:w="28" w:type="dxa"/>
        </w:tblCellMar>
      </w:tblPr>
      <w:tblGrid>
        <w:gridCol w:w="4686"/>
        <w:gridCol w:w="146"/>
        <w:gridCol w:w="266"/>
        <w:gridCol w:w="1174"/>
        <w:gridCol w:w="166"/>
        <w:gridCol w:w="146"/>
        <w:gridCol w:w="280"/>
        <w:gridCol w:w="980"/>
        <w:gridCol w:w="41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Fiscal Year Ending: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future minimum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Forward Starting Leases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2025, we entered into eight leases that had not yet commenced related to build-to-suit arrangements for car wash locations. These leases will commence in years 2026 through 2028 with initial lease terms of 15 to 20 years.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of December 31, 2024, we entered into 10 leases that had not yet commenced related to build-to-suit arrangements for car wash locations. These leases will commence in years 2025 through 2027 with initial lease terms of 15 to 20 years.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Sale-leaseback Transactions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During the year ended December 31, 2025, we completed nine sale-leaseback transactions related to car wash locations with aggregate consideration of $48,423 resulting in a net loss of $12,057, which is included in loss on sale of assets, net in the consolidated statements of operations and comprehensive income. Contemporaneously with the closing of the sales, we entered into lease agreements for the properties for initial 20-year terms. For the sale-leaseback transactions consummated for the year ended December 31, 2025, the cumulative initial annual rents for the properties were approximately $2,873, subject to annual escalations. These leases are accounted for as operating leases.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year ended December 31, 2024, we </w:t>
      </w:r>
      <w:r>
        <w:rPr>
          <w:rFonts w:ascii="Times New Roman" w:hAnsi="Times New Roman"/>
          <w:color w:val="231F20"/>
          <w:sz w:val="20"/>
        </w:rPr>
        <w:t xml:space="preserve">completed 29 sale-leaseback transactions related to car wash locations with aggregate consideration of $134,912, resulting in a net loss of $8,862, which is included in loss on sale of assets, net in the consolidated statements of operations and comprehensive income. Contemporaneously with the closing of the sales, we entered into lease agreements for the properties for initial 20-year terms. For the sale-leaseback transactions consummated for the year ended </w:t>
      </w:r>
      <w:r>
        <w:rPr>
          <w:rFonts w:ascii="Times New Roman" w:hAnsi="Times New Roman"/>
          <w:color w:val="000000"/>
          <w:sz w:val="20"/>
        </w:rPr>
        <w:t xml:space="preserve">December 31, 2024, </w:t>
      </w:r>
      <w:r>
        <w:rPr>
          <w:rFonts w:ascii="Times New Roman" w:hAnsi="Times New Roman"/>
          <w:color w:val="231F20"/>
          <w:sz w:val="20"/>
        </w:rPr>
        <w:t>the cumulative initial annual rents for the properties were approximately $8,887, subject to annual escalations. These leases are accounted for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were 1,000,000,000 shares of common stock authorized, 334,455,454 shares of common stock issued, and 328,282,533 shares of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there were 5,000,000 shares of preferred stock authorized and none were issued or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cost method to account for treasury stock. As of December 31, 2025 and 2024, we had 6,172,921 shares of treasury stock. As of December 31, 2025 and 2024, the cost of treasury stock included in additional paid-in capital in the consolidated balance sheets was $28,895.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14. Stock-Based Compensation </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The 2014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Under the 2014 Stock Option Plan of Hotshine Holdings, Inc. (the “2014 Plan”), the Company may grant incentive stock options or nonqualified stock options to purchase common shares of the Company to its employees, directors, officers, outside advisors and non-employee consultants.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The 2021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June 2021, the Board adopted the 2021 Incentive Award Plan (the “2021 Plan”), which was subsequently approved by the Company's stockholders and became effective on June 25, 2021. Under the 2021 Plan, the Company may grant incentive stock options, nonqualified stock options, restricted stock units (“RSUs”), restricted stock, and other stock- or cash-based awards to its employees, directors, officers, and non-employee consultants. Initially, the maximum number of shares of the Company’s common stock that may be issued under the 2021 Plan is 29,800,000 new shares of common stock, which includes 256,431 shares of common stock that remained available for issuance under the 2014 Plan at June 25, 2021. Any shares of common stock subject to outstanding stock awards granted under the 2014 Plan and, following June 25, 2021, terminate, expire or are otherwise forfeited, reacquired or withheld will become available for issuance under the 2021 Plan.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All stock options granted under the 2021 Plan are equity-classified and have a contractual life of ten years. Under the 2021 Plan, the stock options contain service-based vesting conditions and generally vest ratably over a three- to five-year period (collectively with stock options under the 2014 Plan, the “Time Vesting Options”). The exercise prices for stock options granted under the 2021 Plan were not less than the fair market value of the common stock of the Company on the date of grant.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RSUs granted under the 2021 Plan are equity-classified and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The 2021 ESPP</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exceed 27 months, and each offering period will include purchase periods. The Company determined that offering periods would commence at approximately the six-month period beginning with an enrollment date and ending with the next exercise date.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 </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Share-Based Payment Valuation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grant date fair value of Time Vesting Options granted and </w:t>
      </w:r>
      <w:r>
        <w:rPr>
          <w:rFonts w:ascii="Times New Roman" w:hAnsi="Times New Roman"/>
          <w:color w:val="000000"/>
          <w:sz w:val="20"/>
        </w:rPr>
        <w:t xml:space="preserve">stock purchase rights </w:t>
      </w:r>
      <w:r>
        <w:rPr>
          <w:rFonts w:ascii="Times New Roman" w:hAnsi="Times New Roman"/>
          <w:color w:val="231F20"/>
          <w:sz w:val="20"/>
        </w:rPr>
        <w:t>granted under the 2021 ESPP are determined using the Black-Scholes option-pricing model.</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2021 ESPP Valuation</w:t>
      </w:r>
    </w:p>
    <w:p>
      <w:pPr>
        <w:pStyle w:val="TextBody"/>
        <w:bidi w:val="0"/>
        <w:spacing w:before="120" w:after="120"/>
        <w:jc w:val="left"/>
        <w:rPr>
          <w:rFonts w:ascii="Times New Roman" w:hAnsi="Times New Roman"/>
          <w:sz w:val="20"/>
        </w:rPr>
      </w:pPr>
      <w:r>
        <w:rPr>
          <w:rFonts w:ascii="Times New Roman" w:hAnsi="Times New Roman"/>
          <w:color w:val="231F20"/>
          <w:sz w:val="20"/>
        </w:rPr>
        <w:t>The following table presents, on a weighted-average basis, the assumptions used in the Black-Scholes option-pricing model to determine the grant date fair value of</w:t>
      </w:r>
      <w:r>
        <w:rPr>
          <w:rFonts w:ascii="Times New Roman" w:hAnsi="Times New Roman"/>
          <w:color w:val="000000"/>
          <w:sz w:val="20"/>
        </w:rPr>
        <w:t xml:space="preserve"> stock purchase rights granted under the 2021 ESPP</w:t>
      </w:r>
      <w:r>
        <w:rPr>
          <w:rFonts w:ascii="Times New Roman" w:hAnsi="Times New Roman"/>
          <w:color w:val="231F20"/>
          <w:sz w:val="20"/>
        </w:rPr>
        <w:t xml:space="preserve"> Plan during </w:t>
      </w:r>
      <w:r>
        <w:rPr>
          <w:rFonts w:ascii="Times New Roman" w:hAnsi="Times New Roman"/>
          <w:color w:val="000000"/>
          <w:sz w:val="20"/>
        </w:rPr>
        <w:t>the periods presented as follows</w:t>
      </w:r>
      <w:r>
        <w:rPr>
          <w:rFonts w:ascii="Times New Roman" w:hAnsi="Times New Roman"/>
          <w:color w:val="231F20"/>
          <w:sz w:val="20"/>
        </w:rPr>
        <w:t>:</w:t>
      </w:r>
    </w:p>
    <w:tbl>
      <w:tblPr>
        <w:tblW w:w="7207" w:type="dxa"/>
        <w:jc w:val="left"/>
        <w:tblInd w:w="0" w:type="dxa"/>
        <w:tblLayout w:type="fixed"/>
        <w:tblCellMar>
          <w:top w:w="28" w:type="dxa"/>
          <w:left w:w="28" w:type="dxa"/>
          <w:bottom w:w="28" w:type="dxa"/>
          <w:right w:w="28" w:type="dxa"/>
        </w:tblCellMar>
      </w:tblPr>
      <w:tblGrid>
        <w:gridCol w:w="2131"/>
        <w:gridCol w:w="146"/>
        <w:gridCol w:w="1561"/>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36.95 % - 42.14%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38.34% - 55.99%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36.30% - 55.99%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3.81% - 4.44%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4.44% - 5.41%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4.53% - 5.38%</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0.49 - 0.50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Time Vesting Options</w:t>
      </w:r>
    </w:p>
    <w:p>
      <w:pPr>
        <w:pStyle w:val="TextBody"/>
        <w:bidi w:val="0"/>
        <w:spacing w:before="120" w:after="120"/>
        <w:jc w:val="left"/>
        <w:rPr>
          <w:rFonts w:ascii="Times New Roman" w:hAnsi="Times New Roman"/>
          <w:sz w:val="20"/>
        </w:rPr>
      </w:pPr>
      <w:r>
        <w:rPr>
          <w:rFonts w:ascii="Times New Roman" w:hAnsi="Times New Roman"/>
          <w:color w:val="231F20"/>
          <w:sz w:val="20"/>
        </w:rPr>
        <w:t>The following table presents, on a weighted-average basis, the assumptions used in the Black-Scholes option-pricing model to determine the grant date fair value of</w:t>
      </w:r>
      <w:r>
        <w:rPr>
          <w:rFonts w:ascii="Times New Roman" w:hAnsi="Times New Roman"/>
          <w:color w:val="000000"/>
          <w:sz w:val="20"/>
        </w:rPr>
        <w:t xml:space="preserve"> Time Vesting Options granted under the 2014 Plan and 2021 Plan during the periods presented as follows</w:t>
      </w:r>
      <w:r>
        <w:rPr>
          <w:rFonts w:ascii="Times New Roman" w:hAnsi="Times New Roman"/>
          <w:color w:val="231F20"/>
          <w:sz w:val="20"/>
        </w:rPr>
        <w:t>:</w:t>
      </w:r>
    </w:p>
    <w:tbl>
      <w:tblPr>
        <w:tblW w:w="7162" w:type="dxa"/>
        <w:jc w:val="left"/>
        <w:tblInd w:w="0" w:type="dxa"/>
        <w:tblLayout w:type="fixed"/>
        <w:tblCellMar>
          <w:top w:w="28" w:type="dxa"/>
          <w:left w:w="28" w:type="dxa"/>
          <w:bottom w:w="28" w:type="dxa"/>
          <w:right w:w="28" w:type="dxa"/>
        </w:tblCellMar>
      </w:tblPr>
      <w:tblGrid>
        <w:gridCol w:w="2131"/>
        <w:gridCol w:w="146"/>
        <w:gridCol w:w="1516"/>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45.75% - 46.74%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45.98% - 46.18%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43.74% - 46.58%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3.77% - 4.07%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4.08% - 4.52%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3.68% - 4.21%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6.0 - 6.26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jc w:val="left"/>
        <w:rPr/>
      </w:pPr>
      <w:r>
        <w:rPr/>
        <w:t>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 summary of the Company’s stock option activity during the most recent period presented is as follows:</w:t>
      </w:r>
    </w:p>
    <w:tbl>
      <w:tblPr>
        <w:tblW w:w="10205" w:type="dxa"/>
        <w:jc w:val="left"/>
        <w:tblInd w:w="0" w:type="dxa"/>
        <w:tblLayout w:type="fixed"/>
        <w:tblCellMar>
          <w:top w:w="28" w:type="dxa"/>
          <w:left w:w="28" w:type="dxa"/>
          <w:bottom w:w="28" w:type="dxa"/>
          <w:right w:w="28" w:type="dxa"/>
        </w:tblCellMar>
      </w:tblPr>
      <w:tblGrid>
        <w:gridCol w:w="2419"/>
        <w:gridCol w:w="146"/>
        <w:gridCol w:w="174"/>
        <w:gridCol w:w="1181"/>
        <w:gridCol w:w="166"/>
        <w:gridCol w:w="146"/>
        <w:gridCol w:w="204"/>
        <w:gridCol w:w="1311"/>
        <w:gridCol w:w="166"/>
        <w:gridCol w:w="146"/>
        <w:gridCol w:w="202"/>
        <w:gridCol w:w="1436"/>
        <w:gridCol w:w="166"/>
        <w:gridCol w:w="146"/>
        <w:gridCol w:w="592"/>
        <w:gridCol w:w="1308"/>
        <w:gridCol w:w="296"/>
      </w:tblGrid>
      <w:tr>
        <w:trPr/>
        <w:tc>
          <w:tcPr>
            <w:tcW w:w="2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Vesting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9,137,994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11,035,461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 vest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8,617,506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6,482,355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number and weighted-average grant date fair value of stock options during the most recent period presented is as follows: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2"/>
        <w:gridCol w:w="146"/>
        <w:gridCol w:w="196"/>
        <w:gridCol w:w="1337"/>
        <w:gridCol w:w="173"/>
        <w:gridCol w:w="152"/>
        <w:gridCol w:w="553"/>
        <w:gridCol w:w="1317"/>
        <w:gridCol w:w="146"/>
        <w:gridCol w:w="146"/>
        <w:gridCol w:w="430"/>
        <w:gridCol w:w="941"/>
        <w:gridCol w:w="169"/>
        <w:gridCol w:w="169"/>
        <w:gridCol w:w="548"/>
        <w:gridCol w:w="1322"/>
        <w:gridCol w:w="298"/>
      </w:tblGrid>
      <w:tr>
        <w:trPr/>
        <w:tc>
          <w:tcPr>
            <w:tcW w:w="2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br/>
              <w:t>Grant Date Fair Value</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 Vesting Options</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Vesting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 Vesting Options</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 Vesting Options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3,544,956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(1,464,537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(207,929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3,545,893</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grant date fair value of Time Vesting Options granted during the year ended December 31, 2025 was approximately $5,871. The total intrinsic value of options exercised during the years ended December 31, 2025, 2024 and 2023 was $12,376, $65,821 and $54,975, respectively.</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 fair value of stock options vested during the years ended December 31, 2025, 2024 and 2023 was $10,501, </w:t>
      </w:r>
      <w:r>
        <w:rPr>
          <w:rFonts w:ascii="Times New Roman" w:hAnsi="Times New Roman"/>
          <w:color w:val="000000"/>
          <w:sz w:val="20"/>
        </w:rPr>
        <w:t>$10,227 and $10,611,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fair value of time vesting options granted in 2025, 2024 and 2023, estimated on the dates of grant using the Black-Scholes option pricing model, was $3.51, $3.13 and $4.35, respectively.</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w:t>
      </w:r>
      <w:r>
        <w:rPr>
          <w:rFonts w:ascii="Times New Roman" w:hAnsi="Times New Roman"/>
          <w:color w:val="000000"/>
          <w:sz w:val="20"/>
        </w:rPr>
        <w:t>December 31, 2025</w:t>
      </w:r>
      <w:r>
        <w:rPr>
          <w:rFonts w:ascii="Times New Roman" w:hAnsi="Times New Roman"/>
          <w:color w:val="231F20"/>
          <w:sz w:val="20"/>
        </w:rPr>
        <w:t xml:space="preserve"> and 2024, the weighted-average remaining contractual life of outstanding stock options was approximately 5.73 years and 5.41</w:t>
      </w:r>
      <w:r>
        <w:rPr>
          <w:rFonts w:ascii="Times New Roman" w:hAnsi="Times New Roman"/>
          <w:color w:val="000000"/>
          <w:sz w:val="20"/>
        </w:rPr>
        <w:t xml:space="preserve"> years</w:t>
      </w:r>
      <w:r>
        <w:rPr>
          <w:rFonts w:ascii="Times New Roman" w:hAnsi="Times New Roman"/>
          <w:color w:val="231F20"/>
          <w:sz w:val="20"/>
        </w:rPr>
        <w:t>.</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w:t>
      </w:r>
      <w:r>
        <w:rPr>
          <w:rFonts w:ascii="Times New Roman" w:hAnsi="Times New Roman"/>
          <w:color w:val="000000"/>
          <w:sz w:val="20"/>
        </w:rPr>
        <w:t>December 31, 2025</w:t>
      </w:r>
      <w:r>
        <w:rPr>
          <w:rFonts w:ascii="Times New Roman" w:hAnsi="Times New Roman"/>
          <w:color w:val="231F20"/>
          <w:sz w:val="20"/>
        </w:rPr>
        <w:t xml:space="preserve"> and 2024, the weighted-average remaining contractual life of currently exercisable stock options was approximately 4.21 years and 4.05</w:t>
      </w:r>
      <w:r>
        <w:rPr>
          <w:rFonts w:ascii="Times New Roman" w:hAnsi="Times New Roman"/>
          <w:color w:val="000000"/>
          <w:sz w:val="20"/>
        </w:rPr>
        <w:t xml:space="preserve"> years</w:t>
      </w:r>
      <w:r>
        <w:rPr>
          <w:rFonts w:ascii="Times New Roman" w:hAnsi="Times New Roman"/>
          <w:color w:val="231F20"/>
          <w:sz w:val="20"/>
        </w:rPr>
        <w:t>.</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RSU activity during the periods presented as follows:</w:t>
      </w:r>
    </w:p>
    <w:tbl>
      <w:tblPr>
        <w:tblW w:w="8805" w:type="dxa"/>
        <w:jc w:val="left"/>
        <w:tblInd w:w="0" w:type="dxa"/>
        <w:tblLayout w:type="fixed"/>
        <w:tblCellMar>
          <w:top w:w="28" w:type="dxa"/>
          <w:left w:w="28" w:type="dxa"/>
          <w:bottom w:w="28" w:type="dxa"/>
          <w:right w:w="28" w:type="dxa"/>
        </w:tblCellMar>
      </w:tblPr>
      <w:tblGrid>
        <w:gridCol w:w="2926"/>
        <w:gridCol w:w="146"/>
        <w:gridCol w:w="235"/>
        <w:gridCol w:w="1595"/>
        <w:gridCol w:w="166"/>
        <w:gridCol w:w="146"/>
        <w:gridCol w:w="1028"/>
        <w:gridCol w:w="2272"/>
        <w:gridCol w:w="2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RSUs that vested during the year ended December 31, 2025 was $13,596.</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As of </w:t>
      </w:r>
      <w:r>
        <w:rPr>
          <w:rFonts w:ascii="Times New Roman" w:hAnsi="Times New Roman"/>
          <w:color w:val="000000"/>
          <w:sz w:val="20"/>
        </w:rPr>
        <w:t>December 31, 2025</w:t>
      </w:r>
      <w:r>
        <w:rPr>
          <w:rFonts w:ascii="Times New Roman" w:hAnsi="Times New Roman"/>
          <w:color w:val="231F20"/>
          <w:sz w:val="20"/>
        </w:rPr>
        <w:t xml:space="preserve"> and 2024, the weighted-average remaining contractual life of outstanding RSUs was approximately 8.82 years and 8.89 years, respectively.</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estimated a forfeiture rate of 10.26%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Total stock-based compensation expense, by caption, recorded in the consolidated statements of operations and comprehensive income for the periods presented is as follows:</w:t>
      </w:r>
    </w:p>
    <w:tbl>
      <w:tblPr>
        <w:tblW w:w="8523" w:type="dxa"/>
        <w:jc w:val="left"/>
        <w:tblInd w:w="0" w:type="dxa"/>
        <w:tblLayout w:type="fixed"/>
        <w:tblCellMar>
          <w:top w:w="28" w:type="dxa"/>
          <w:left w:w="28" w:type="dxa"/>
          <w:bottom w:w="28" w:type="dxa"/>
          <w:right w:w="28" w:type="dxa"/>
        </w:tblCellMar>
      </w:tblPr>
      <w:tblGrid>
        <w:gridCol w:w="4801"/>
        <w:gridCol w:w="146"/>
        <w:gridCol w:w="211"/>
        <w:gridCol w:w="676"/>
        <w:gridCol w:w="166"/>
        <w:gridCol w:w="146"/>
        <w:gridCol w:w="211"/>
        <w:gridCol w:w="676"/>
        <w:gridCol w:w="166"/>
        <w:gridCol w:w="146"/>
        <w:gridCol w:w="211"/>
        <w:gridCol w:w="676"/>
        <w:gridCol w:w="2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labor and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for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Total stock-based compensation expense, by award type, recorded in the consolidated statements of operations and comprehensive income for the periods presented is as follows:</w:t>
      </w:r>
    </w:p>
    <w:tbl>
      <w:tblPr>
        <w:tblW w:w="7233" w:type="dxa"/>
        <w:jc w:val="left"/>
        <w:tblInd w:w="0" w:type="dxa"/>
        <w:tblLayout w:type="fixed"/>
        <w:tblCellMar>
          <w:top w:w="28" w:type="dxa"/>
          <w:left w:w="28" w:type="dxa"/>
          <w:bottom w:w="28" w:type="dxa"/>
          <w:right w:w="28" w:type="dxa"/>
        </w:tblCellMar>
      </w:tblPr>
      <w:tblGrid>
        <w:gridCol w:w="3551"/>
        <w:gridCol w:w="146"/>
        <w:gridCol w:w="211"/>
        <w:gridCol w:w="676"/>
        <w:gridCol w:w="146"/>
        <w:gridCol w:w="146"/>
        <w:gridCol w:w="211"/>
        <w:gridCol w:w="676"/>
        <w:gridCol w:w="146"/>
        <w:gridCol w:w="146"/>
        <w:gridCol w:w="211"/>
        <w:gridCol w:w="676"/>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Vesting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As of December 31, 2025</w:t>
      </w:r>
      <w:r>
        <w:rPr>
          <w:rFonts w:ascii="Times New Roman" w:hAnsi="Times New Roman"/>
          <w:color w:val="231F20"/>
          <w:sz w:val="20"/>
        </w:rPr>
        <w:t xml:space="preserve">, total </w:t>
      </w:r>
      <w:r>
        <w:rPr>
          <w:rFonts w:ascii="Times New Roman" w:hAnsi="Times New Roman"/>
          <w:color w:val="000000"/>
          <w:sz w:val="20"/>
        </w:rPr>
        <w:t xml:space="preserve">unrecognized </w:t>
      </w:r>
      <w:r>
        <w:rPr>
          <w:rFonts w:ascii="Times New Roman" w:hAnsi="Times New Roman"/>
          <w:color w:val="231F20"/>
          <w:sz w:val="20"/>
        </w:rPr>
        <w:t xml:space="preserve">compensation expense related to unvested Time Vesting Options was </w:t>
      </w:r>
      <w:r>
        <w:rPr>
          <w:rFonts w:ascii="Times New Roman" w:hAnsi="Times New Roman"/>
          <w:color w:val="000000"/>
          <w:sz w:val="20"/>
        </w:rPr>
        <w:t>$6,139</w:t>
      </w:r>
      <w:r>
        <w:rPr>
          <w:rFonts w:ascii="Times New Roman" w:hAnsi="Times New Roman"/>
          <w:color w:val="231F20"/>
          <w:sz w:val="20"/>
        </w:rPr>
        <w:t>, which is expected to be recognized over a weighted-average period of 1.71</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120" w:after="283"/>
        <w:jc w:val="left"/>
        <w:rPr>
          <w:rFonts w:ascii="Times New Roman" w:hAnsi="Times New Roman"/>
          <w:sz w:val="20"/>
        </w:rPr>
      </w:pPr>
      <w:r>
        <w:rPr>
          <w:rFonts w:ascii="Times New Roman" w:hAnsi="Times New Roman"/>
          <w:color w:val="000000"/>
          <w:sz w:val="20"/>
        </w:rPr>
        <w:t>As of</w:t>
      </w:r>
      <w:r>
        <w:rPr>
          <w:rFonts w:ascii="Times New Roman" w:hAnsi="Times New Roman"/>
          <w:color w:val="231F20"/>
          <w:sz w:val="20"/>
        </w:rPr>
        <w:t xml:space="preserve"> </w:t>
      </w:r>
      <w:r>
        <w:rPr>
          <w:rFonts w:ascii="Times New Roman" w:hAnsi="Times New Roman"/>
          <w:color w:val="000000"/>
          <w:sz w:val="20"/>
        </w:rPr>
        <w:t>December 31, 2025</w:t>
      </w:r>
      <w:r>
        <w:rPr>
          <w:rFonts w:ascii="Times New Roman" w:hAnsi="Times New Roman"/>
          <w:color w:val="231F20"/>
          <w:sz w:val="20"/>
        </w:rPr>
        <w:t xml:space="preserve">, </w:t>
      </w:r>
      <w:r>
        <w:rPr>
          <w:rFonts w:ascii="Times New Roman" w:hAnsi="Times New Roman"/>
          <w:color w:val="000000"/>
          <w:sz w:val="20"/>
        </w:rPr>
        <w:t xml:space="preserve">there was no unrecognized compensation expense related to unvested </w:t>
      </w:r>
      <w:r>
        <w:rPr>
          <w:rFonts w:ascii="Times New Roman" w:hAnsi="Times New Roman"/>
          <w:color w:val="231F20"/>
          <w:sz w:val="20"/>
        </w:rPr>
        <w:t xml:space="preserve">Performance Vesting Options </w:t>
      </w:r>
      <w:r>
        <w:rPr>
          <w:rFonts w:ascii="Times New Roman" w:hAnsi="Times New Roman"/>
          <w:color w:val="000000"/>
          <w:sz w:val="20"/>
        </w:rPr>
        <w:t>as the completion of the IPO in June 2021 satisfied the performance condition and as a result, all outstanding</w:t>
      </w:r>
      <w:r>
        <w:rPr>
          <w:rFonts w:ascii="Times New Roman" w:hAnsi="Times New Roman"/>
          <w:color w:val="231F20"/>
          <w:sz w:val="20"/>
        </w:rPr>
        <w:t xml:space="preserve"> Performance Vesting Options vested.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As of</w:t>
      </w:r>
      <w:r>
        <w:rPr>
          <w:rFonts w:ascii="Times New Roman" w:hAnsi="Times New Roman"/>
          <w:color w:val="231F20"/>
          <w:sz w:val="20"/>
        </w:rPr>
        <w:t xml:space="preserve"> </w:t>
      </w:r>
      <w:r>
        <w:rPr>
          <w:rFonts w:ascii="Times New Roman" w:hAnsi="Times New Roman"/>
          <w:color w:val="000000"/>
          <w:sz w:val="20"/>
        </w:rPr>
        <w:t>December 31, 2025</w:t>
      </w:r>
      <w:r>
        <w:rPr>
          <w:rFonts w:ascii="Times New Roman" w:hAnsi="Times New Roman"/>
          <w:color w:val="231F20"/>
          <w:sz w:val="20"/>
        </w:rPr>
        <w:t xml:space="preserve">, total unrecognized compensation expense related to unvested RSUs was </w:t>
      </w:r>
      <w:r>
        <w:rPr>
          <w:rFonts w:ascii="Times New Roman" w:hAnsi="Times New Roman"/>
          <w:color w:val="000000"/>
          <w:sz w:val="20"/>
        </w:rPr>
        <w:t>$17,941</w:t>
      </w:r>
      <w:r>
        <w:rPr>
          <w:rFonts w:ascii="Times New Roman" w:hAnsi="Times New Roman"/>
          <w:color w:val="231F20"/>
          <w:sz w:val="20"/>
        </w:rPr>
        <w:t>, which is expected to be recognized over a weighted-average period of 1.90</w:t>
      </w:r>
      <w:r>
        <w:rPr>
          <w:rFonts w:ascii="Times New Roman" w:hAnsi="Times New Roman"/>
          <w:color w:val="000000"/>
          <w:sz w:val="20"/>
        </w:rPr>
        <w:t xml:space="preserve"> </w:t>
      </w:r>
      <w:r>
        <w:rPr>
          <w:rFonts w:ascii="Times New Roman" w:hAnsi="Times New Roman"/>
          <w:color w:val="231F20"/>
          <w:sz w:val="20"/>
        </w:rPr>
        <w:t>years.</w:t>
      </w:r>
    </w:p>
    <w:p>
      <w:pPr>
        <w:pStyle w:val="TextBody"/>
        <w:bidi w:val="0"/>
        <w:spacing w:before="120" w:after="283"/>
        <w:jc w:val="left"/>
        <w:rPr>
          <w:rFonts w:ascii="Times New Roman" w:hAnsi="Times New Roman"/>
          <w:sz w:val="20"/>
        </w:rPr>
      </w:pPr>
      <w:r>
        <w:rPr>
          <w:rFonts w:ascii="Times New Roman" w:hAnsi="Times New Roman"/>
          <w:color w:val="000000"/>
          <w:sz w:val="20"/>
        </w:rPr>
        <w:t>As of</w:t>
      </w:r>
      <w:r>
        <w:rPr>
          <w:rFonts w:ascii="Times New Roman" w:hAnsi="Times New Roman"/>
          <w:color w:val="231F20"/>
          <w:sz w:val="20"/>
        </w:rPr>
        <w:t xml:space="preserve"> </w:t>
      </w:r>
      <w:r>
        <w:rPr>
          <w:rFonts w:ascii="Times New Roman" w:hAnsi="Times New Roman"/>
          <w:color w:val="000000"/>
          <w:sz w:val="20"/>
        </w:rPr>
        <w:t>December 31, 2025</w:t>
      </w:r>
      <w:r>
        <w:rPr>
          <w:rFonts w:ascii="Times New Roman" w:hAnsi="Times New Roman"/>
          <w:color w:val="231F20"/>
          <w:sz w:val="20"/>
        </w:rPr>
        <w:t xml:space="preserve">, total unrecognized compensation expense related to unvested stock purchase rights under the 2021 ESPP was </w:t>
      </w:r>
      <w:r>
        <w:rPr>
          <w:rFonts w:ascii="Times New Roman" w:hAnsi="Times New Roman"/>
          <w:color w:val="000000"/>
          <w:sz w:val="20"/>
        </w:rPr>
        <w:t>$245</w:t>
      </w:r>
      <w:r>
        <w:rPr>
          <w:rFonts w:ascii="Times New Roman" w:hAnsi="Times New Roman"/>
          <w:color w:val="231F20"/>
          <w:sz w:val="20"/>
        </w:rPr>
        <w:t xml:space="preserve">, which is expected to be recognized over a weighted-average period of </w:t>
      </w:r>
      <w:r>
        <w:rPr>
          <w:rFonts w:ascii="Times New Roman" w:hAnsi="Times New Roman"/>
          <w:color w:val="000000"/>
          <w:sz w:val="20"/>
        </w:rPr>
        <w:t>0.37</w:t>
      </w:r>
      <w:r>
        <w:rPr>
          <w:rFonts w:ascii="Times New Roman" w:hAnsi="Times New Roman"/>
          <w:color w:val="231F2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 Employee Retirement Savings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2011, we established a defined contribution 401(k)-plan to benefit certain employees. The 401(k)-plan sponsor is a wholly owned subsidiary of the Company. Employees are eligible to participate if they are at least 18 years of age and have worked for the Company for at least six months. We may make discretionary matching contributions. For the years ended December 31, 2025, 2024 and 2023, we made $1,483, $1,341, and $1,232, respectively, of matching contributions.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nonqualified deferred compensation plan for certain management employees. Under the deferred compensation plan, a participant may elect to defer up to 90% of their base salary, 90% of their annual bonus, and/or 100% of 401(k) contributions that fail the top-heavy testing for highly compensated employees. We may make discretionary matching contributions. As of December 31, 2025 and 2024, the deferred compensation liability under this plan within accrued payroll and related expenses was $4,675 and $4,425,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pursue acquisitions of conveyorized car washes that either strategically fit with the business or expand our presence in new and attractive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reflect the operations of an acquired business starting from the effective date of the acquisition. We expensed $323, $0 and $208 of acquisition-related costs for the years ended December 31, 2025, 2024 and 2023, respectively. These acquisition-related costs are expensed as incurred and are included in general and administrative expenses in the accompanying consolidated statements of operations and 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both years ended December 31, 2025 and 2024, the amount of acquired goodwill that is not deductible for income tax purposes was $0. The goodwill recognized in 2025 was primarily attributable to the expected synergies to be achieved from the business combinations.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2025 Acquisitions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For the year ended December 31, 2025, we acquired the assets and liabilities of five conveyorized car washes in one acquisition. The transaction was for an immaterial amount of cash consideration, and we do not believe the acquisition is material to our overall consolidated financial statements. The cash consideration for the transaction is included in purchases of property and equipment in the investing activities on face of the statement of cash flows.</w:t>
      </w:r>
    </w:p>
    <w:tbl>
      <w:tblPr>
        <w:tblW w:w="5395" w:type="dxa"/>
        <w:jc w:val="left"/>
        <w:tblInd w:w="0" w:type="dxa"/>
        <w:tblLayout w:type="fixed"/>
        <w:tblCellMar>
          <w:top w:w="28" w:type="dxa"/>
          <w:left w:w="28" w:type="dxa"/>
          <w:bottom w:w="28" w:type="dxa"/>
          <w:right w:w="28" w:type="dxa"/>
        </w:tblCellMar>
      </w:tblPr>
      <w:tblGrid>
        <w:gridCol w:w="2071"/>
        <w:gridCol w:w="146"/>
        <w:gridCol w:w="1591"/>
        <w:gridCol w:w="146"/>
        <w:gridCol w:w="144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Location (Seller)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Washes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Month Acquired</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 (Whistle Express)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w:t>
            </w:r>
          </w:p>
        </w:tc>
      </w:tr>
    </w:tbl>
    <w:p>
      <w:pPr>
        <w:pStyle w:val="Heading2"/>
        <w:bidi w:val="0"/>
        <w:spacing w:before="240" w:after="283"/>
        <w:jc w:val="left"/>
        <w:rPr>
          <w:rFonts w:ascii="Times New Roman" w:hAnsi="Times New Roman"/>
          <w:i/>
          <w:color w:val="231F20"/>
          <w:sz w:val="20"/>
        </w:rPr>
      </w:pPr>
      <w:r>
        <w:rPr>
          <w:rFonts w:ascii="Times New Roman" w:hAnsi="Times New Roman"/>
          <w:i/>
          <w:color w:val="231F20"/>
          <w:sz w:val="20"/>
        </w:rPr>
        <w:t>2024 Acquisitions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For the year ended December 31, 2024, we did not consummate any acquisitions.</w:t>
      </w:r>
    </w:p>
    <w:p>
      <w:pPr>
        <w:pStyle w:val="TextBody"/>
        <w:bidi w:val="0"/>
        <w:spacing w:before="120" w:after="283"/>
        <w:jc w:val="left"/>
        <w:rPr>
          <w:rFonts w:ascii="Times New Roman" w:hAnsi="Times New Roman"/>
          <w:sz w:val="20"/>
        </w:rPr>
      </w:pPr>
      <w:r>
        <w:rPr>
          <w:rFonts w:ascii="Times New Roman" w:hAnsi="Times New Roman"/>
          <w:b/>
          <w:color w:val="000000"/>
          <w:sz w:val="20"/>
        </w:rPr>
        <w:t>17. 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w:t>
      </w:r>
      <w:r>
        <w:rPr>
          <w:rFonts w:ascii="Times New Roman" w:hAnsi="Times New Roman"/>
          <w:color w:val="231F20"/>
          <w:sz w:val="20"/>
        </w:rPr>
        <w:t>or the years ended December 31, 2025, 2024, and 2023, total fees and expenses paid by the Company to Leonard Green Partners (“LGP”), the majority owner of the Company were not material. Fees and expenses paid to LGP are included in general and administrative expenses in the accompanying consolidated statements of operations and comprehensive income.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18. Commitments and Contingencies</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Litigation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we are party to pending or threatened lawsuits arising out of or incident to the ordinary course of business. We carry professional and general liability insurance coverage and other insurance coverages. In the opinion of management and upon consultation with legal counsel, none of the pending or threatened lawsuits will have a material effect upon the consolidated financial position, operations, or cash flows of the Company.</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Insurance</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We carry a broad range of insurance coverage, including general and business auto liability, commercial property, workers’ compensation, cyber risk, directors and officers, and general umbrella policies. As of December 31, 2025 and 2024, we accrued </w:t>
      </w:r>
      <w:r>
        <w:rPr>
          <w:rFonts w:ascii="Times New Roman" w:hAnsi="Times New Roman"/>
          <w:color w:val="000000"/>
          <w:sz w:val="20"/>
        </w:rPr>
        <w:t xml:space="preserve">$6,027 and </w:t>
      </w:r>
      <w:r>
        <w:rPr>
          <w:rFonts w:ascii="Times New Roman" w:hAnsi="Times New Roman"/>
          <w:color w:val="231F20"/>
          <w:sz w:val="20"/>
        </w:rPr>
        <w:t xml:space="preserve">$4,803, respectively, for assessments on insurance claims filed, which are included in other accrued expenses in the accompanying consolidated balance sheets. As of December 31, 2025 and 2024, we recorded $4,921 </w:t>
      </w:r>
      <w:r>
        <w:rPr>
          <w:rFonts w:ascii="Times New Roman" w:hAnsi="Times New Roman"/>
          <w:color w:val="000000"/>
          <w:sz w:val="20"/>
        </w:rPr>
        <w:t>and</w:t>
      </w:r>
      <w:r>
        <w:rPr>
          <w:rFonts w:ascii="Times New Roman" w:hAnsi="Times New Roman"/>
          <w:color w:val="231F20"/>
          <w:sz w:val="20"/>
        </w:rPr>
        <w:t xml:space="preserve"> $4,250, respectively, in other receivables from our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Environmental Matters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Operations at certain facilities currently or previously owned or leased by us utilize, or in the past have utilized, hazardous substances generally in compliance with applicable law. Periodically, we have had minor claims asserted against us by regulatory agencies or private parties for environmental matters relating to the handling of hazardous substances by us, and we have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December 31, 2025.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its consolidated financial statements.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December 31, 2025 and 2024,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recorded an environmental remediation accrual of $194 and $25, respectively, which is included in other accrued expenses in the accompanying consolidated balance sheets.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19.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as one operating segment where it derives its revenues from activities related to providing car wash services at its car wash locations that are geographically diversified throughout the United States and have similar economic characteristics and nature of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assess consolidated performance the chief operating decision maker (“CODM”), who is the Chief Executive Officer, evaluates the operating results and performance through net income. Our CODM regularly reviews net income as reported on the consolidated statement of operations and total assets as reported on the consolidated balance sheet for purposes of evaluating performance, allocating resources, setting incentive compensation targets, and planning and forecasting future periods. As presented on the consolidated statements of operations and comprehensive income, the CODM views consolidated expense information related to the cost of labor and chemicals, other store operating expenses, and general and administrative expenses to be significant and there are no other significant segment expenses or items that would require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 Subsequent Events</w:t>
      </w:r>
    </w:p>
    <w:p>
      <w:pPr>
        <w:pStyle w:val="Heading2"/>
        <w:bidi w:val="0"/>
        <w:spacing w:before="120" w:after="283"/>
        <w:jc w:val="left"/>
        <w:rPr>
          <w:rFonts w:ascii="Times New Roman" w:hAnsi="Times New Roman"/>
          <w:sz w:val="20"/>
        </w:rPr>
      </w:pPr>
      <w:r>
        <w:rPr>
          <w:rFonts w:ascii="Times New Roman" w:hAnsi="Times New Roman"/>
          <w:i/>
          <w:color w:val="231F20"/>
          <w:sz w:val="20"/>
        </w:rPr>
        <w:t>Merger Agreement</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17, 2026, we entered into an Agreement and Plan of Merger (the “Merger Agreement”) with MCW Parent, LP, a Delaware limited partnership (“Parent”), Boson Merger Sub, Inc., a Delaware corporation and wholly owned subsidiary of Parent (“Merger Sub”, and together with Parent, the “Buyer Parties”), and, solely for purposes of the Borrower Provisions (as defined in the Merger Agreement), one of our wholly owned subsidiaries, Mister Car Wash Holdings, Inc. a Delaware corporation (“Borrower”), pursuant to which, on the terms and subject to the satisfaction or waiver of the conditions set forth therein, Merger Sub will be merged with and into the Company, with the Company continuing as the surviving corporation (the “Merger”). The Merger has been approved by the board of directors of the Company, acting upon the recommendation of a special committee of the board of directors consisting only of directors that the board of directors determined to each be a “disinterested director” (as defined in Section 144 of the General Corporation Law of the State of Delaware (the “DGCL”)) with respect to the transactions contemplated by the Merger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Merger is completed, our common stock will no longer be listed on The Nasdaq Stock Market LLC and we will become a privately held company, owned by investment funds managed by Leonard Green &amp; Partners, L.P. (“LGP”), and deregistered under the Securities and Exchange Act of 1934, as amended.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Merger Agreement, neither Mister Car Wash, on the one hand, nor the Buyer Parties, on the other hand, are required to consummate the Merger prior to April 20, 2026. The Merger is expected to close in the first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Merger Agreement, at the effective time of the Merger (the “Effective Time”), (i) each share of our common stock that is outstanding as of immediately prior to the Effective Time (other than shares of our common stock described in clauses (ii) or (iii) of this sentence) will be cancelled and extinguished and automatically converted into the right to receive cash in an amount per share equal to $7.00, without interest thereon (the “Per Share Price”), (ii) each share of our common stock that is (a) held by us as treasury stock or (b) owned by the Buyer Parties or any of their direct or indirect subsidiaries as of immediately prior to the Effective Time, including the shares of our common stock held by investment funds affiliated with LGP and the shares contributed to Parent by Company executives who execute a Management Rollover Agreement (as defined in the Merger Agreement), if any, will automatically be cancelled and extinguished without any conversion thereof or consideration paid therefor, and (iii) each share of our common stock that is issued and outstanding as of immediately prior to the Effective Time and held by any person or entity (including a “beneficial owner”) who has validly demanded and not validly withdrawn or otherwise lost its statutory appraisal rights in respect of such share in accordance with Section 262 of the DGCL (such shares, “Dissenting Company Shares”) will not be converted into, or represent the right to receive, the Per Share Price, and will instead be entitled to receive payment of the appraised value of such Dissenting Company Shares in accordance with the provisions of Section 262 of the DGCL.</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rFonts w:ascii="Times New Roman" w:hAnsi="Times New Roman"/>
          <w:i/>
          <w:color w:val="231F20"/>
          <w:sz w:val="20"/>
        </w:rPr>
      </w:pPr>
      <w:r>
        <w:rPr>
          <w:rFonts w:ascii="Times New Roman" w:hAnsi="Times New Roman"/>
          <w:i/>
          <w:color w:val="231F20"/>
          <w:sz w:val="20"/>
        </w:rPr>
        <w:t>Commitment Letter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Parent has obtained debt financing commitments for the purpose of financing the transactions contemplated by the Merger Agreement and paying related fees and expenses. Certain financial institutions have severally committed to provide Borrower with a $900 million senior secured first lien incremental term loan facility under the Credit Agreement, on the terms set forth in the related debt commitment letter. The obligations of such financial institutions to provide debt financing under the debt commitment letter are subject to a number of customary conditions. Pursuant to the Merger Agreement, the Company is required to provide Parent with customary cooperation in connection with the debt financing.</w:t>
      </w:r>
    </w:p>
    <w:p>
      <w:pPr>
        <w:pStyle w:val="TextBody"/>
        <w:bidi w:val="0"/>
        <w:spacing w:before="120" w:after="283"/>
        <w:jc w:val="left"/>
        <w:rPr>
          <w:rFonts w:ascii="Times New Roman" w:hAnsi="Times New Roman"/>
          <w:b/>
          <w:color w:val="000000"/>
          <w:sz w:val="20"/>
          <w:u w:val="single"/>
        </w:rPr>
      </w:pPr>
      <w:bookmarkStart w:id="28" w:name="item9_changes_in_and_disagreements_with"/>
      <w:bookmarkEnd w:id="28"/>
      <w:r>
        <w:rPr>
          <w:rFonts w:ascii="Times New Roman" w:hAnsi="Times New Roman"/>
          <w:b/>
          <w:color w:val="000000"/>
          <w:sz w:val="20"/>
          <w:u w:val="single"/>
        </w:rPr>
        <w:t>Item 9. Changes in and Disagreements with Accountants on Accounting and Financial Disclosure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u w:val="single"/>
        </w:rPr>
      </w:pPr>
      <w:bookmarkStart w:id="29" w:name="item9a_controls_and_procedures"/>
      <w:bookmarkEnd w:id="29"/>
      <w:r>
        <w:rPr>
          <w:rFonts w:ascii="Times New Roman" w:hAnsi="Times New Roman"/>
          <w:b/>
          <w:color w:val="000000"/>
          <w:sz w:val="20"/>
          <w:u w:val="single"/>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ensure that the information we must disclose in our filings with the SEC is recorded, processed, summarized and reported on a timely basis, we have developed and implemented disclosure controls and procedures. Our management, with the participation of our President and Chief Executive Officer and Chief Financial Officer, has evaluated the effectiveness of our disclosure controls and procedures (as such term is defined in Rules 13a-15(e) and 15d-15(e) under the Exchange Act as of the end of the period covered by this Annual Report on Form 10-K. Based on that evaluation, our management, including the President and Chief Executive Officer and Chief Financial Officer, has concluded that our disclosure controls and procedures were effective as of December 31, 2025 in ensuring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controls over financial reporting that occurred during the fourth quarter of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 13a-15(f).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criteria set forth by the Committee of Sponsoring Organizations of the Treadway Commission (COSO) in Internal Control-Integrated Framework (2013 framework), our management assessed the effectiveness of our internal control over financial reporting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assessment, management concluded that, as of December 31, 2025, our internal control over financial reporting was effective to provide reasonable assurance regarding the reliability of financial reporting and the preparation of financial statements for external purposes in accordance with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independent registered public accounting firm, Deloitte &amp; Touche LLP, has also audited the effectiveness of our internal control over financial reporting as of December 31, 2025. Their report is included herein.</w:t>
      </w:r>
    </w:p>
    <w:p>
      <w:pPr>
        <w:pStyle w:val="TextBody"/>
        <w:bidi w:val="0"/>
        <w:spacing w:before="12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20" w:after="283"/>
        <w:jc w:val="center"/>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To the stockholders and the Board of Directors of Mister Car Wash, Inc.: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internal control over financial reporting of Mister Car Wash, Inc. and subsidiaries (the “Company”)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27, 2026, expressed an unqualified opinion on those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Tempe, Arizona </w:t>
      </w:r>
      <w:r>
        <w:rPr>
          <w:rFonts w:ascii="Verdana;sans-serif" w:hAnsi="Verdana;sans-serif"/>
          <w:color w:val="000000"/>
          <w:sz w:val="18"/>
        </w:rPr>
        <w:br/>
      </w:r>
      <w:r>
        <w:rPr>
          <w:rFonts w:ascii="Times New Roman" w:hAnsi="Times New Roman"/>
          <w:color w:val="000000"/>
          <w:sz w:val="20"/>
        </w:rPr>
        <w:t>February 27, 2026</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30" w:name="item9b_other_information"/>
      <w:bookmarkEnd w:id="30"/>
      <w:r>
        <w:rPr>
          <w:rFonts w:ascii="Times New Roman" w:hAnsi="Times New Roman"/>
          <w:b/>
          <w:color w:val="000000"/>
          <w:sz w:val="20"/>
          <w:u w:val="single"/>
        </w:rPr>
        <w:t>Item 9B.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December 31, 2025, none of our directors or officers (as defined in Rule 16a-1 of the Exchange Act) adopted, modified or terminated a Rule 10b5-1 trading arrangement or a non-Rule 10b5-1 trading arrangement (as such terms are defined under Item 408 of Regulation S-K).</w:t>
      </w:r>
    </w:p>
    <w:p>
      <w:pPr>
        <w:pStyle w:val="TextBody"/>
        <w:bidi w:val="0"/>
        <w:spacing w:before="120" w:after="283"/>
        <w:jc w:val="left"/>
        <w:rPr>
          <w:rFonts w:ascii="Times New Roman" w:hAnsi="Times New Roman"/>
          <w:b/>
          <w:color w:val="000000"/>
          <w:sz w:val="20"/>
          <w:u w:val="single"/>
        </w:rPr>
      </w:pPr>
      <w:bookmarkStart w:id="31" w:name="item9c_disclosure_regarding_foreign"/>
      <w:bookmarkEnd w:id="31"/>
      <w:r>
        <w:rPr>
          <w:rFonts w:ascii="Times New Roman" w:hAnsi="Times New Roman"/>
          <w:b/>
          <w:color w:val="000000"/>
          <w:sz w:val="20"/>
          <w:u w:val="single"/>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32" w:name="part_iii"/>
      <w:bookmarkEnd w:id="32"/>
      <w:r>
        <w:rPr>
          <w:rFonts w:ascii="Times New Roman" w:hAnsi="Times New Roman"/>
          <w:color w:val="000000"/>
          <w:sz w:val="20"/>
        </w:rPr>
        <w:t>PART III</w:t>
      </w:r>
    </w:p>
    <w:p>
      <w:pPr>
        <w:pStyle w:val="TextBody"/>
        <w:bidi w:val="0"/>
        <w:spacing w:before="120" w:after="283"/>
        <w:jc w:val="left"/>
        <w:rPr>
          <w:rFonts w:ascii="Times New Roman" w:hAnsi="Times New Roman"/>
          <w:b/>
          <w:color w:val="000000"/>
          <w:sz w:val="20"/>
          <w:u w:val="single"/>
        </w:rPr>
      </w:pPr>
      <w:bookmarkStart w:id="33" w:name="item10_directors_executive_officers_and"/>
      <w:bookmarkEnd w:id="33"/>
      <w:r>
        <w:rPr>
          <w:rFonts w:ascii="Times New Roman" w:hAnsi="Times New Roman"/>
          <w:b/>
          <w:color w:val="000000"/>
          <w:sz w:val="20"/>
          <w:u w:val="single"/>
        </w:rPr>
        <w:t>Item 10. Directors, Executive Officers and Corporate Governance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Policy and Procedures</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Mister Car Wash has an insider trading policy governing the purchase, sale and other dispositions of Mister Car Wash’s securities that applies to all personnel of Mister Car Wash and its subsidiaries, including directors, officers and employees and other covered persons, as well as the Company itself. Mister Car Wash believes that its insider trading policy is reasonably designed to promote compliance with insider trading laws, rules and regulations, as well as applicable listing standards. A copy of Mister Car Wash’s insider trading policy is filed as Exhibit 19.1 to this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Code of Conduct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of directors has adopted a code of conduct (the “Code of Conduct”) applicable to all of our officers, directors, and employees. Our Code of Conduct is available on our website at </w:t>
      </w:r>
      <w:r>
        <w:rPr>
          <w:rFonts w:ascii="Times New Roman" w:hAnsi="Times New Roman"/>
          <w:i/>
          <w:color w:val="000000"/>
          <w:sz w:val="20"/>
        </w:rPr>
        <w:t>www.mistercarwash.com</w:t>
      </w:r>
      <w:r>
        <w:rPr>
          <w:rFonts w:ascii="Times New Roman" w:hAnsi="Times New Roman"/>
          <w:color w:val="000000"/>
          <w:sz w:val="20"/>
        </w:rPr>
        <w:t xml:space="preserve"> under Investor Relations. Our Code of Conduct is a “code of ethics” as defined in Item 406(b) of Regulation S-K. We intend to make any legally required disclosures regarding amendments to, or waivers of, provisions of our Code of Conduct on our website.</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The other information required by this Item is incorporated herein by reference to the applicable information in our Proxy Statement with respect to our 2026 Annual Meeting of Stockholders, to be filed with the SEC within 120 days after the end of our fiscal year covered by this Annual Report on Form 10-K.</w:t>
      </w:r>
    </w:p>
    <w:p>
      <w:pPr>
        <w:pStyle w:val="TextBody"/>
        <w:bidi w:val="0"/>
        <w:spacing w:before="120" w:after="283"/>
        <w:jc w:val="left"/>
        <w:rPr>
          <w:rFonts w:ascii="Times New Roman" w:hAnsi="Times New Roman"/>
          <w:b/>
          <w:color w:val="000000"/>
          <w:sz w:val="20"/>
          <w:u w:val="single"/>
        </w:rPr>
      </w:pPr>
      <w:bookmarkStart w:id="34" w:name="item11_executive_compensation"/>
      <w:bookmarkEnd w:id="34"/>
      <w:r>
        <w:rPr>
          <w:rFonts w:ascii="Times New Roman" w:hAnsi="Times New Roman"/>
          <w:b/>
          <w:color w:val="000000"/>
          <w:sz w:val="20"/>
          <w:u w:val="single"/>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responsive to this Item 11 is incorporated herein by reference to our Proxy Statement, Information Statement or 10-K/A, as applicable, to be filed with the SEC within 120 days after the end of our fiscal year covered by this Annual Report on Form 10-K.</w:t>
      </w:r>
    </w:p>
    <w:p>
      <w:pPr>
        <w:pStyle w:val="TextBody"/>
        <w:bidi w:val="0"/>
        <w:spacing w:before="120" w:after="283"/>
        <w:jc w:val="left"/>
        <w:rPr>
          <w:rFonts w:ascii="Times New Roman" w:hAnsi="Times New Roman"/>
          <w:b/>
          <w:color w:val="000000"/>
          <w:sz w:val="20"/>
          <w:u w:val="single"/>
        </w:rPr>
      </w:pPr>
      <w:bookmarkStart w:id="35" w:name="item12_security_ownership_of_certain_be"/>
      <w:bookmarkEnd w:id="35"/>
      <w:r>
        <w:rPr>
          <w:rFonts w:ascii="Times New Roman" w:hAnsi="Times New Roman"/>
          <w:b/>
          <w:color w:val="000000"/>
          <w:sz w:val="20"/>
          <w:u w:val="single"/>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responsive to this Item 12 is incorporated herein by reference to our Proxy Statement, Information Statement or 10-K/A, as applicable, to be filed with the SEC within 120 days after the end of our fiscal year covered by this Annual Report on Form 10-K.</w:t>
      </w:r>
    </w:p>
    <w:p>
      <w:pPr>
        <w:pStyle w:val="TextBody"/>
        <w:bidi w:val="0"/>
        <w:spacing w:before="120" w:after="283"/>
        <w:jc w:val="left"/>
        <w:rPr>
          <w:rFonts w:ascii="Times New Roman" w:hAnsi="Times New Roman"/>
          <w:b/>
          <w:color w:val="000000"/>
          <w:sz w:val="20"/>
          <w:u w:val="single"/>
        </w:rPr>
      </w:pPr>
      <w:bookmarkStart w:id="36" w:name="item13_certain_relationships_and_relate"/>
      <w:bookmarkEnd w:id="36"/>
      <w:r>
        <w:rPr>
          <w:rFonts w:ascii="Times New Roman" w:hAnsi="Times New Roman"/>
          <w:b/>
          <w:color w:val="000000"/>
          <w:sz w:val="20"/>
          <w:u w:val="single"/>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responsive to this Item 13 is incorporated herein by reference to our Proxy Statement, Information Statement or 10-K/A, as applicable, to be filed with the SEC within 120 days after the end of our fiscal year covered by this Annual Report on Form 10-K.</w:t>
      </w:r>
    </w:p>
    <w:p>
      <w:pPr>
        <w:pStyle w:val="TextBody"/>
        <w:bidi w:val="0"/>
        <w:spacing w:before="120" w:after="283"/>
        <w:jc w:val="left"/>
        <w:rPr>
          <w:rFonts w:ascii="Times New Roman" w:hAnsi="Times New Roman"/>
          <w:b/>
          <w:color w:val="000000"/>
          <w:sz w:val="20"/>
          <w:u w:val="single"/>
        </w:rPr>
      </w:pPr>
      <w:bookmarkStart w:id="37" w:name="item14_principal_accountant_fees_and_ser"/>
      <w:bookmarkEnd w:id="37"/>
      <w:r>
        <w:rPr>
          <w:rFonts w:ascii="Times New Roman" w:hAnsi="Times New Roman"/>
          <w:b/>
          <w:color w:val="000000"/>
          <w:sz w:val="20"/>
          <w:u w:val="single"/>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Deloitte &amp; Touche LLP (PCAOB ID No. 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responsive to this Item 14 is incorporated herein by reference to our Proxy Statement, Information Statement or 10-K/A, as applicable, to be filed with the SEC within 120 days after the end of our fiscal year covered by this Annual Report on Form 10-K.</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center"/>
        <w:rPr>
          <w:rFonts w:ascii="Times New Roman" w:hAnsi="Times New Roman"/>
          <w:color w:val="000000"/>
          <w:sz w:val="20"/>
        </w:rPr>
      </w:pPr>
      <w:bookmarkStart w:id="38" w:name="partiv"/>
      <w:bookmarkEnd w:id="38"/>
      <w:r>
        <w:rPr>
          <w:rFonts w:ascii="Times New Roman" w:hAnsi="Times New Roman"/>
          <w:color w:val="000000"/>
          <w:sz w:val="20"/>
        </w:rPr>
        <w:t>PART IV</w:t>
      </w:r>
    </w:p>
    <w:p>
      <w:pPr>
        <w:pStyle w:val="TextBody"/>
        <w:bidi w:val="0"/>
        <w:spacing w:before="120" w:after="283"/>
        <w:jc w:val="left"/>
        <w:rPr>
          <w:rFonts w:ascii="Times New Roman" w:hAnsi="Times New Roman"/>
          <w:b/>
          <w:color w:val="000000"/>
          <w:sz w:val="20"/>
          <w:u w:val="single"/>
        </w:rPr>
      </w:pPr>
      <w:bookmarkStart w:id="39" w:name="item15_exhibits_financial_statement"/>
      <w:bookmarkEnd w:id="39"/>
      <w:r>
        <w:rPr>
          <w:rFonts w:ascii="Times New Roman" w:hAnsi="Times New Roman"/>
          <w:b/>
          <w:color w:val="000000"/>
          <w:sz w:val="20"/>
          <w:u w:val="single"/>
        </w:rPr>
        <w:t>Item 15. Exhibits, Financial Statement Schedules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financial statements: All consolidated financial statements as set forth under Part II, Item 8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Supplementary Financial Statement Schedules: Supplementary schedules have not been included because they are not applicable or because the information is included elsewhere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tbl>
      <w:tblPr>
        <w:tblW w:w="10205" w:type="dxa"/>
        <w:jc w:val="left"/>
        <w:tblInd w:w="0" w:type="dxa"/>
        <w:tblLayout w:type="fixed"/>
        <w:tblCellMar>
          <w:top w:w="28" w:type="dxa"/>
          <w:left w:w="28" w:type="dxa"/>
          <w:bottom w:w="28" w:type="dxa"/>
          <w:right w:w="28" w:type="dxa"/>
        </w:tblCellMar>
      </w:tblPr>
      <w:tblGrid>
        <w:gridCol w:w="706"/>
        <w:gridCol w:w="146"/>
        <w:gridCol w:w="5766"/>
        <w:gridCol w:w="518"/>
        <w:gridCol w:w="784"/>
        <w:gridCol w:w="638"/>
        <w:gridCol w:w="595"/>
        <w:gridCol w:w="105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8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59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0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Filed or Furnished Herewith</w:t>
            </w:r>
            <w:r>
              <w:rPr>
                <w:rFonts w:ascii="Times New Roman" w:hAnsi="Times New Roman"/>
                <w:color w:val="000000"/>
                <w:sz w:val="16"/>
              </w:rPr>
              <w:t xml:space="preserve"> </w:t>
            </w:r>
          </w:p>
        </w:tc>
      </w:tr>
      <w:tr>
        <w:trPr/>
        <w:tc>
          <w:tcPr>
            <w:tcW w:w="70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Equity Purchase Agreement, dated December 8, 2021, by and among Sunshine Acquisition Sub Corp., Clean Streak Ventures, LLC, MDKMH Partners, Inc., Clean Streak Ventures Intermediate Holdco, LLC (the “CSV Seller”), MKH Capital Partners Offshore Fund I, LP (the “CSV Blocker Seller” and together with the CSV Seller, each a “Seller” and together the “Sellers”), and Clean Streak Ventures Holdco, LLC, as the representative of the Sellers.</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05/13/2022</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as of February 17, 2026, by and among Mister Car Wash, Inc., MCW Parent, LP, Boson Merger Sub, Inc. and Mister Car Wash Holdings, Inc.</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02/18/2026</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Certificate of Incorporation of the Company</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9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06/01/2022</w:t>
            </w:r>
          </w:p>
          <w:p>
            <w:pPr>
              <w:pStyle w:val="TableContents"/>
              <w:bidi w:val="0"/>
              <w:spacing w:before="0" w:after="283"/>
              <w:jc w:val="center"/>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to Amended and Restated Certificate of Incorporation</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06/01/2023</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of the Company</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07/02/2021</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Capital Stock</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02/21/2025</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Shareholders Agreement, dated June 29, 2021, among the Company and certain of its shareholders</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07/02/2021</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Second Amendment to the First Lien Term Loan Agreement, dated June 4, 2021, by and among Mister Car Wash Holdings, Inc. and the parties thereto named therein</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10.1(b)</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6/17/2021</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First Lien Term Loan Agreement, dated May 14, 2019, by and among Mister Car Wash Holdings, Inc. and the parties thereto named therein</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06/02/2021</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First Amendment to the Amended and Restated First Lien Term Loan Agreement, dated February 5, 2020, by and among Mister Car Wash Holdings, Inc. and the parties thereto named therein</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10.1(a)</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06/02/2021</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Second Amendment to the First Lien Term Loan Agreement, dated June 4, 2021, by and among Mister Car Wash Holdings, Inc. and the parties thereto named therein</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06/02/2021</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Third Amendment to the First Lien Term Loan Agreement, dated December 8, 2021, by and among</w:t>
              </w:r>
            </w:hyperlink>
            <w:hyperlink r:id="rId16">
              <w:r>
                <w:rPr>
                  <w:rStyle w:val="InternetLink"/>
                  <w:rFonts w:ascii="Times New Roman" w:hAnsi="Times New Roman"/>
                  <w:color w:val="0000FF"/>
                  <w:sz w:val="20"/>
                </w:rPr>
                <w:t xml:space="preserve"> </w:t>
              </w:r>
            </w:hyperlink>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03/25/2022</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6478"/>
        <w:gridCol w:w="428"/>
        <w:gridCol w:w="881"/>
        <w:gridCol w:w="652"/>
        <w:gridCol w:w="735"/>
        <w:gridCol w:w="299"/>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Mister Car Wash Holdings, Inc. and the parties thereto named therein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jc w:val="left"/>
              <w:rPr/>
            </w:pPr>
            <w:hyperlink r:id="rId18">
              <w:r>
                <w:rPr>
                  <w:rStyle w:val="InternetLink"/>
                  <w:rFonts w:ascii="Times New Roman" w:hAnsi="Times New Roman"/>
                  <w:color w:val="0000FF"/>
                  <w:sz w:val="20"/>
                  <w:u w:val="single"/>
                </w:rPr>
                <w:t>Fourth Amendment to the First Lien Term Loan Agreement, dated December 12, 2022, by and among Mister Car Wash Holdings, Inc. and the parties thereto named therein</w:t>
              </w:r>
            </w:hyperlink>
          </w:p>
          <w:p>
            <w:pPr>
              <w:pStyle w:val="TableContents"/>
              <w:bidi w:val="0"/>
              <w:spacing w:before="12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02/24/2023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5 to the First Lien Term Loan Agreement, dated March 27, 2024, by and among Mister Car Wash Holdings, Inc., and the parties thereto named therein.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04/01/2024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Amendment No. 6 to the First Lien Term Loan Agreement, dated November 26, 2024, by and among Mister Car Wash Holdings, Inc., and the parties thereto named therein.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12/03/2024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10.11</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2014 Stock Option Plan of Hotshine Holdings, Inc.</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06/02/2021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Option Agreement under the 2014 Stock Option Plan of Hotshine Holdings, Inc. Form of Option Agreement under the 2014 Stock Option Plan of Hotshine Holdings, Inc.</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10.3(a)1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06/02/2021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10.12</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Mister Car Wash, Inc. 2021 Incentive Award Plan</w:t>
              </w:r>
            </w:hyperlink>
            <w:hyperlink r:id="rId24">
              <w:r>
                <w:rPr>
                  <w:rStyle w:val="InternetLink"/>
                  <w:rFonts w:ascii="Times New Roman" w:hAnsi="Times New Roman"/>
                  <w:color w:val="0000FF"/>
                  <w:sz w:val="20"/>
                </w:rPr>
                <w:t xml:space="preserve"> </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10.13</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Mister Car Wash, Inc. 2021 Employee Stock Purchase Plan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10.14</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Mister Car Wash, Inc. Executive Severance Plan</w:t>
              </w:r>
            </w:hyperlink>
            <w:r>
              <w:rPr>
                <w:rFonts w:ascii="Times New Roman" w:hAnsi="Times New Roman"/>
                <w:color w:val="000000"/>
                <w:sz w:val="20"/>
              </w:rPr>
              <w:t xml:space="preserve">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02/21/2025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10.15</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Non-Employee Director Compensation Policy</w:t>
              </w:r>
            </w:hyperlink>
            <w:hyperlink r:id="rId28">
              <w:r>
                <w:rPr>
                  <w:rStyle w:val="InternetLink"/>
                  <w:rFonts w:ascii="Times New Roman" w:hAnsi="Times New Roman"/>
                  <w:color w:val="0000FF"/>
                  <w:sz w:val="20"/>
                </w:rPr>
                <w:t xml:space="preserve"> </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10.16</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Indemnification and Advancement Agreement</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10.17</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 xml:space="preserve">Employment Agreement with John Lai </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03/25/2022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10.18</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Option Agreement under the Mister Car Wash, Inc. 2021 Incentive Award Plan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02/21/2025</w:t>
            </w:r>
          </w:p>
        </w:tc>
        <w:tc>
          <w:tcPr>
            <w:tcW w:w="299"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10.19</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RSU Agreement under the Mister Car Wash, Inc. 2021 Incentive Award Plan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02/21/2025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10.20</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Mister Car Wash, Inc. 2021 Employee Stock Purchase Plan</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333-256697</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06/17/2021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10.21</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Car Wash Partners, Inc. Nonqualified Deferred Compensation Plan, as amended and restated effective January 1, 2022</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05/03/2023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10.22</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Offer Letter with Mary Porter</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02/23/2024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10.23</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Offer Letter with Carlos Chavez</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02/21/2025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10.24</w:t>
            </w:r>
            <w:r>
              <w:rPr>
                <w:rFonts w:ascii="Times New Roman" w:hAnsi="Times New Roman"/>
                <w:color w:val="000000"/>
                <w:sz w:val="2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Transition and Severance Agreement, effective as of January 6, 2025, by and between Mister Car Wash, Inc. and Markus Hartmann</w:t>
              </w:r>
            </w:hyperlink>
            <w:hyperlink r:id="rId38">
              <w:r>
                <w:rPr>
                  <w:rStyle w:val="InternetLink"/>
                  <w:rFonts w:ascii="Times New Roman" w:hAnsi="Times New Roman"/>
                  <w:color w:val="0000FF"/>
                  <w:sz w:val="20"/>
                </w:rPr>
                <w:t xml:space="preserve"> </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01/29/2025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Mister Car Wash, Inc. Insider Trading Policy</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2/21/2025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21_1.htm">
              <w:r>
                <w:rPr>
                  <w:rStyle w:val="InternetLink"/>
                  <w:rFonts w:ascii="Times New Roman" w:hAnsi="Times New Roman"/>
                  <w:color w:val="0000FF"/>
                  <w:sz w:val="20"/>
                  <w:u w:val="single"/>
                </w:rPr>
                <w:t>List of subsidiaries of Mister Car Wash, Inc.</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23_1.htm">
              <w:r>
                <w:rPr>
                  <w:rStyle w:val="InternetLink"/>
                  <w:rFonts w:ascii="Times New Roman" w:hAnsi="Times New Roman"/>
                  <w:color w:val="0000FF"/>
                  <w:sz w:val="20"/>
                  <w:u w:val="single"/>
                </w:rPr>
                <w:t>Consent of Deloitte &amp; Touche LLP, independent registered public accounting firm</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1.htm">
              <w:r>
                <w:rPr>
                  <w:rStyle w:val="InternetLink"/>
                  <w:rFonts w:ascii="Times New Roman" w:hAnsi="Times New Roman"/>
                  <w:color w:val="0000FF"/>
                  <w:sz w:val="20"/>
                  <w:u w:val="single"/>
                </w:rPr>
                <w:t>Certification of Chief Executive Officer pursuant to Rule 13a-14(a)/15d-14(a)</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1_2.htm">
              <w:r>
                <w:rPr>
                  <w:rStyle w:val="InternetLink"/>
                  <w:rFonts w:ascii="Times New Roman" w:hAnsi="Times New Roman"/>
                  <w:color w:val="0000FF"/>
                  <w:sz w:val="20"/>
                  <w:u w:val="single"/>
                </w:rPr>
                <w:t>Certification of Chief Financial Officer pursuant to Rule 13a-14(a)/15d-14(a).</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1.htm">
              <w:r>
                <w:rPr>
                  <w:rStyle w:val="InternetLink"/>
                  <w:rFonts w:ascii="Times New Roman" w:hAnsi="Times New Roman"/>
                  <w:color w:val="0000FF"/>
                  <w:sz w:val="20"/>
                  <w:u w:val="single"/>
                </w:rPr>
                <w:t>Certification of Chief Executive Officer pursuant to 18 U.S.C. Section 1350.</w:t>
              </w:r>
            </w:hyperlink>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
        <w:gridCol w:w="146"/>
        <w:gridCol w:w="6652"/>
        <w:gridCol w:w="433"/>
        <w:gridCol w:w="789"/>
        <w:gridCol w:w="466"/>
        <w:gridCol w:w="754"/>
        <w:gridCol w:w="302"/>
      </w:tblGrid>
      <w:tr>
        <w:trPr/>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cw-ex32_2.htm">
              <w:r>
                <w:rPr>
                  <w:rStyle w:val="InternetLink"/>
                  <w:rFonts w:ascii="Times New Roman" w:hAnsi="Times New Roman"/>
                  <w:color w:val="0000FF"/>
                  <w:sz w:val="20"/>
                  <w:u w:val="single"/>
                </w:rPr>
                <w:t>Certification of Chief Financial Officer pursuant to 18 U.S.C. Section 1350.</w:t>
              </w:r>
            </w:hyperlink>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Mister Car Wash, Inc. Clawback Policy</w:t>
              </w:r>
            </w:hyperlink>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001-40542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02/21/2025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Schedules have been omitted pursuant to Item 601(a)(5) of Regulation S-K. The Company undertakes to furnish supplemental copies of any of the omitted schedules upon request by the SEC. </w:t>
        <w:br/>
        <w:t> </w:t>
      </w:r>
    </w:p>
    <w:p>
      <w:pPr>
        <w:pStyle w:val="TextBody"/>
        <w:bidi w:val="0"/>
        <w:spacing w:before="120" w:after="283"/>
        <w:jc w:val="left"/>
        <w:rPr>
          <w:rFonts w:ascii="Times New Roman" w:hAnsi="Times New Roman"/>
          <w:sz w:val="20"/>
        </w:rPr>
      </w:pPr>
      <w:bookmarkStart w:id="40" w:name="item16_form_10k_summary"/>
      <w:bookmarkEnd w:id="40"/>
      <w:r>
        <w:rPr>
          <w:rFonts w:ascii="Times New Roman" w:hAnsi="Times New Roman"/>
          <w:b/>
          <w:color w:val="000000"/>
          <w:sz w:val="20"/>
          <w:u w:val="single"/>
        </w:rPr>
        <w:t>Item 16. Form 10-K Summary</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Heading1"/>
        <w:bidi w:val="0"/>
        <w:spacing w:before="120" w:after="283"/>
        <w:jc w:val="center"/>
        <w:rPr>
          <w:rFonts w:ascii="Times New Roman" w:hAnsi="Times New Roman"/>
          <w:color w:val="000000"/>
          <w:sz w:val="20"/>
        </w:rPr>
      </w:pPr>
      <w:bookmarkStart w:id="41" w:name="signatures"/>
      <w:bookmarkEnd w:id="41"/>
      <w:r>
        <w:rPr>
          <w:rFonts w:ascii="Times New Roman" w:hAnsi="Times New Roman"/>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6734" w:type="dxa"/>
        <w:jc w:val="left"/>
        <w:tblInd w:w="0" w:type="dxa"/>
        <w:tblLayout w:type="fixed"/>
        <w:tblCellMar>
          <w:top w:w="28" w:type="dxa"/>
          <w:left w:w="28" w:type="dxa"/>
          <w:bottom w:w="28" w:type="dxa"/>
          <w:right w:w="28" w:type="dxa"/>
        </w:tblCellMar>
      </w:tblPr>
      <w:tblGrid>
        <w:gridCol w:w="2086"/>
        <w:gridCol w:w="146"/>
        <w:gridCol w:w="406"/>
        <w:gridCol w:w="409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Mister Car Wash,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Lai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Lai</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Chairman, 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Jedidiah Gold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Jedidiah Gold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120" w:after="283"/>
        <w:jc w:val="left"/>
        <w:rPr/>
      </w:pPr>
      <w:r>
        <w:rPr/>
        <w:t> </w:t>
      </w:r>
    </w:p>
    <w:tbl>
      <w:tblPr>
        <w:tblW w:w="9327" w:type="dxa"/>
        <w:jc w:val="left"/>
        <w:tblInd w:w="0" w:type="dxa"/>
        <w:tblLayout w:type="fixed"/>
        <w:tblCellMar>
          <w:top w:w="28" w:type="dxa"/>
          <w:left w:w="28" w:type="dxa"/>
          <w:bottom w:w="28" w:type="dxa"/>
          <w:right w:w="28" w:type="dxa"/>
        </w:tblCellMar>
      </w:tblPr>
      <w:tblGrid>
        <w:gridCol w:w="1836"/>
        <w:gridCol w:w="232"/>
        <w:gridCol w:w="5491"/>
        <w:gridCol w:w="232"/>
        <w:gridCol w:w="1536"/>
      </w:tblGrid>
      <w:tr>
        <w:trPr/>
        <w:tc>
          <w:tcPr>
            <w:tcW w:w="18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John Lai</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Chairman, President and Chief Executive Officer (principal executive officer)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John Lai</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Jedidiah Gold</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Financial Officer (principal financial and accounting officer)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Jedidiah Gold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John Danhakl</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John Danhakl</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Jonathan Seiffer</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Jonathan Seiffer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 Kristofer Galashan</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 Kristofer Galashan</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Jeffrey Suer</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Jeffrey Suer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6"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Jodi Taylor</w:t>
            </w:r>
          </w:p>
        </w:tc>
        <w:tc>
          <w:tcPr>
            <w:tcW w:w="23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Jodi Taylor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Dorvin Lively</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Dorvin Lively</w:t>
            </w:r>
          </w:p>
        </w:tc>
        <w:tc>
          <w:tcPr>
            <w:tcW w:w="232"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Ronald Kirk</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Ronald Kirk</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Veronica Rogers</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Veronica Rogers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center"/>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/s/ Atif Rafiq</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February 27, 2026</w:t>
            </w:r>
          </w:p>
        </w:tc>
      </w:tr>
      <w:tr>
        <w:trPr/>
        <w:tc>
          <w:tcPr>
            <w:tcW w:w="183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Times New Roman" w:hAnsi="Times New Roman"/>
                <w:color w:val="000000"/>
                <w:sz w:val="16"/>
              </w:rPr>
            </w:pPr>
            <w:r>
              <w:rPr>
                <w:rFonts w:ascii="Times New Roman" w:hAnsi="Times New Roman"/>
                <w:color w:val="000000"/>
                <w:sz w:val="16"/>
              </w:rPr>
              <w:t>Atif Rafiq</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TextBody"/>
        <w:bidi w:val="0"/>
        <w:spacing w:before="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mcw-ex21_1.htm"/>
      <w:bookmarkStart w:id="43" w:name="ksmcwex21_1"/>
      <w:bookmarkEnd w:id="42"/>
      <w:bookmarkEnd w:id="43"/>
      <w:r>
        <w:rPr>
          <w:rFonts w:ascii="Times New Roman" w:hAnsi="Times New Roman"/>
          <w:b/>
          <w:color w:val="000000"/>
          <w:sz w:val="20"/>
        </w:rPr>
        <w:t>Exhibit 21.1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MISTER CAR WASH,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spacing w:before="0" w:after="160"/>
        <w:jc w:val="left"/>
        <w:rPr/>
      </w:pPr>
      <w:r>
        <w:rPr/>
        <w:t> </w:t>
      </w:r>
    </w:p>
    <w:tbl>
      <w:tblPr>
        <w:tblW w:w="5702" w:type="dxa"/>
        <w:jc w:val="left"/>
        <w:tblInd w:w="0" w:type="dxa"/>
        <w:tblLayout w:type="fixed"/>
        <w:tblCellMar>
          <w:top w:w="28" w:type="dxa"/>
          <w:left w:w="28" w:type="dxa"/>
          <w:bottom w:w="28" w:type="dxa"/>
          <w:right w:w="28" w:type="dxa"/>
        </w:tblCellMar>
      </w:tblPr>
      <w:tblGrid>
        <w:gridCol w:w="3076"/>
        <w:gridCol w:w="2626"/>
      </w:tblGrid>
      <w:tr>
        <w:trPr/>
        <w:tc>
          <w:tcPr>
            <w:tcW w:w="307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Name</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Jurisdiction of Incorporation</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MCW GC,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 Shine,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 Wash Headquarters,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 Wash Partners,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Clean Streak Ventures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 Asset Corp.</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 California Corp.</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 Holdings, Inc.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 Management Corp.</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 West,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CWPS Corp.</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CWPU Corp.</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DWB Tucson Holdings,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Hotshine Intermediate Co.</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MDKMH Partners. Inc.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Mesquite Logistics,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Mister Car Wash Holdings, Inc.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 Acquisition Sub Corp.</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Sunshine Acquisition Sub Corp.</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Amzak Carwashes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Acquisition,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Curry Ford,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Opco,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229,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Altamonte,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BBD,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Clermont,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Colonial,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Cutler Bay,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Havendale,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Hillsborough,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Lakeland North,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Lakeland,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Land O Lakes,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Landstar,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Mid Lakeland, LLC</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New Tampa, LLC</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bl>
    <w:p>
      <w:pPr>
        <w:pStyle w:val="HorizontalLine"/>
        <w:pBdr>
          <w:bottom w:val="double" w:sz="2" w:space="0" w:color="808080"/>
        </w:pBdr>
        <w:bidi w:val="0"/>
        <w:spacing w:before="0" w:after="283"/>
        <w:jc w:val="left"/>
        <w:rPr/>
      </w:pPr>
      <w:r>
        <w:rPr/>
      </w:r>
    </w:p>
    <w:tbl>
      <w:tblPr>
        <w:tblW w:w="3767" w:type="dxa"/>
        <w:jc w:val="left"/>
        <w:tblInd w:w="0" w:type="dxa"/>
        <w:tblLayout w:type="fixed"/>
        <w:tblCellMar>
          <w:top w:w="28" w:type="dxa"/>
          <w:left w:w="28" w:type="dxa"/>
          <w:bottom w:w="28" w:type="dxa"/>
          <w:right w:w="28" w:type="dxa"/>
        </w:tblCellMar>
      </w:tblPr>
      <w:tblGrid>
        <w:gridCol w:w="3031"/>
        <w:gridCol w:w="736"/>
      </w:tblGrid>
      <w:tr>
        <w:trPr/>
        <w:tc>
          <w:tcPr>
            <w:tcW w:w="30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Nona,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Oviedo,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Poinciana,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Port Orange,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PSL 9200,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Semoran,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Wesley Chapel,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Propco,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CFCW Red Bug,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Tampa Car Wash Operations,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Acquisition,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Opco,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Bonita,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Colonial,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Daniels,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Goldenwood,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McCall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Naples,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Rattlesnake,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Vintage, LLC</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WFCW Propco, LLC</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r>
    </w:tbl>
    <w:p>
      <w:pPr>
        <w:pStyle w:val="HorizontalLine"/>
        <w:pBdr>
          <w:bottom w:val="double" w:sz="2" w:space="0" w:color="808080"/>
        </w:pBdr>
        <w:bidi w:val="0"/>
        <w:spacing w:before="0" w:after="283"/>
        <w:jc w:val="left"/>
        <w:rPr/>
      </w:pPr>
      <w:r>
        <w:rPr/>
      </w:r>
    </w:p>
    <w:p>
      <w:pPr>
        <w:pStyle w:val="TextBody"/>
        <w:bidi w:val="0"/>
        <w:jc w:val="right"/>
        <w:rPr/>
      </w:pPr>
      <w:bookmarkStart w:id="44" w:name="mcw-ex23_1.htm"/>
      <w:bookmarkStart w:id="45" w:name="ksmcwex23_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333-277588, 333-270270 and 333-257401 on Form S-8 of our reports dated February 27, 2026, relating to the financial statements of Mister Car Wash, Inc., and the effectiveness of Mister Car Wash, Inc.’s internal control over financial reporting appearing in this Annual Report on Form 10-K for the year ended December 31,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Tempe, Arizona</w:t>
        <w:br/>
        <w:t>February 27, 2026</w:t>
      </w:r>
    </w:p>
    <w:p>
      <w:pPr>
        <w:pStyle w:val="HorizontalLine"/>
        <w:pBdr>
          <w:bottom w:val="double" w:sz="2" w:space="0" w:color="808080"/>
        </w:pBdr>
        <w:bidi w:val="0"/>
        <w:spacing w:before="0" w:after="283"/>
        <w:jc w:val="left"/>
        <w:rPr/>
      </w:pPr>
      <w:r>
        <w:rPr/>
      </w:r>
    </w:p>
    <w:p>
      <w:pPr>
        <w:pStyle w:val="TextBody"/>
        <w:bidi w:val="0"/>
        <w:spacing w:before="180" w:after="283"/>
        <w:jc w:val="right"/>
        <w:rPr>
          <w:rFonts w:ascii="Times New Roman" w:hAnsi="Times New Roman"/>
          <w:b/>
          <w:color w:val="000000"/>
          <w:sz w:val="18"/>
        </w:rPr>
      </w:pPr>
      <w:bookmarkStart w:id="46" w:name="bkmk_273"/>
      <w:bookmarkStart w:id="47" w:name="mcw-ex31_1.htm"/>
      <w:bookmarkStart w:id="48" w:name="ksmcwex31_1"/>
      <w:bookmarkEnd w:id="46"/>
      <w:bookmarkEnd w:id="47"/>
      <w:bookmarkEnd w:id="48"/>
      <w:r>
        <w:rPr>
          <w:rFonts w:ascii="Times New Roman" w:hAnsi="Times New Roman"/>
          <w:b/>
          <w:color w:val="000000"/>
          <w:sz w:val="18"/>
        </w:rPr>
        <w:t>Exhibit 31.1</w:t>
      </w:r>
      <w:r>
        <w:br w:type="page"/>
      </w:r>
    </w:p>
    <w:p>
      <w:pPr>
        <w:pStyle w:val="TextBody"/>
        <w:bidi w:val="0"/>
        <w:jc w:val="center"/>
        <w:rPr>
          <w:rFonts w:ascii="Times New Roman" w:hAnsi="Times New Roman"/>
          <w:sz w:val="20"/>
        </w:rPr>
      </w:pPr>
      <w:r>
        <w:rPr>
          <w:rFonts w:ascii="Times New Roman" w:hAnsi="Times New Roman"/>
          <w:b/>
          <w:color w:val="000000"/>
          <w:sz w:val="18"/>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RULE 13a-14(a)/15d-14(a) OF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 John Lai, certify that:</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1.I have reviewed this Annual Report on Form 10-K of Mister Car Wash, Inc.;</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b)any fraud, whether or not material, that involves management or other employees who have a significant role in the registrant's internal control over financial reporting.</w:t>
      </w:r>
    </w:p>
    <w:p>
      <w:pPr>
        <w:pStyle w:val="TextBody"/>
        <w:bidi w:val="0"/>
        <w:spacing w:before="90" w:after="283"/>
        <w:jc w:val="left"/>
        <w:rPr/>
      </w:pPr>
      <w:r>
        <w:rPr/>
        <w:t> </w:t>
      </w:r>
    </w:p>
    <w:p>
      <w:pPr>
        <w:pStyle w:val="TextBody"/>
        <w:bidi w:val="0"/>
        <w:jc w:val="left"/>
        <w:rPr/>
      </w:pPr>
      <w:r>
        <w:rPr/>
        <w:t> </w:t>
      </w:r>
    </w:p>
    <w:tbl>
      <w:tblPr>
        <w:tblW w:w="5510" w:type="dxa"/>
        <w:jc w:val="left"/>
        <w:tblInd w:w="0" w:type="dxa"/>
        <w:tblLayout w:type="fixed"/>
        <w:tblCellMar>
          <w:top w:w="28" w:type="dxa"/>
          <w:left w:w="28" w:type="dxa"/>
          <w:bottom w:w="28" w:type="dxa"/>
          <w:right w:w="28" w:type="dxa"/>
        </w:tblCellMar>
      </w:tblPr>
      <w:tblGrid>
        <w:gridCol w:w="665"/>
        <w:gridCol w:w="603"/>
        <w:gridCol w:w="610"/>
        <w:gridCol w:w="1058"/>
        <w:gridCol w:w="1058"/>
        <w:gridCol w:w="1516"/>
      </w:tblGrid>
      <w:tr>
        <w:trPr/>
        <w:tc>
          <w:tcPr>
            <w:tcW w:w="66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Date: February 27, 2026</w:t>
            </w:r>
          </w:p>
        </w:tc>
        <w:tc>
          <w:tcPr>
            <w:tcW w:w="363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3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center"/>
              <w:rPr/>
            </w:pPr>
            <w:r>
              <w:rPr/>
              <w:t> </w:t>
            </w:r>
          </w:p>
        </w:tc>
        <w:tc>
          <w:tcPr>
            <w:tcW w:w="3632" w:type="dxa"/>
            <w:gridSpan w:val="3"/>
            <w:tcBorders/>
            <w:tcMar>
              <w:top w:w="0" w:type="dxa"/>
              <w:left w:w="0" w:type="dxa"/>
              <w:bottom w:w="0" w:type="dxa"/>
              <w:right w:w="0" w:type="dxa"/>
            </w:tcMar>
            <w:vAlign w:val="center"/>
          </w:tcPr>
          <w:p>
            <w:pPr>
              <w:pStyle w:val="TableContents"/>
              <w:bidi w:val="0"/>
              <w:spacing w:before="0" w:after="283"/>
              <w:ind w:left="0" w:right="0" w:firstLine="18"/>
              <w:jc w:val="center"/>
              <w:rPr>
                <w:rFonts w:ascii="Times New Roman" w:hAnsi="Times New Roman"/>
                <w:color w:val="000000"/>
                <w:sz w:val="18"/>
              </w:rPr>
            </w:pPr>
            <w:r>
              <w:rPr>
                <w:rFonts w:ascii="Times New Roman" w:hAnsi="Times New Roman"/>
                <w:color w:val="000000"/>
                <w:sz w:val="18"/>
              </w:rPr>
              <w:t>/s/ John Lai</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3632" w:type="dxa"/>
            <w:gridSpan w:val="3"/>
            <w:tcBorders>
              <w:top w:val="single" w:sz="7" w:space="0" w:color="000000"/>
            </w:tcBorders>
            <w:tcMar>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John Lai</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3632" w:type="dxa"/>
            <w:gridSpan w:val="3"/>
            <w:tcBorders/>
            <w:tcMar>
              <w:top w:w="0" w:type="dxa"/>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Chairman, President and Chief Executive Officer</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bkmk_276"/>
      <w:bookmarkStart w:id="50" w:name="mcw-ex31_2.htm"/>
      <w:bookmarkStart w:id="51" w:name="ksmcwex31_2"/>
      <w:bookmarkEnd w:id="49"/>
      <w:bookmarkEnd w:id="50"/>
      <w:bookmarkEnd w:id="51"/>
      <w:r>
        <w:rPr/>
        <w:t> </w:t>
      </w:r>
      <w:r>
        <w:br w:type="page"/>
      </w:r>
    </w:p>
    <w:p>
      <w:pPr>
        <w:pStyle w:val="TextBody"/>
        <w:bidi w:val="0"/>
        <w:jc w:val="left"/>
        <w:rPr/>
      </w:pPr>
      <w:r>
        <w:rPr/>
        <w:t> </w:t>
      </w:r>
    </w:p>
    <w:p>
      <w:pPr>
        <w:pStyle w:val="TextBody"/>
        <w:bidi w:val="0"/>
        <w:spacing w:before="180" w:after="283"/>
        <w:jc w:val="right"/>
        <w:rPr>
          <w:rFonts w:ascii="Times New Roman" w:hAnsi="Times New Roman"/>
          <w:b/>
          <w:color w:val="000000"/>
          <w:sz w:val="18"/>
        </w:rPr>
      </w:pPr>
      <w:bookmarkStart w:id="52" w:name="bkmk_277"/>
      <w:bookmarkEnd w:id="52"/>
      <w:r>
        <w:rPr>
          <w:rFonts w:ascii="Times New Roman" w:hAnsi="Times New Roman"/>
          <w:b/>
          <w:color w:val="000000"/>
          <w:sz w:val="18"/>
        </w:rPr>
        <w:t>Exhibit 31.2</w:t>
      </w:r>
    </w:p>
    <w:p>
      <w:pPr>
        <w:pStyle w:val="TextBody"/>
        <w:bidi w:val="0"/>
        <w:spacing w:before="180" w:after="283"/>
        <w:jc w:val="right"/>
        <w:rPr/>
      </w:pPr>
      <w:r>
        <w:rPr/>
        <w:t> </w:t>
      </w:r>
    </w:p>
    <w:p>
      <w:pPr>
        <w:pStyle w:val="TextBody"/>
        <w:bidi w:val="0"/>
        <w:jc w:val="center"/>
        <w:rPr>
          <w:rFonts w:ascii="Times New Roman" w:hAnsi="Times New Roman"/>
          <w:sz w:val="20"/>
        </w:rPr>
      </w:pPr>
      <w:r>
        <w:rPr>
          <w:rFonts w:ascii="Times New Roman" w:hAnsi="Times New Roman"/>
          <w:b/>
          <w:color w:val="000000"/>
          <w:sz w:val="18"/>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RULE 13a-14(a)/15d-14(a) OF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 Jedidiah Gold, certify that:</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1.I have reviewed this Annual Report on Form 10-K of Mister Car Wash, Inc.;</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4.The registrant's other certifying officer and I are responsible for establishing and maintaining disclosure controls and procedures (as defined in Exchange Act Rules 13a-15(e) and 15d-15(e)) for the registrant and have:</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b)any fraud, whether or not material, that involves management or other employees who have a significant role in the registrant's internal control over financial reporting.</w:t>
      </w:r>
    </w:p>
    <w:p>
      <w:pPr>
        <w:pStyle w:val="TextBody"/>
        <w:bidi w:val="0"/>
        <w:spacing w:before="90" w:after="283"/>
        <w:jc w:val="left"/>
        <w:rPr/>
      </w:pPr>
      <w:r>
        <w:rPr/>
        <w:t> </w:t>
      </w:r>
    </w:p>
    <w:p>
      <w:pPr>
        <w:pStyle w:val="TextBody"/>
        <w:bidi w:val="0"/>
        <w:jc w:val="left"/>
        <w:rPr/>
      </w:pPr>
      <w:r>
        <w:rPr/>
        <w:t> </w:t>
      </w:r>
    </w:p>
    <w:tbl>
      <w:tblPr>
        <w:tblW w:w="4041" w:type="dxa"/>
        <w:jc w:val="left"/>
        <w:tblInd w:w="0" w:type="dxa"/>
        <w:tblLayout w:type="fixed"/>
        <w:tblCellMar>
          <w:top w:w="28" w:type="dxa"/>
          <w:left w:w="28" w:type="dxa"/>
          <w:bottom w:w="28" w:type="dxa"/>
          <w:right w:w="28" w:type="dxa"/>
        </w:tblCellMar>
      </w:tblPr>
      <w:tblGrid>
        <w:gridCol w:w="665"/>
        <w:gridCol w:w="603"/>
        <w:gridCol w:w="610"/>
        <w:gridCol w:w="630"/>
        <w:gridCol w:w="630"/>
        <w:gridCol w:w="903"/>
      </w:tblGrid>
      <w:tr>
        <w:trPr/>
        <w:tc>
          <w:tcPr>
            <w:tcW w:w="66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Date: February 27, 2026</w:t>
            </w:r>
          </w:p>
        </w:tc>
        <w:tc>
          <w:tcPr>
            <w:tcW w:w="21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1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2163" w:type="dxa"/>
            <w:gridSpan w:val="3"/>
            <w:tcBorders/>
            <w:tcMar>
              <w:top w:w="0" w:type="dxa"/>
              <w:left w:w="0" w:type="dxa"/>
              <w:bottom w:w="0" w:type="dxa"/>
              <w:right w:w="0" w:type="dxa"/>
            </w:tcMar>
            <w:vAlign w:val="center"/>
          </w:tcPr>
          <w:p>
            <w:pPr>
              <w:pStyle w:val="TableContents"/>
              <w:bidi w:val="0"/>
              <w:spacing w:before="0" w:after="283"/>
              <w:ind w:left="0" w:right="0" w:firstLine="18"/>
              <w:jc w:val="center"/>
              <w:rPr>
                <w:rFonts w:ascii="Times New Roman" w:hAnsi="Times New Roman"/>
                <w:color w:val="000000"/>
                <w:sz w:val="18"/>
              </w:rPr>
            </w:pPr>
            <w:r>
              <w:rPr>
                <w:rFonts w:ascii="Times New Roman" w:hAnsi="Times New Roman"/>
                <w:color w:val="000000"/>
                <w:sz w:val="18"/>
              </w:rPr>
              <w:t>/s/ Jedidiah Gold</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2163" w:type="dxa"/>
            <w:gridSpan w:val="3"/>
            <w:tcBorders>
              <w:top w:val="single" w:sz="7" w:space="0" w:color="000000"/>
            </w:tcBorders>
            <w:tcMar>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Jedidiah Gold</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2163" w:type="dxa"/>
            <w:gridSpan w:val="3"/>
            <w:tcBorders/>
            <w:tcMar>
              <w:top w:w="0" w:type="dxa"/>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(Principal Financial Officer)</w:t>
            </w:r>
          </w:p>
        </w:tc>
      </w:tr>
    </w:tbl>
    <w:p>
      <w:pPr>
        <w:pStyle w:val="TextBody"/>
        <w:bidi w:val="0"/>
        <w:spacing w:before="9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53" w:name="bkmk_281"/>
      <w:bookmarkStart w:id="54" w:name="mcw-ex32_1.htm"/>
      <w:bookmarkStart w:id="55" w:name="ksmcwex32_1"/>
      <w:bookmarkEnd w:id="53"/>
      <w:bookmarkEnd w:id="54"/>
      <w:bookmarkEnd w:id="55"/>
      <w:r>
        <w:rPr>
          <w:rFonts w:ascii="Times New Roman" w:hAnsi="Times New Roman"/>
          <w:b/>
          <w:color w:val="000000"/>
          <w:sz w:val="18"/>
        </w:rPr>
        <w:t>Exhibit 32.1</w:t>
      </w:r>
      <w:r>
        <w:br w:type="page"/>
      </w:r>
    </w:p>
    <w:p>
      <w:pPr>
        <w:pStyle w:val="TextBody"/>
        <w:bidi w:val="0"/>
        <w:spacing w:before="18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16" w:after="283"/>
        <w:jc w:val="both"/>
        <w:rPr>
          <w:rFonts w:ascii="Times New Roman" w:hAnsi="Times New Roman"/>
          <w:color w:val="000000"/>
          <w:sz w:val="18"/>
        </w:rPr>
      </w:pPr>
      <w:r>
        <w:rPr>
          <w:rFonts w:ascii="Times New Roman" w:hAnsi="Times New Roman"/>
          <w:color w:val="000000"/>
          <w:sz w:val="18"/>
        </w:rPr>
        <w:t>In connection with the Annual Report of Mister Car Wash, Inc. (the "Company") on Form 10-K for the fiscal year ended December 31, 2025, as filed with the Securities and Exchange Commission on the date hereof (the "Report"), I certify, pursuant to 18 U.S.C. Section 1350, as adopted pursuant to Section 906 of the Sarbanes-Oxley Act of 2002, that:</w:t>
      </w:r>
    </w:p>
    <w:p>
      <w:pPr>
        <w:pStyle w:val="TextBody"/>
        <w:bidi w:val="0"/>
        <w:jc w:val="both"/>
        <w:rPr/>
      </w:pPr>
      <w:r>
        <w:rPr/>
        <w:t> </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(1)The Report fully complies with the requirements of Section 13(a) or 15(d) of the Securities Exchange Act of 1934;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(2)The information contained in the Report fairly presents, in all material respects, the financial condition and results of operations of the Company.</w:t>
      </w:r>
    </w:p>
    <w:p>
      <w:pPr>
        <w:pStyle w:val="TextBody"/>
        <w:bidi w:val="0"/>
        <w:spacing w:before="90" w:after="283"/>
        <w:jc w:val="left"/>
        <w:rPr/>
      </w:pPr>
      <w:r>
        <w:rPr/>
        <w:t> </w:t>
      </w:r>
    </w:p>
    <w:p>
      <w:pPr>
        <w:pStyle w:val="TextBody"/>
        <w:bidi w:val="0"/>
        <w:jc w:val="left"/>
        <w:rPr/>
      </w:pPr>
      <w:r>
        <w:rPr/>
        <w:t> </w:t>
      </w:r>
    </w:p>
    <w:tbl>
      <w:tblPr>
        <w:tblW w:w="5510" w:type="dxa"/>
        <w:jc w:val="left"/>
        <w:tblInd w:w="0" w:type="dxa"/>
        <w:tblLayout w:type="fixed"/>
        <w:tblCellMar>
          <w:top w:w="28" w:type="dxa"/>
          <w:left w:w="28" w:type="dxa"/>
          <w:bottom w:w="28" w:type="dxa"/>
          <w:right w:w="28" w:type="dxa"/>
        </w:tblCellMar>
      </w:tblPr>
      <w:tblGrid>
        <w:gridCol w:w="665"/>
        <w:gridCol w:w="603"/>
        <w:gridCol w:w="610"/>
        <w:gridCol w:w="1058"/>
        <w:gridCol w:w="1058"/>
        <w:gridCol w:w="1516"/>
      </w:tblGrid>
      <w:tr>
        <w:trPr/>
        <w:tc>
          <w:tcPr>
            <w:tcW w:w="66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Date: February 27, 2026</w:t>
            </w:r>
          </w:p>
        </w:tc>
        <w:tc>
          <w:tcPr>
            <w:tcW w:w="363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63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center"/>
              <w:rPr/>
            </w:pPr>
            <w:r>
              <w:rPr/>
              <w:t> </w:t>
            </w:r>
          </w:p>
        </w:tc>
        <w:tc>
          <w:tcPr>
            <w:tcW w:w="3632" w:type="dxa"/>
            <w:gridSpan w:val="3"/>
            <w:tcBorders/>
            <w:tcMar>
              <w:top w:w="0" w:type="dxa"/>
              <w:left w:w="0" w:type="dxa"/>
              <w:bottom w:w="0" w:type="dxa"/>
              <w:right w:w="0" w:type="dxa"/>
            </w:tcMar>
            <w:vAlign w:val="center"/>
          </w:tcPr>
          <w:p>
            <w:pPr>
              <w:pStyle w:val="TableContents"/>
              <w:bidi w:val="0"/>
              <w:spacing w:before="0" w:after="283"/>
              <w:ind w:left="0" w:right="0" w:firstLine="18"/>
              <w:jc w:val="center"/>
              <w:rPr>
                <w:rFonts w:ascii="Times New Roman" w:hAnsi="Times New Roman"/>
                <w:color w:val="000000"/>
                <w:sz w:val="18"/>
              </w:rPr>
            </w:pPr>
            <w:r>
              <w:rPr>
                <w:rFonts w:ascii="Times New Roman" w:hAnsi="Times New Roman"/>
                <w:color w:val="000000"/>
                <w:sz w:val="18"/>
              </w:rPr>
              <w:t>/s/ John Lai</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3632" w:type="dxa"/>
            <w:gridSpan w:val="3"/>
            <w:tcBorders>
              <w:top w:val="single" w:sz="7" w:space="0" w:color="000000"/>
            </w:tcBorders>
            <w:tcMar>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John Lai</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3632" w:type="dxa"/>
            <w:gridSpan w:val="3"/>
            <w:tcBorders/>
            <w:tcMar>
              <w:top w:w="0" w:type="dxa"/>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Chairman, President and Chief Executive Officer</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bkmk_284"/>
      <w:bookmarkStart w:id="57" w:name="mcw-ex32_2.htm"/>
      <w:bookmarkStart w:id="58" w:name="ksmcwex32_2"/>
      <w:bookmarkEnd w:id="56"/>
      <w:bookmarkEnd w:id="57"/>
      <w:bookmarkEnd w:id="58"/>
      <w:r>
        <w:rPr/>
        <w:t> </w:t>
      </w:r>
      <w:r>
        <w:br w:type="page"/>
      </w:r>
    </w:p>
    <w:p>
      <w:pPr>
        <w:pStyle w:val="TextBody"/>
        <w:bidi w:val="0"/>
        <w:jc w:val="right"/>
        <w:rPr>
          <w:rFonts w:ascii="Times New Roman" w:hAnsi="Times New Roman"/>
          <w:b/>
          <w:color w:val="000000"/>
          <w:sz w:val="18"/>
        </w:rPr>
      </w:pPr>
      <w:bookmarkStart w:id="59" w:name="bkmk_285"/>
      <w:bookmarkEnd w:id="59"/>
      <w:r>
        <w:rPr>
          <w:rFonts w:ascii="Times New Roman" w:hAnsi="Times New Roman"/>
          <w:b/>
          <w:color w:val="000000"/>
          <w:sz w:val="18"/>
        </w:rPr>
        <w:t>Exhibit 32.2</w:t>
      </w:r>
    </w:p>
    <w:p>
      <w:pPr>
        <w:pStyle w:val="TextBody"/>
        <w:bidi w:val="0"/>
        <w:spacing w:before="18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16" w:after="283"/>
        <w:jc w:val="both"/>
        <w:rPr>
          <w:rFonts w:ascii="Times New Roman" w:hAnsi="Times New Roman"/>
          <w:color w:val="000000"/>
          <w:sz w:val="18"/>
        </w:rPr>
      </w:pPr>
      <w:r>
        <w:rPr>
          <w:rFonts w:ascii="Times New Roman" w:hAnsi="Times New Roman"/>
          <w:color w:val="000000"/>
          <w:sz w:val="18"/>
        </w:rPr>
        <w:t>In connection with the Annual Report of Mister Car Wash, Inc. (the "Company") on Form 10-K for the year ended December 31, 2025, as filed with the Securities and Exchange Commission on the date hereof (the "Report"), I certify, pursuant to 18 U.S.C. Section 1350, as adopted pursuant to Section 906 of the Sarbanes-Oxley Act of 2002, that:</w:t>
      </w:r>
    </w:p>
    <w:p>
      <w:pPr>
        <w:pStyle w:val="TextBody"/>
        <w:bidi w:val="0"/>
        <w:jc w:val="both"/>
        <w:rPr/>
      </w:pPr>
      <w:r>
        <w:rPr/>
        <w:t> </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(1)The Report fully complies with the requirements of Section 13(a) or 15(d) of the Securities Exchange Act of 1934; and</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(2)The information contained in the Report fairly presents, in all material respects, the financial condition and results of operations of the Company.</w:t>
      </w:r>
    </w:p>
    <w:p>
      <w:pPr>
        <w:pStyle w:val="TextBody"/>
        <w:bidi w:val="0"/>
        <w:spacing w:before="90" w:after="283"/>
        <w:jc w:val="both"/>
        <w:rPr/>
      </w:pPr>
      <w:r>
        <w:rPr/>
        <w:t> </w:t>
      </w:r>
    </w:p>
    <w:p>
      <w:pPr>
        <w:pStyle w:val="TextBody"/>
        <w:bidi w:val="0"/>
        <w:jc w:val="left"/>
        <w:rPr/>
      </w:pPr>
      <w:r>
        <w:rPr/>
        <w:t> </w:t>
      </w:r>
    </w:p>
    <w:tbl>
      <w:tblPr>
        <w:tblW w:w="4041" w:type="dxa"/>
        <w:jc w:val="left"/>
        <w:tblInd w:w="0" w:type="dxa"/>
        <w:tblLayout w:type="fixed"/>
        <w:tblCellMar>
          <w:top w:w="28" w:type="dxa"/>
          <w:left w:w="28" w:type="dxa"/>
          <w:bottom w:w="28" w:type="dxa"/>
          <w:right w:w="28" w:type="dxa"/>
        </w:tblCellMar>
      </w:tblPr>
      <w:tblGrid>
        <w:gridCol w:w="665"/>
        <w:gridCol w:w="603"/>
        <w:gridCol w:w="610"/>
        <w:gridCol w:w="630"/>
        <w:gridCol w:w="630"/>
        <w:gridCol w:w="903"/>
      </w:tblGrid>
      <w:tr>
        <w:trPr/>
        <w:tc>
          <w:tcPr>
            <w:tcW w:w="66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Date: February 27, 2026</w:t>
            </w:r>
          </w:p>
        </w:tc>
        <w:tc>
          <w:tcPr>
            <w:tcW w:w="21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16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2163" w:type="dxa"/>
            <w:gridSpan w:val="3"/>
            <w:tcBorders/>
            <w:tcMar>
              <w:top w:w="0" w:type="dxa"/>
              <w:left w:w="0" w:type="dxa"/>
              <w:bottom w:w="0" w:type="dxa"/>
              <w:right w:w="0" w:type="dxa"/>
            </w:tcMar>
            <w:vAlign w:val="center"/>
          </w:tcPr>
          <w:p>
            <w:pPr>
              <w:pStyle w:val="TableContents"/>
              <w:bidi w:val="0"/>
              <w:spacing w:before="0" w:after="283"/>
              <w:ind w:left="0" w:right="0" w:firstLine="18"/>
              <w:jc w:val="center"/>
              <w:rPr>
                <w:rFonts w:ascii="Times New Roman" w:hAnsi="Times New Roman"/>
                <w:color w:val="000000"/>
                <w:sz w:val="18"/>
              </w:rPr>
            </w:pPr>
            <w:r>
              <w:rPr>
                <w:rFonts w:ascii="Times New Roman" w:hAnsi="Times New Roman"/>
                <w:color w:val="000000"/>
                <w:sz w:val="18"/>
              </w:rPr>
              <w:t>/s/ Jedidiah Gold</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2163" w:type="dxa"/>
            <w:gridSpan w:val="3"/>
            <w:tcBorders>
              <w:top w:val="single" w:sz="7" w:space="0" w:color="000000"/>
            </w:tcBorders>
            <w:tcMar>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Jedidiah Gold</w:t>
            </w:r>
          </w:p>
        </w:tc>
      </w:tr>
      <w:tr>
        <w:trPr/>
        <w:tc>
          <w:tcPr>
            <w:tcW w:w="187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2163" w:type="dxa"/>
            <w:gridSpan w:val="3"/>
            <w:tcBorders/>
            <w:tcMar>
              <w:top w:w="0" w:type="dxa"/>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(Principal Financial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853513/000095017022009801/mcw-ex2_1.htm" TargetMode="External"/><Relationship Id="rId5" Type="http://schemas.openxmlformats.org/officeDocument/2006/relationships/hyperlink" Target="https://www.sec.gov/Archives/edgar/data/1853513/000119312526056047/d113732dex21.htm" TargetMode="External"/><Relationship Id="rId6" Type="http://schemas.openxmlformats.org/officeDocument/2006/relationships/hyperlink" Target="https://www.sec.gov/Archives/edgar/data/1853513/000119312521207571/d197509dex31.htm" TargetMode="External"/><Relationship Id="rId7" Type="http://schemas.openxmlformats.org/officeDocument/2006/relationships/hyperlink" Target="https://www.sec.gov/Archives/edgar/data/1853513/000095017023025696/mcw-ex3_1.htm" TargetMode="External"/><Relationship Id="rId8" Type="http://schemas.openxmlformats.org/officeDocument/2006/relationships/hyperlink" Target="https://www.sec.gov/Archives/edgar/data/1853513/000119312521207571/d197509dex32.htm" TargetMode="External"/><Relationship Id="rId9" Type="http://schemas.openxmlformats.org/officeDocument/2006/relationships/hyperlink" Target="https://www.sec.gov/Archives/edgar/data/1853513/000095017025024533/mcw-ex4_1.htm" TargetMode="External"/><Relationship Id="rId10" Type="http://schemas.openxmlformats.org/officeDocument/2006/relationships/hyperlink" Target="https://www.sec.gov/Archives/edgar/data/1853513/000119312521207571/d197509dex101.htm" TargetMode="External"/><Relationship Id="rId11" Type="http://schemas.openxmlformats.org/officeDocument/2006/relationships/hyperlink" Target="https://www.sec.gov/Archives/edgar/data/1853513/000119312521192606/d117644dex101b.htm" TargetMode="External"/><Relationship Id="rId12" Type="http://schemas.openxmlformats.org/officeDocument/2006/relationships/hyperlink" Target="https://www.sec.gov/Archives/edgar/data/1853513/000119312521178969/d117644dex101.htm" TargetMode="External"/><Relationship Id="rId13" Type="http://schemas.openxmlformats.org/officeDocument/2006/relationships/hyperlink" Target="https://www.sec.gov/Archives/edgar/data/1853513/000119312521178969/d117644dex101a.htm" TargetMode="External"/><Relationship Id="rId14" Type="http://schemas.openxmlformats.org/officeDocument/2006/relationships/hyperlink" Target="https://www.sec.gov/Archives/edgar/data/1853513/000119312521178969/d117644dex102.htm" TargetMode="External"/><Relationship Id="rId15" Type="http://schemas.openxmlformats.org/officeDocument/2006/relationships/hyperlink" Target="https://www.sec.gov/Archives/edgar/data/1853513/000095017022004616/mcw-ex10_7.htm" TargetMode="External"/><Relationship Id="rId16" Type="http://schemas.openxmlformats.org/officeDocument/2006/relationships/hyperlink" Target="https://www.sec.gov/Archives/edgar/data/1853513/000095017022004616/mcw-ex10_7.htm" TargetMode="External"/><Relationship Id="rId17" Type="http://schemas.openxmlformats.org/officeDocument/2006/relationships/hyperlink" Target="https://www.sec.gov/Archives/edgar/data/1853513/000095017022004616/mcw-ex10_7.htm" TargetMode="External"/><Relationship Id="rId18" Type="http://schemas.openxmlformats.org/officeDocument/2006/relationships/hyperlink" Target="https://www.sec.gov/Archives/edgar/data/1853513/000095017023004337/mcw-ex10_20.htm" TargetMode="External"/><Relationship Id="rId19" Type="http://schemas.openxmlformats.org/officeDocument/2006/relationships/hyperlink" Target="https://www.sec.gov/Archives/edgar/data/1853513/000095017024038877/mcw-ex10_1.htm" TargetMode="External"/><Relationship Id="rId20" Type="http://schemas.openxmlformats.org/officeDocument/2006/relationships/hyperlink" Target="https://www.sec.gov/Archives/edgar/data/1853513/000095017024132448/mcw-ex10_1.htm" TargetMode="External"/><Relationship Id="rId21" Type="http://schemas.openxmlformats.org/officeDocument/2006/relationships/hyperlink" Target="https://www.sec.gov/Archives/edgar/data/1853513/000119312521178969/d117644dex103.htm" TargetMode="External"/><Relationship Id="rId22" Type="http://schemas.openxmlformats.org/officeDocument/2006/relationships/hyperlink" Target="https://www.sec.gov/Archives/edgar/data/1853513/000119312521178969/d117644dex103a.htm" TargetMode="External"/><Relationship Id="rId23" Type="http://schemas.openxmlformats.org/officeDocument/2006/relationships/hyperlink" Target="https://www.sec.gov/Archives/edgar/data/1853513/000119312521192606/d117644dex104.htm" TargetMode="External"/><Relationship Id="rId24" Type="http://schemas.openxmlformats.org/officeDocument/2006/relationships/hyperlink" Target="https://www.sec.gov/Archives/edgar/data/1853513/000119312521192606/d117644dex104.htm" TargetMode="External"/><Relationship Id="rId25" Type="http://schemas.openxmlformats.org/officeDocument/2006/relationships/hyperlink" Target="https://www.sec.gov/Archives/edgar/data/1853513/000119312521192606/d117644dex1012.htm" TargetMode="External"/><Relationship Id="rId26" Type="http://schemas.openxmlformats.org/officeDocument/2006/relationships/hyperlink" Target="https://www.sec.gov/Archives/edgar/data/1853513/000095017025024533/mcw-ex10_13.htm" TargetMode="External"/><Relationship Id="rId27" Type="http://schemas.openxmlformats.org/officeDocument/2006/relationships/hyperlink" Target="https://www.sec.gov/Archives/edgar/data/1853513/000119312521192606/d117644dex105.htm" TargetMode="External"/><Relationship Id="rId28" Type="http://schemas.openxmlformats.org/officeDocument/2006/relationships/hyperlink" Target="https://www.sec.gov/Archives/edgar/data/1853513/000119312521192606/d117644dex105.htm" TargetMode="External"/><Relationship Id="rId29" Type="http://schemas.openxmlformats.org/officeDocument/2006/relationships/hyperlink" Target="https://www.sec.gov/Archives/edgar/data/1853513/000119312521192606/d117644dex106.htm" TargetMode="External"/><Relationship Id="rId30" Type="http://schemas.openxmlformats.org/officeDocument/2006/relationships/hyperlink" Target="https://www.sec.gov/Archives/edgar/data/1853513/000095017022004616/mcw-ex10_14.htm" TargetMode="External"/><Relationship Id="rId31" Type="http://schemas.openxmlformats.org/officeDocument/2006/relationships/hyperlink" Target="https://www.sec.gov/Archives/edgar/data/1853513/000095017025024533/mcw-ex10_17.htm" TargetMode="External"/><Relationship Id="rId32" Type="http://schemas.openxmlformats.org/officeDocument/2006/relationships/hyperlink" Target="https://www.sec.gov/Archives/edgar/data/1853513/000095017025024533/mcw-ex10_18.htm" TargetMode="External"/><Relationship Id="rId33" Type="http://schemas.openxmlformats.org/officeDocument/2006/relationships/hyperlink" Target="https://www.sec.gov/Archives/edgar/data/1853513/000119312521192606/d117644dex1012.htm" TargetMode="External"/><Relationship Id="rId34" Type="http://schemas.openxmlformats.org/officeDocument/2006/relationships/hyperlink" Target="https://www.sec.gov/Archives/edgar/data/1853513/000095017023016884/mcw-ex10_2.htm" TargetMode="External"/><Relationship Id="rId35" Type="http://schemas.openxmlformats.org/officeDocument/2006/relationships/hyperlink" Target="https://www.sec.gov/Archives/edgar/data/1853513/000095017024019105/mcw-ex10_25.htm" TargetMode="External"/><Relationship Id="rId36" Type="http://schemas.openxmlformats.org/officeDocument/2006/relationships/hyperlink" Target="https://www.sec.gov/Archives/edgar/data/1853513/000095017025024533/mcw-ex10_27.htm" TargetMode="External"/><Relationship Id="rId37" Type="http://schemas.openxmlformats.org/officeDocument/2006/relationships/hyperlink" Target="https://www.sec.gov/Archives/edgar/data/1853513/000095017025010183/mcw-ex10_1.htm" TargetMode="External"/><Relationship Id="rId38" Type="http://schemas.openxmlformats.org/officeDocument/2006/relationships/hyperlink" Target="https://www.sec.gov/Archives/edgar/data/1853513/000095017025010183/mcw-ex10_1.htm" TargetMode="External"/><Relationship Id="rId39" Type="http://schemas.openxmlformats.org/officeDocument/2006/relationships/hyperlink" Target="https://www.sec.gov/Archives/edgar/data/1853513/000095017025024533/mcw-ex19_1.htm" TargetMode="External"/><Relationship Id="rId40" Type="http://schemas.openxmlformats.org/officeDocument/2006/relationships/hyperlink" Target="https://www.sec.gov/Archives/edgar/data/1853513/000095017025024533/mcw-ex97_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42080</Words>
  <Characters>230063</Characters>
  <CharactersWithSpaces>272934</CharactersWithSpaces>
  <Paragraphs>8200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