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72"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ectPr>
          <w:pgSz w:w="11900" w:h="16838" w:orient="portrait"/>
          <w:cols w:equalWidth="0" w:num="1">
            <w:col w:w="11240"/>
          </w:cols>
          <w:pgMar w:left="320" w:top="111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26"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00"/>
        <w:spacing w:after="0" w:line="235" w:lineRule="auto"/>
        <w:rPr>
          <w:sz w:val="20"/>
          <w:szCs w:val="20"/>
          <w:color w:val="auto"/>
        </w:rPr>
      </w:pPr>
      <w:r>
        <w:rPr>
          <w:rFonts w:ascii="Times New Roman" w:cs="Times New Roman" w:eastAsia="Times New Roman" w:hAnsi="Times New Roman"/>
          <w:sz w:val="18"/>
          <w:szCs w:val="18"/>
          <w:b w:val="1"/>
          <w:bCs w:val="1"/>
          <w:color w:val="auto"/>
        </w:rPr>
        <w:t>222 E.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85705</w:t>
      </w:r>
    </w:p>
    <w:p>
      <w:pPr>
        <w:spacing w:after="0" w:line="37" w:lineRule="exact"/>
        <w:rPr>
          <w:sz w:val="24"/>
          <w:szCs w:val="24"/>
          <w:color w:val="auto"/>
        </w:rPr>
      </w:pPr>
    </w:p>
    <w:p>
      <w:pPr>
        <w:sectPr>
          <w:pgSz w:w="11900" w:h="16838" w:orient="portrait"/>
          <w:cols w:equalWidth="0" w:num="2">
            <w:col w:w="7600" w:space="340"/>
            <w:col w:w="3300"/>
          </w:cols>
          <w:pgMar w:left="320" w:top="1117"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right="2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0"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30, 2024, the registrant had 322,249,966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360" w:type="dxa"/>
            <w:vAlign w:val="bottom"/>
            <w:gridSpan w:val="7"/>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bottom w:val="single" w:sz="8" w:color="0000FF"/>
            </w:tcBorders>
            <w:gridSpan w:val="14"/>
            <w:vMerge w:val="continue"/>
          </w:tcPr>
          <w:p>
            <w:pPr>
              <w:spacing w:after="0"/>
              <w:rPr>
                <w:sz w:val="14"/>
                <w:szCs w:val="14"/>
                <w:color w:val="auto"/>
              </w:rPr>
            </w:pPr>
          </w:p>
        </w:tc>
        <w:tc>
          <w:tcPr>
            <w:tcW w:w="6360" w:type="dxa"/>
            <w:vAlign w:val="bottom"/>
            <w:gridSpan w:val="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6"/>
                <w:szCs w:val="16"/>
                <w:color w:val="auto"/>
              </w:rPr>
            </w:pPr>
          </w:p>
        </w:tc>
        <w:tc>
          <w:tcPr>
            <w:tcW w:w="7180" w:type="dxa"/>
            <w:vAlign w:val="bottom"/>
            <w:gridSpan w:val="12"/>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8"/>
                <w:szCs w:val="18"/>
                <w:color w:val="auto"/>
              </w:rPr>
            </w:pPr>
          </w:p>
        </w:tc>
        <w:tc>
          <w:tcPr>
            <w:tcW w:w="64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57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6"/>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20"/>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or “should,” or the negative thereof or comparable terminology.</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2023 (the “2023 Form 10-K”) and in Part I. Item 2. “Management’s Discussion and Analysis of Financial Condition and Results of Operations” of this Quarterly Report on Form 10-Q. These risks and uncertainties include, but are not limited to:</w:t>
      </w:r>
    </w:p>
    <w:p>
      <w:pPr>
        <w:spacing w:after="0" w:line="81" w:lineRule="exact"/>
        <w:rPr>
          <w:sz w:val="20"/>
          <w:szCs w:val="20"/>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overall decline in the health of the economy and other factors impacting consumer spending, such as natural disasters, the occurrence of a recession, inflation and worsening in economic conditions may affect consumer purchases and reduce demand for our services.</w:t>
      </w:r>
    </w:p>
    <w:p>
      <w:pPr>
        <w:spacing w:after="0" w:line="5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retain existing customers and maintain or grow the number of Unlimited Wash Club ® (“UWC”) Members.</w:t>
      </w:r>
    </w:p>
    <w:p>
      <w:pPr>
        <w:spacing w:after="0" w:line="114"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compete successfully against other companies and operators in our industry, including our ability to acquire, open and operate new locations in a timely and cost-effective manner, we may lose customers and market share and our revenues may decline.</w:t>
      </w:r>
    </w:p>
    <w:p>
      <w:pPr>
        <w:spacing w:after="0" w:line="5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implement our growth strategies on a timely basis or at all.</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 number of risks and regulations related to credit card and debit card payments we accept.</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 and other increased operating costs could materially and adversely affect our results of operations.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locations may experience difficulty hiring and retaining key or sufficient qualified personnel or increases in labor costs.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lease or sublease the land and buildings where a number of our locations are situated, which could expose us to possible liabilities and losses.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adversely affect our financial health and competitive position.</w:t>
      </w:r>
    </w:p>
    <w:p>
      <w:pPr>
        <w:spacing w:after="0" w:line="114"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various laws and regulations, including environmental, and changes in such laws and regulations, or failure to comply with existing or future laws and regulations, could adversely affect our business.</w:t>
      </w:r>
    </w:p>
    <w:p>
      <w:pPr>
        <w:spacing w:after="0" w:line="5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data security and privacy risks that could negatively impact our results of operations or reputation.</w:t>
      </w:r>
    </w:p>
    <w:p>
      <w:pPr>
        <w:spacing w:after="0" w:line="114"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adequately protect, and we may incur significant costs in enforcing or defending, our intellectual property and other proprietary rights.</w:t>
      </w:r>
    </w:p>
    <w:p>
      <w:pPr>
        <w:spacing w:after="0" w:line="54" w:lineRule="exact"/>
        <w:rPr>
          <w:rFonts w:ascii="Times New Roman" w:cs="Times New Roman" w:eastAsia="Times New Roman" w:hAnsi="Times New Roman"/>
          <w:sz w:val="17"/>
          <w:szCs w:val="17"/>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may be volatile or may decline regardless of our operating performance, resulting in substantial losses for investors purchasing shares of our common stock.</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Given these and other risks and uncertainties applicable to us, you are cautioned not to place undue reliance on such forward-looking statements. In addition, even if our results of operations, financial condition and liquidity, and events in the industry in which we operate, are consistent with the forward-looking statements included elsewhere in this Quarterly Report on Form 10-Q, they may not be indicative of results or developments in future periods.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60,894</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870,903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725,121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857,861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833,547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113,139</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117,667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1,134,734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1,134,734</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3,045,872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2,881,536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44,715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33,641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26,793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47,195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43,979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34,639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193,668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169,561</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debt, net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931,046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897,424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826,213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809,409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13,473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71,657</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2,066,469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1,966,501</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 322,239,140 and 315,192,401 shares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820,498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817,271</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155,677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94,607</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979,403</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915,035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3,045,872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2,881,536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-5265420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-5265420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-4186555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-2473960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-1395095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74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320" w:type="dxa"/>
            <w:vAlign w:val="bottom"/>
          </w:tcPr>
          <w:p>
            <w:pPr>
              <w:spacing w:after="0"/>
              <w:rPr>
                <w:sz w:val="18"/>
                <w:szCs w:val="18"/>
                <w:color w:val="auto"/>
              </w:rPr>
            </w:pPr>
          </w:p>
        </w:tc>
        <w:tc>
          <w:tcPr>
            <w:tcW w:w="288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30"/>
        </w:trPr>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234,076</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743,555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217,966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298,953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(1,916 )</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(552 )</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(3,470 )</w:t>
            </w:r>
          </w:p>
        </w:tc>
        <w:tc>
          <w:tcPr>
            <w:tcW w:w="0" w:type="dxa"/>
            <w:vAlign w:val="bottom"/>
          </w:tcPr>
          <w:p>
            <w:pPr>
              <w:spacing w:after="0"/>
              <w:rPr>
                <w:sz w:val="1"/>
                <w:szCs w:val="1"/>
                <w:color w:val="auto"/>
              </w:rPr>
            </w:pPr>
          </w:p>
        </w:tc>
      </w:tr>
      <w:tr>
        <w:trPr>
          <w:trHeight w:val="236"/>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199,744</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191,021</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596,425</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(5,189 )</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57,624</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61,070</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321,917,525</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312,883,586</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319,067,596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309,850,600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329,299,326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328,844,569</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329,222,641</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328,265,878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-2910840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-2910840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-2910840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-2910840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-1814830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-1814830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-1814830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-1172210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-1155065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-1172210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-1155065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-1172210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-1155065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-684530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-667385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-684530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-667385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-684530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-667385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61,070</w:t>
            </w:r>
          </w:p>
        </w:tc>
        <w:tc>
          <w:tcPr>
            <w:tcW w:w="3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67,753</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51,418</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18,843</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2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(552 )</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(3,470 )</w:t>
            </w:r>
          </w:p>
        </w:tc>
      </w:tr>
      <w:tr>
        <w:trPr>
          <w:trHeight w:val="239"/>
        </w:trPr>
        <w:tc>
          <w:tcPr>
            <w:tcW w:w="7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36,557</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33,337</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(1,874 )</w:t>
            </w:r>
          </w:p>
        </w:tc>
      </w:tr>
      <w:tr>
        <w:trPr>
          <w:trHeight w:val="23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receivables</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(7,012 )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(605 )</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(408 )</w:t>
            </w:r>
          </w:p>
        </w:tc>
      </w:tr>
      <w:tr>
        <w:trPr>
          <w:trHeight w:val="22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(31,811 )</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(29,689 )</w:t>
            </w:r>
          </w:p>
        </w:tc>
      </w:tr>
      <w:tr>
        <w:trPr>
          <w:trHeight w:val="223"/>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(777 )</w:t>
            </w:r>
          </w:p>
        </w:tc>
      </w:tr>
      <w:tr>
        <w:trPr>
          <w:trHeight w:val="223"/>
        </w:trPr>
        <w:tc>
          <w:tcPr>
            <w:tcW w:w="7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198,840</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(259,896 )</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(218,692 )</w:t>
            </w: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car wash operations, net of cash acquired</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(51,890 )</w:t>
            </w:r>
          </w:p>
        </w:tc>
      </w:tr>
      <w:tr>
        <w:trPr>
          <w:trHeight w:val="23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36,431</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(223,465 )</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(173,652 )</w:t>
            </w:r>
          </w:p>
        </w:tc>
      </w:tr>
      <w:tr>
        <w:trPr>
          <w:trHeight w:val="229"/>
        </w:trPr>
        <w:tc>
          <w:tcPr>
            <w:tcW w:w="7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plans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of tax withholding on option exercises</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(19,290 )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debt borrowings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 borrowings</w:t>
            </w:r>
          </w:p>
        </w:tc>
        <w:tc>
          <w:tcPr>
            <w:tcW w:w="2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(903,513 )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(164,000 )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2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(5,257 )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(552 )</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(492 )</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r>
      <w:tr>
        <w:trPr>
          <w:trHeight w:val="223"/>
        </w:trPr>
        <w:tc>
          <w:tcPr>
            <w:tcW w:w="7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22,130</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 during period</w:t>
            </w:r>
          </w:p>
        </w:tc>
        <w:tc>
          <w:tcPr>
            <w:tcW w:w="260" w:type="dxa"/>
            <w:vAlign w:val="bottom"/>
          </w:tcPr>
          <w:p>
            <w:pPr>
              <w:spacing w:after="0"/>
              <w:rPr>
                <w:sz w:val="24"/>
                <w:szCs w:val="24"/>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(2,495 )</w:t>
            </w:r>
          </w:p>
        </w:tc>
        <w:tc>
          <w:tcPr>
            <w:tcW w:w="3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(2,982 )</w:t>
            </w:r>
          </w:p>
        </w:tc>
      </w:tr>
      <w:tr>
        <w:trPr>
          <w:trHeight w:val="23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19,119</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62,240</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62,133</w:t>
            </w:r>
          </w:p>
        </w:tc>
        <w:tc>
          <w:tcPr>
            <w:tcW w:w="100" w:type="dxa"/>
            <w:vAlign w:val="bottom"/>
          </w:tcPr>
          <w:p>
            <w:pPr>
              <w:spacing w:after="0"/>
              <w:rPr>
                <w:sz w:val="19"/>
                <w:szCs w:val="19"/>
                <w:color w:val="auto"/>
              </w:rPr>
            </w:pPr>
          </w:p>
        </w:tc>
      </w:tr>
      <w:tr>
        <w:trPr>
          <w:trHeight w:val="23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62,240</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60,436</w:t>
            </w:r>
          </w:p>
        </w:tc>
        <w:tc>
          <w:tcPr>
            <w:tcW w:w="3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56,164</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FF0FC"/>
          </w:tcPr>
          <w:p>
            <w:pPr>
              <w:spacing w:after="0"/>
              <w:rPr>
                <w:sz w:val="20"/>
                <w:szCs w:val="20"/>
                <w:color w:val="auto"/>
              </w:rPr>
            </w:pPr>
          </w:p>
        </w:tc>
      </w:tr>
      <w:tr>
        <w:trPr>
          <w:trHeight w:val="44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in accounts payable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 other accrued expenses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option exercise proceeds in other receivables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-5351145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-5351145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-4614545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-4614545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-2696210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-2696210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-2251075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-2251075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-1489075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-1489075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980" w:right="499" w:bottom="24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Mister Car Wash,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Stockholders’ Equity</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8"/>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9"/>
                <w:szCs w:val="19"/>
                <w:color w:val="auto"/>
              </w:rPr>
            </w:pP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315,192,401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817,271</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94,607</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915,035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139,409</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4,116,291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Tax withholding on option exercises</w:t>
            </w:r>
          </w:p>
        </w:tc>
        <w:tc>
          <w:tcPr>
            <w:tcW w:w="152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(1,613,019 )</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(16 )</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(9,924 )</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(9,940 )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16,637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317,835,082</w:t>
            </w:r>
          </w:p>
        </w:tc>
        <w:tc>
          <w:tcPr>
            <w:tcW w:w="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814,296</w:t>
            </w:r>
          </w:p>
        </w:tc>
        <w:tc>
          <w:tcPr>
            <w:tcW w:w="260" w:type="dxa"/>
            <w:vAlign w:val="bottom"/>
            <w:shd w:val="clear" w:color="auto" w:fill="CFF0FC"/>
          </w:tcPr>
          <w:p>
            <w:pPr>
              <w:spacing w:after="0"/>
              <w:rPr>
                <w:sz w:val="23"/>
                <w:szCs w:val="23"/>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111,244</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928,724</w:t>
            </w:r>
          </w:p>
        </w:tc>
        <w:tc>
          <w:tcPr>
            <w:tcW w:w="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 w:type="dxa"/>
            <w:vAlign w:val="bottom"/>
            <w:tcBorders>
              <w:top w:val="single" w:sz="8" w:color="CFF0FC"/>
            </w:tcBorders>
          </w:tcPr>
          <w:p>
            <w:pPr>
              <w:spacing w:after="0"/>
              <w:rPr>
                <w:sz w:val="17"/>
                <w:szCs w:val="17"/>
                <w:color w:val="auto"/>
              </w:rPr>
            </w:pPr>
          </w:p>
        </w:tc>
        <w:tc>
          <w:tcPr>
            <w:tcW w:w="374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5,906</w:t>
            </w:r>
          </w:p>
        </w:tc>
        <w:tc>
          <w:tcPr>
            <w:tcW w:w="2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5,906</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under employee plans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232,136</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1,411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1,413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1,114,106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3,599,539</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withholding on option exercises</w:t>
            </w: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(1,385,675 )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(9,382 )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(9,395 )</w:t>
            </w:r>
          </w:p>
        </w:tc>
        <w:tc>
          <w:tcPr>
            <w:tcW w:w="0" w:type="dxa"/>
            <w:vAlign w:val="bottom"/>
          </w:tcPr>
          <w:p>
            <w:pPr>
              <w:spacing w:after="0"/>
              <w:rPr>
                <w:sz w:val="1"/>
                <w:szCs w:val="1"/>
                <w:color w:val="auto"/>
              </w:rPr>
            </w:pPr>
          </w:p>
        </w:tc>
      </w:tr>
      <w:tr>
        <w:trPr>
          <w:trHeight w:val="232"/>
        </w:trPr>
        <w:tc>
          <w:tcPr>
            <w:tcW w:w="80" w:type="dxa"/>
            <w:vAlign w:val="bottom"/>
            <w:tcBorders>
              <w:bottom w:val="single" w:sz="8" w:color="CFF0FC"/>
            </w:tcBorders>
            <w:shd w:val="clear" w:color="auto" w:fill="CFF0FC"/>
          </w:tcPr>
          <w:p>
            <w:pPr>
              <w:spacing w:after="0"/>
              <w:rPr>
                <w:sz w:val="20"/>
                <w:szCs w:val="20"/>
                <w:color w:val="auto"/>
              </w:rPr>
            </w:pPr>
          </w:p>
        </w:tc>
        <w:tc>
          <w:tcPr>
            <w:tcW w:w="37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22,091</w:t>
            </w: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22,091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321,395,188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812,845</w:t>
            </w:r>
          </w:p>
        </w:tc>
        <w:tc>
          <w:tcPr>
            <w:tcW w:w="26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133,335</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949,400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 w:type="dxa"/>
            <w:vAlign w:val="bottom"/>
            <w:shd w:val="clear" w:color="auto" w:fill="CFF0FC"/>
          </w:tcPr>
          <w:p>
            <w:pPr>
              <w:spacing w:after="0"/>
              <w:rPr>
                <w:sz w:val="18"/>
                <w:szCs w:val="18"/>
                <w:color w:val="auto"/>
              </w:rPr>
            </w:pPr>
          </w:p>
        </w:tc>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6,691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6,691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843,952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 w:type="dxa"/>
            <w:vAlign w:val="bottom"/>
            <w:tcBorders>
              <w:bottom w:val="single" w:sz="8" w:color="CFF0FC"/>
            </w:tcBorders>
            <w:shd w:val="clear" w:color="auto" w:fill="CFF0FC"/>
          </w:tcPr>
          <w:p>
            <w:pPr>
              <w:spacing w:after="0"/>
              <w:rPr>
                <w:sz w:val="20"/>
                <w:szCs w:val="20"/>
                <w:color w:val="auto"/>
              </w:rPr>
            </w:pPr>
          </w:p>
        </w:tc>
        <w:tc>
          <w:tcPr>
            <w:tcW w:w="37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22,342</w:t>
            </w: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22,342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322,239,140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820,498</w:t>
            </w:r>
          </w:p>
        </w:tc>
        <w:tc>
          <w:tcPr>
            <w:tcW w:w="26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155,677</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979,403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0"/>
        </w:trPr>
        <w:tc>
          <w:tcPr>
            <w:tcW w:w="3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8"/>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Paid-in 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306,626,530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783,579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801,128</w:t>
            </w:r>
          </w:p>
        </w:tc>
        <w:tc>
          <w:tcPr>
            <w:tcW w:w="1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1,471,021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308,101,847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4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under employee plans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207,042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634,069</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(6 )</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2,815,372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27,132</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27,132</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311,758,330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799,498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62,745</w:t>
            </w:r>
          </w:p>
        </w:tc>
        <w:tc>
          <w:tcPr>
            <w:tcW w:w="4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865,366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2,212,411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19,485</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19,485</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313,970,741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82,230</w:t>
            </w:r>
          </w:p>
        </w:tc>
        <w:tc>
          <w:tcPr>
            <w:tcW w:w="4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892,717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-5273675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-5256530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-5273675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-5256530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-5273675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-5256530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-5273675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-5256530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-5273675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-5256530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-4374515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-4374515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-4374515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-4374515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-4374515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-3758565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-3758565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-3758565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-3758565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-3758565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-1703070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-1703070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-1703070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-1703070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-1703070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-795655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-795655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-795655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-795655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-795655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-179070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-179070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Nature of Business</w:t>
      </w:r>
    </w:p>
    <w:p>
      <w:pPr>
        <w:spacing w:after="0" w:line="12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231F20"/>
        </w:rPr>
        <w:t xml:space="preserve">Mister Car Wash, Inc., a Delaware corporation, together with its subsidiaries (collectively, </w:t>
      </w:r>
      <w:r>
        <w:rPr>
          <w:rFonts w:ascii="Times New Roman" w:cs="Times New Roman" w:eastAsia="Times New Roman" w:hAnsi="Times New Roman"/>
          <w:sz w:val="18"/>
          <w:szCs w:val="18"/>
          <w:color w:val="000000"/>
        </w:rPr>
        <w:t>“we,” “us,” “our” or</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is based in Tucson, Arizona and is a provider of conveyorized car wash services. We primarily operate Express Exterior Locations, which offer express exterior cleaning services along with free vacuum services, and interior cleaning services at select locations. As of September 30, 2024, we operated 501 car washes in 21 states.</w:t>
      </w:r>
    </w:p>
    <w:p>
      <w:pPr>
        <w:spacing w:after="0" w:line="394" w:lineRule="exact"/>
        <w:rPr>
          <w:sz w:val="20"/>
          <w:szCs w:val="20"/>
          <w:color w:val="auto"/>
        </w:rPr>
      </w:pPr>
    </w:p>
    <w:p>
      <w:pPr>
        <w:ind w:right="7580" w:firstLine="8"/>
        <w:spacing w:after="0" w:line="377" w:lineRule="auto"/>
        <w:tabs>
          <w:tab w:leader="none" w:pos="270"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The accompanying unaudited consolidated financial statements as of September 30, 2024 and for the three and nine months ended September 30, 2024 and 2023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omitted pursuant to such rules and regulations. These consolidated financial statements should be read in conjunction with our audited consolidated financial statements and the notes thereto for the year ended December 31, 2023 included in the 2023 Form 10-K.</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The consolidated financial statements have been prepared on the same basis as the audited consolidated financial statements. In the opinion of management, the included disclosures are adequate, and the accompanying consolidated financial statements contain all adjustments which are necessary for a fair presentation of our consolidated financial position as of September 30, 2024, consolidated results of operations for the three and nine months ended September 30, 2024 and 2023, and consolidated cash flows for the nine months ended September 30, 2024 and 2023. Such adjustments are of a normal and recurring nature. The consolidated results of operations for the three and nine months ended September 30, 2024 are not necessarily indicative of the consolidated results of operations that may be expected for any other future interim or annual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The accompanying consolidated financial statements include the accounts of the Company. All material intercompany balances and transactions have been eliminated in consolidation.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Reclassification</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2B333D"/>
        </w:rPr>
        <w:t>Within the consolidated financial statements certain immaterial amounts have been reclassified to conform with current period presentation. We reclassified Restricted cash of $146 and $72 from an individual line item on the consolidated balance sheets at September 30, 2024 and December 31, 2023, respectively, to Prepaid expenses and other current assets to conform with the current period presentation.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231F20"/>
        </w:rPr>
        <w:t>The preparation of the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Receivable, Net</w:t>
      </w:r>
    </w:p>
    <w:p>
      <w:pPr>
        <w:spacing w:after="0" w:line="121"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231F20"/>
        </w:rPr>
        <w:t>Accounts receivable are presented net of an allowance for doubtful accounts of $95 and $68 as of September 30, 2024 and December 31, 2023, respectively. The activity in the allowance for doubtful accounts was immaterial for the three and nine months ended September 30, 2024 and 2023.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Other Receivables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231F20"/>
              </w:rPr>
              <w:t>Other receivables consisted of the following for the periods presented: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receivable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receivables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15,422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Inventory, Net</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231F20"/>
              </w:rPr>
              <w:t>Inventory consisted of the following for the periods presented: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5,607</w:t>
            </w:r>
          </w:p>
        </w:tc>
        <w:tc>
          <w:tcPr>
            <w:tcW w:w="58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76"/>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5,491</w:t>
            </w: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bottom w:val="single" w:sz="8" w:color="auto"/>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380" w:type="dxa"/>
            <w:vAlign w:val="bottom"/>
            <w:gridSpan w:val="12"/>
          </w:tcPr>
          <w:p>
            <w:pPr>
              <w:spacing w:after="0"/>
              <w:rPr>
                <w:sz w:val="20"/>
                <w:szCs w:val="20"/>
                <w:color w:val="auto"/>
              </w:rPr>
            </w:pPr>
            <w:r>
              <w:rPr>
                <w:rFonts w:ascii="Times New Roman" w:cs="Times New Roman" w:eastAsia="Times New Roman" w:hAnsi="Times New Roman"/>
                <w:sz w:val="18"/>
                <w:szCs w:val="18"/>
                <w:color w:val="231F20"/>
              </w:rPr>
              <w:t>The activity in the reserve for obsolescence was immaterial for the three and nine months ended September 30, 2024 and 2023.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net revenues for the periods presented:</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184,725</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167,670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545,066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66,320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198,148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234,076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743,555</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-3355975</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-1823085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-1805940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-187960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Earnings Per Share</w:t>
      </w:r>
    </w:p>
    <w:p>
      <w:pPr>
        <w:spacing w:after="0" w:line="12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231F20"/>
        </w:rPr>
        <w:t>Basic earnings per share is computed by dividing net income by the weighted-average number of common shares outstanding for the period. Diluted earnings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earnings per share if their effect is antidilutive. Reconciliations of the numerators and denominators of the basic and diluted earnings per share calculations for the periods presented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308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0"/>
        </w:trPr>
        <w:tc>
          <w:tcPr>
            <w:tcW w:w="4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22,342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61,070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67,753</w:t>
            </w:r>
          </w:p>
        </w:tc>
      </w:tr>
      <w:tr>
        <w:trPr>
          <w:trHeight w:val="20"/>
        </w:trPr>
        <w:tc>
          <w:tcPr>
            <w:tcW w:w="4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8"/>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321,917,525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312,883,586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319,067,596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309,850,600</w:t>
            </w:r>
          </w:p>
        </w:tc>
      </w:tr>
      <w:tr>
        <w:trPr>
          <w:trHeight w:val="247"/>
        </w:trPr>
        <w:tc>
          <w:tcPr>
            <w:tcW w:w="4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8"/>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5,562,479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15,573,984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8,585,621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17,912,009</w:t>
            </w:r>
          </w:p>
        </w:tc>
      </w:tr>
      <w:tr>
        <w:trPr>
          <w:trHeight w:val="247"/>
        </w:trPr>
        <w:tc>
          <w:tcPr>
            <w:tcW w:w="4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1,763,531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289,840</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1,540,123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463,687</w:t>
            </w:r>
          </w:p>
        </w:tc>
      </w:tr>
      <w:tr>
        <w:trPr>
          <w:trHeight w:val="243"/>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55,791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97,159</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29,301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39,582</w:t>
            </w:r>
          </w:p>
        </w:tc>
      </w:tr>
      <w:tr>
        <w:trPr>
          <w:trHeight w:val="276"/>
        </w:trPr>
        <w:tc>
          <w:tcPr>
            <w:tcW w:w="4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329,299,326</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328,844,569</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329,222,641</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328,265,878</w:t>
            </w:r>
          </w:p>
        </w:tc>
      </w:tr>
      <w:tr>
        <w:trPr>
          <w:trHeight w:val="46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r>
      <w:tr>
        <w:trPr>
          <w:trHeight w:val="412"/>
        </w:trPr>
        <w:tc>
          <w:tcPr>
            <w:tcW w:w="49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762"/>
        </w:trPr>
        <w:tc>
          <w:tcPr>
            <w:tcW w:w="4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-1309370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-1292225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-1309370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-1292225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-1309370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-1292225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-795655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-778510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-795655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-778510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-795655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-778510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964" w:gutter="0" w:footer="0" w:header="0"/>
        </w:sectPr>
      </w:pPr>
    </w:p>
    <w:bookmarkStart w:id="10" w:name="page11"/>
    <w:bookmarkEnd w:id="10"/>
    <w:p>
      <w:pPr>
        <w:ind w:right="360"/>
        <w:spacing w:after="0" w:line="281" w:lineRule="auto"/>
        <w:rPr>
          <w:sz w:val="20"/>
          <w:szCs w:val="20"/>
          <w:color w:val="auto"/>
        </w:rPr>
      </w:pPr>
      <w:r>
        <w:rPr>
          <w:rFonts w:ascii="Times New Roman" w:cs="Times New Roman" w:eastAsia="Times New Roman" w:hAnsi="Times New Roman"/>
          <w:sz w:val="18"/>
          <w:szCs w:val="18"/>
          <w:color w:val="231F20"/>
        </w:rPr>
        <w:t>The following potentially dilutive shares were excluded from the computation of diluted earnings per share for the periods presented because including them would have been antidilutive: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4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6120" w:type="dxa"/>
            <w:vAlign w:val="bottom"/>
          </w:tcPr>
          <w:p>
            <w:pPr>
              <w:spacing w:after="0"/>
              <w:rPr>
                <w:sz w:val="21"/>
                <w:szCs w:val="21"/>
                <w:color w:val="auto"/>
              </w:rPr>
            </w:pPr>
          </w:p>
        </w:tc>
        <w:tc>
          <w:tcPr>
            <w:tcW w:w="24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1"/>
                <w:szCs w:val="21"/>
                <w:color w:val="auto"/>
              </w:rPr>
            </w:pPr>
          </w:p>
        </w:tc>
        <w:tc>
          <w:tcPr>
            <w:tcW w:w="24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0"/>
        </w:trPr>
        <w:tc>
          <w:tcPr>
            <w:tcW w:w="6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5,209,783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3,798,034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4,343,090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3,343,733</w:t>
            </w:r>
          </w:p>
        </w:tc>
        <w:tc>
          <w:tcPr>
            <w:tcW w:w="100" w:type="dxa"/>
            <w:vAlign w:val="bottom"/>
            <w:shd w:val="clear" w:color="auto" w:fill="CFF0FC"/>
          </w:tcPr>
          <w:p>
            <w:pPr>
              <w:spacing w:after="0"/>
              <w:rPr>
                <w:sz w:val="20"/>
                <w:szCs w:val="20"/>
                <w:color w:val="auto"/>
              </w:rPr>
            </w:pPr>
          </w:p>
        </w:tc>
      </w:tr>
      <w:tr>
        <w:trPr>
          <w:trHeight w:val="23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445,641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199,888</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100" w:type="dxa"/>
            <w:vAlign w:val="bottom"/>
            <w:shd w:val="clear" w:color="auto" w:fill="CFF0FC"/>
          </w:tcPr>
          <w:p>
            <w:pPr>
              <w:spacing w:after="0"/>
              <w:rPr>
                <w:sz w:val="21"/>
                <w:szCs w:val="2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w:t>
      </w:r>
    </w:p>
    <w:p>
      <w:pPr>
        <w:spacing w:after="0" w:line="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March 2024, we determined that we qualify for $5,189 in relief for the period from March 13, 2020 to December 31, 2020. Upon receipt of the credit, we will owe $526 in tax advisory costs associated with the assessment of the tax credit. This amount was expensed within General and administrative expenses in the amount of $0 and $526 during the three and nine months ended September 30, 2024, respectively. As there is no authoritative guidance under U.S.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GAAP for government assistance to for-profit business entities, the Company accounts for the ERC by analogy to International Accounting Standards 20, or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In accordance with IAS 20, management determined it has reasonable assurance of receipt of the identified ERC amount and recorded the credit in the amount of $0 and $5,189 in Other income on our consolidated statements of operations during the three and nine months ended September 30, 2024, respectively. A corresponding accrual of the tax credit receivable was recorded under Other assets on our consolidated balance sheet as of September 30,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Accounting Pronouncements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The adoption of this ASU is not expected to have a material impact on our consolidated financial statements.</w:t>
      </w:r>
    </w:p>
    <w:p>
      <w:pPr>
        <w:spacing w:after="0" w:line="7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enhanced disclosures regarding significant segment expenses and other segment items for public entities on both an annual and interim basis. Specifically, the update requires that entities provide, during interim periods, all disclosures related to a reportable segment's profit or loss and assets that were previously required only on an annual basis. Additionally, this guidance necessitates the disclosure of the title and position of the Chief Operating Decision Maker ("CODM"). The new guidance does not modify how a public entity identifies its operating segments, aggregates them, or applies the quantitative thresholds to determine its reportable segments. This update is effective for fiscal years beginning after December 15, 2023, and interim periods within those fiscal years starting after December 15, 2024. This ASU must be applied retrospectively to all prior periods presented. Early adoption is permitted. The adoption of this ASU is not expected to have a material impact on our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3.  Property and Equipment, Net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w:t>
            </w:r>
            <w:r>
              <w:rPr>
                <w:rFonts w:ascii="Times New Roman" w:cs="Times New Roman" w:eastAsia="Times New Roman" w:hAnsi="Times New Roman"/>
                <w:sz w:val="18"/>
                <w:szCs w:val="18"/>
                <w:color w:val="231F20"/>
              </w:rPr>
              <w:t>for the periods presented</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45"/>
        </w:trPr>
        <w:tc>
          <w:tcPr>
            <w:tcW w:w="7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140,461</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341,545</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263,468</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135,861</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Vehicles and equipment</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324,735</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285,127</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102,595</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100,457</w:t>
            </w:r>
          </w:p>
        </w:tc>
        <w:tc>
          <w:tcPr>
            <w:tcW w:w="100" w:type="dxa"/>
            <w:vAlign w:val="bottom"/>
          </w:tcPr>
          <w:p>
            <w:pPr>
              <w:spacing w:after="0"/>
              <w:rPr>
                <w:sz w:val="20"/>
                <w:szCs w:val="20"/>
                <w:color w:val="auto"/>
              </w:rPr>
            </w:pPr>
          </w:p>
        </w:tc>
      </w:tr>
      <w:tr>
        <w:trPr>
          <w:trHeight w:val="243"/>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110,411</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1,183,914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999,116</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(308,966 )</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(270,706 )</w:t>
            </w: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 - finance leases</w:t>
            </w:r>
          </w:p>
        </w:tc>
        <w:tc>
          <w:tcPr>
            <w:tcW w:w="12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(4,045 )</w:t>
            </w:r>
          </w:p>
        </w:tc>
        <w:tc>
          <w:tcPr>
            <w:tcW w:w="1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(3,289 )</w:t>
            </w:r>
          </w:p>
        </w:tc>
      </w:tr>
      <w:tr>
        <w:trPr>
          <w:trHeight w:val="280"/>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870,903</w:t>
            </w:r>
          </w:p>
        </w:tc>
        <w:tc>
          <w:tcPr>
            <w:tcW w:w="3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-658495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2024 and 2023, depreciation expense was $19,682 </w:t>
      </w:r>
      <w:r>
        <w:rPr>
          <w:rFonts w:ascii="Times New Roman" w:cs="Times New Roman" w:eastAsia="Times New Roman" w:hAnsi="Times New Roman"/>
          <w:sz w:val="18"/>
          <w:szCs w:val="18"/>
          <w:color w:val="231F20"/>
        </w:rPr>
        <w:t>and $15,633</w:t>
      </w:r>
      <w:r>
        <w:rPr>
          <w:rFonts w:ascii="Times New Roman" w:cs="Times New Roman" w:eastAsia="Times New Roman" w:hAnsi="Times New Roman"/>
          <w:sz w:val="18"/>
          <w:szCs w:val="18"/>
          <w:color w:val="auto"/>
        </w:rPr>
        <w:t>, respectively. For the nine months ended September 30, 2024 and 2023, depreciation expense was $55,754 and $45,567, respectively.</w:t>
      </w:r>
    </w:p>
    <w:p>
      <w:pPr>
        <w:spacing w:after="0" w:line="5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2024 and 2023, amortization expense on finance leases was $254 </w:t>
      </w:r>
      <w:r>
        <w:rPr>
          <w:rFonts w:ascii="Times New Roman" w:cs="Times New Roman" w:eastAsia="Times New Roman" w:hAnsi="Times New Roman"/>
          <w:sz w:val="18"/>
          <w:szCs w:val="18"/>
          <w:color w:val="231F20"/>
        </w:rPr>
        <w:t>and $251</w:t>
      </w:r>
      <w:r>
        <w:rPr>
          <w:rFonts w:ascii="Times New Roman" w:cs="Times New Roman" w:eastAsia="Times New Roman" w:hAnsi="Times New Roman"/>
          <w:sz w:val="18"/>
          <w:szCs w:val="18"/>
          <w:color w:val="auto"/>
        </w:rPr>
        <w:t>, respectively. For the nine months ended September 30, 2024 and 2023, amortization expense on finance leases was $756 and $753,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intangibles assets, net consisted of the following as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2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8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3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7"/>
                <w:szCs w:val="17"/>
                <w:color w:val="auto"/>
              </w:rPr>
            </w:pPr>
          </w:p>
        </w:tc>
      </w:tr>
      <w:tr>
        <w:trPr>
          <w:trHeight w:val="245"/>
        </w:trPr>
        <w:tc>
          <w:tcPr>
            <w:tcW w:w="3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20"/>
                <w:szCs w:val="20"/>
                <w:color w:val="auto"/>
              </w:rPr>
            </w:pPr>
          </w:p>
        </w:tc>
      </w:tr>
      <w:tr>
        <w:trPr>
          <w:trHeight w:val="28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231F20"/>
        </w:rPr>
        <w:t>For the three months ended September 30, 2024 and 2023, amortization expense associated with our finite-lived intangible assets was $1,246 and $1,715, respectively. For the nine months ended September 30, 2024 and 2023, amortization expense associated with our finite-lived intangible assets was $4,528 and $5,098,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September 30, 2024, estimated future amortization expense was as follows: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5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r>
      <w:tr>
        <w:trPr>
          <w:trHeight w:val="27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50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FF0FC"/>
          </w:tcPr>
          <w:p>
            <w:pPr>
              <w:spacing w:after="0"/>
              <w:rPr>
                <w:sz w:val="24"/>
                <w:szCs w:val="24"/>
                <w:color w:val="auto"/>
              </w:rPr>
            </w:pPr>
          </w:p>
        </w:tc>
      </w:tr>
      <w:tr>
        <w:trPr>
          <w:trHeight w:val="412"/>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231F20"/>
              </w:rPr>
              <w:t>5.  Goodwill</w:t>
            </w:r>
          </w:p>
        </w:tc>
        <w:tc>
          <w:tcPr>
            <w:tcW w:w="5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231F20"/>
              </w:rPr>
              <w:t>Goodwill consisted of the following for the periods presented:</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6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640" w:type="dxa"/>
            <w:vAlign w:val="bottom"/>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7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00" w:type="dxa"/>
            <w:vAlign w:val="bottom"/>
            <w:tcBorders>
              <w:bottom w:val="single" w:sz="8" w:color="CFF0FC"/>
            </w:tcBorders>
          </w:tcPr>
          <w:p>
            <w:pPr>
              <w:spacing w:after="0"/>
              <w:rPr>
                <w:sz w:val="20"/>
                <w:szCs w:val="20"/>
                <w:color w:val="auto"/>
              </w:rPr>
            </w:pPr>
          </w:p>
        </w:tc>
      </w:tr>
      <w:tr>
        <w:trPr>
          <w:trHeight w:val="28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231F20"/>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Other accrued expenses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other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00" w:type="dxa"/>
            <w:vAlign w:val="bottom"/>
            <w:tcBorders>
              <w:top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6,245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6,130</w:t>
            </w:r>
          </w:p>
        </w:tc>
      </w:tr>
      <w:tr>
        <w:trPr>
          <w:trHeight w:val="238"/>
        </w:trPr>
        <w:tc>
          <w:tcPr>
            <w:tcW w:w="1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12,135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9,482</w:t>
            </w:r>
          </w:p>
        </w:tc>
      </w:tr>
      <w:tr>
        <w:trPr>
          <w:trHeight w:val="243"/>
        </w:trPr>
        <w:tc>
          <w:tcPr>
            <w:tcW w:w="1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4,197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4,355</w:t>
            </w:r>
          </w:p>
        </w:tc>
      </w:tr>
      <w:tr>
        <w:trPr>
          <w:trHeight w:val="243"/>
        </w:trPr>
        <w:tc>
          <w:tcPr>
            <w:tcW w:w="1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13,343</w:t>
            </w:r>
          </w:p>
        </w:tc>
      </w:tr>
      <w:tr>
        <w:trPr>
          <w:trHeight w:val="250"/>
        </w:trPr>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4,216</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5,428</w:t>
            </w:r>
          </w:p>
        </w:tc>
      </w:tr>
      <w:tr>
        <w:trPr>
          <w:trHeight w:val="238"/>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26,793</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38,738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6720" w:space="720"/>
            <w:col w:w="3800"/>
          </w:cols>
          <w:pgMar w:left="320" w:top="1196" w:right="339" w:bottom="1086" w:gutter="0" w:footer="0" w:header="0"/>
        </w:sectPr>
      </w:pPr>
    </w:p>
    <w:p>
      <w:pPr>
        <w:ind w:right="80"/>
        <w:spacing w:after="0" w:line="281" w:lineRule="auto"/>
        <w:rPr>
          <w:sz w:val="20"/>
          <w:szCs w:val="20"/>
          <w:color w:val="auto"/>
        </w:rPr>
      </w:pPr>
      <w:r>
        <w:rPr>
          <w:rFonts w:ascii="Times New Roman" w:cs="Times New Roman" w:eastAsia="Times New Roman" w:hAnsi="Times New Roman"/>
          <w:sz w:val="18"/>
          <w:szCs w:val="18"/>
          <w:color w:val="auto"/>
        </w:rPr>
        <w:t>Greenfield development accruals represent an obligation to pay for invoices not yet received, primarily related to land and buildings and improvements, on properties which we have taken control of as of September 30, 2024 and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Income Taxes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231F20"/>
        </w:rPr>
        <w:t>The effective income tax rates on continuing operations for the nine months ended September 30, 2024 and 2023 were 31.8% and 21.3%, respectively. In general, the effective tax rates differed from the U.S. federal statutory income tax rate primarily due to state income taxes, non-deductible expenses such as those related to certain executive compensation, and other discrete tax adjustments recorded during the period.</w:t>
      </w:r>
    </w:p>
    <w:p>
      <w:pPr>
        <w:spacing w:after="0" w:line="6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nine months ended September 30, 2024 included taxes on earnings at an anticipated annual effective tax rate of 25.5% and a net, unfavorable tax impact of $5,652 related primarily to discrete tax expense originating from stock options exercised during the nine months ended September 30, 2024.</w:t>
      </w:r>
    </w:p>
    <w:p>
      <w:pPr>
        <w:spacing w:after="0" w:line="6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nine months ended September 30, 2023 included taxes on earnings at an anticipated annual effective tax rate of 25.6% and a net, favorable tax impact of $3,638 related primarily to discrete tax benefits originating from stock options exercised during the nine months ended September 30, 2023.</w:t>
      </w:r>
    </w:p>
    <w:p>
      <w:pPr>
        <w:spacing w:after="0" w:line="6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231F20"/>
        </w:rPr>
        <w:t>On August 9, 2022, the Creating Helpful Incentives to Produce Semiconductors (“CHIPS”) Act of 2022 was signed into law. The CHIPS Act is designed to boost domestic semiconductor manufacturing and encourage U.S. research activities. Also in 2022, the Inflation Reduction Act (“IRA”) of 2022 was signed into law. The IRA created a new book-minimum tax on certain large corporations and an excise tax on stock buybacks while also providing incentives to address climate change mitigation and clean energy, among other items. Most of these changes became effective for the 2023 tax year and after initial evaluation, and similar to the prior quarter, we do not currently expect these laws to have a material effect on the consolidated financial statements.</w:t>
      </w:r>
    </w:p>
    <w:p>
      <w:pPr>
        <w:spacing w:after="0" w:line="17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231F20"/>
        </w:rPr>
        <w:t>For the nine months ended September 30, 2024 and 2023, we recorded $406 and $0 related to unrecognized tax benefits or interest and penalties related to any uncertain tax positions.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8.  Debt</w:t>
            </w: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Long-term debt consisted of the following as of the periods presented:</w:t>
            </w: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vMerge w:val="continue"/>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92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922,688</w:t>
            </w: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3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944,688</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(4,392 )</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(3,777 )</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(9,250 )</w:t>
            </w:r>
          </w:p>
        </w:tc>
        <w:tc>
          <w:tcPr>
            <w:tcW w:w="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236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931,046</w:t>
            </w:r>
          </w:p>
        </w:tc>
        <w:tc>
          <w:tcPr>
            <w:tcW w:w="22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As of September 30, 2024, annual maturities of debt were as follows:</w:t>
            </w:r>
          </w:p>
        </w:tc>
        <w:tc>
          <w:tcPr>
            <w:tcW w:w="2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0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2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of debt</w:t>
            </w:r>
          </w:p>
        </w:tc>
        <w:tc>
          <w:tcPr>
            <w:tcW w:w="23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944,688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236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3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-2508250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086" w:gutter="0" w:footer="0" w:header="0"/>
          <w:type w:val="continuous"/>
        </w:sectPr>
      </w:pPr>
    </w:p>
    <w:bookmarkStart w:id="13" w:name="page14"/>
    <w:bookmarkEnd w:id="13"/>
    <w:p>
      <w:pPr>
        <w:ind w:right="200"/>
        <w:spacing w:after="0" w:line="281" w:lineRule="auto"/>
        <w:rPr>
          <w:sz w:val="20"/>
          <w:szCs w:val="20"/>
          <w:color w:val="auto"/>
        </w:rPr>
      </w:pPr>
      <w:r>
        <w:rPr>
          <w:rFonts w:ascii="Times New Roman" w:cs="Times New Roman" w:eastAsia="Times New Roman" w:hAnsi="Times New Roman"/>
          <w:sz w:val="18"/>
          <w:szCs w:val="18"/>
          <w:color w:val="231F20"/>
        </w:rPr>
        <w:t>As of September 30, 2024 and December 31, 2023, unamortized discount and debt issuance costs were $6,444 and $4,030, respectively, and accumulated amortization of debt issuance costs was $3,746 and $6,145, respectively.</w:t>
      </w:r>
    </w:p>
    <w:p>
      <w:pPr>
        <w:spacing w:after="0" w:line="5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For the three months ended September 30, 2024 and 2023, the amortization of debt issuance costs in interest expense, net in the consolidated statements of operations was approximately $248 and $428, respectively.</w:t>
      </w:r>
    </w:p>
    <w:p>
      <w:pPr>
        <w:spacing w:after="0" w:line="55"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231F20"/>
        </w:rPr>
        <w:t>For the nine months ended September 30, 2024 and 2023, the amortization of debt issuance costs in interest expense, net in the consolidated statements of operations was approximately $961 and $1,270,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Amended and Restated First Lien Credit Agreement</w:t>
      </w:r>
    </w:p>
    <w:p>
      <w:pPr>
        <w:spacing w:after="0" w:line="12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First Lien Term Loan</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231F20"/>
        </w:rPr>
        <w:t xml:space="preserve">In March 2024, we entered into Amendment No. 5 to the Amended and Restated First Lien Credit Agreement with the lenders party thereto, and </w:t>
      </w:r>
      <w:r>
        <w:rPr>
          <w:rFonts w:ascii="Times New Roman" w:cs="Times New Roman" w:eastAsia="Times New Roman" w:hAnsi="Times New Roman"/>
          <w:sz w:val="18"/>
          <w:szCs w:val="18"/>
          <w:color w:val="000000"/>
        </w:rPr>
        <w:t>Bank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America, N.A. ("BofA")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 The 2024 Term Loans have an interest rate of Term SOFR or Base Rate, at our option, plus an applicable margin (3.00% for SOFR Loans or 2.00% for Base Rate Loans), subject to step-downs based on the First Lien Net Leverage Ratio. For SOFR Loans, the margin starts at 3.00% and can decrease to 2.75% and 2.50% based on the First Lien Net Leverage Ratio. For Base Rate Loans, the margin begins at 2.00% and can decrease to 1.75% and 1.50%, depending on the First Lien Net Leverage Ratio. The SOFR rate has a floor of 0.00%. Starting September 30, 2024, the loans will be amortized in equal quarterly installments at an annual rate of 1.00% of the original principal amount. As a result of this amendment, the loans are scheduled to mature in March 2031. In connection with Amendment No. 5, we expensed $1,882 of previously unamortized debt issuance costs as a loss on extinguishment of debt in the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Commitment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we entered into Amendment No. 5 to our Amended and Restated First Lien Credit Agreement to increase our borrowing capacity from</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$150,000 to $300,000. The amendment also updates the interest rate for these loans to SOFR or Base Rate, at our option, plus an applicable margin (2.50% for SOFR Loans or 1.50% for Base Rate Loans), subject to step-ups and step-downs based on the First Lien Net Leverage Ratio. Any unused commitment fee is also payable based on the First Lien Net Leverage Ratio. The Credit Agreement requires the Borrower to maintain a Rent Adjusted Total Net Leverage Ratio no greater than 6.50 to 1.00, tested quarterly beginning with the quarter ending September 30, 2024, for the benefit of lenders holding the Revolving Commitments. The Amendment also extends the time in which we can draw revolving loans under the Revolving Commitments until the earliest of March 2029, permanent reduction of commitments to zero or termination of the commitment.</w:t>
      </w:r>
    </w:p>
    <w:p>
      <w:pPr>
        <w:spacing w:after="0" w:line="8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231F20"/>
        </w:rPr>
        <w:t>The maximum available borrowing capacity under the Revolving Commitments is reduced by outstanding letters of credit under the Revolving Commitments. As of September 30, 2024 and December 31, 2023, the available borrowing capacity under the Revolving Commitments was $277,785 and $149,193, respectively.</w:t>
      </w:r>
    </w:p>
    <w:p>
      <w:pPr>
        <w:spacing w:after="0" w:line="6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In addition, an unused commitment fee based on our First Lien Net Leverage Ratio is payable on the average of the unused borrowing capacity under the Revolving Commitments. As of September 30, 2024 and December 31, 2023, the unused commitment fee was 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Standby Letters of Credit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 xml:space="preserve">As of September 30, 2024, we have a letter of credit sublimit of $90,000 under the Revolving Commitments, provided that the total utilization of revolving commitments under the Revolving Commitment does not exceed $300,000. Any letter of credit issued under the Amended and Restated Credit Agreement has an expiration date which is the earlier of (i) no later than 12 months from the date of issuance or (ii) five business days prior to the maturity date of the Revolving Commitments, as amended under </w:t>
      </w:r>
      <w:r>
        <w:rPr>
          <w:rFonts w:ascii="Times New Roman" w:cs="Times New Roman" w:eastAsia="Times New Roman" w:hAnsi="Times New Roman"/>
          <w:sz w:val="18"/>
          <w:szCs w:val="18"/>
          <w:color w:val="000000"/>
        </w:rPr>
        <w:t>Amendment No. 2 to the Amended and Restated First Lien Credit Agreement</w:t>
      </w:r>
      <w:r>
        <w:rPr>
          <w:rFonts w:ascii="Times New Roman" w:cs="Times New Roman" w:eastAsia="Times New Roman" w:hAnsi="Times New Roman"/>
          <w:sz w:val="18"/>
          <w:szCs w:val="18"/>
          <w:color w:val="231F20"/>
        </w:rPr>
        <w:t>. Letters of credit under the Revolving Commitments reduce the maximum available borrowing capacity under the Revolving Commitment. As of September 30, 2024 and December 31, 2023, the amounts associated with outstanding letters of credit were $215 and $807,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Credit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were in compliance with all covenants related to our long-term debt as of September 30, 2024.</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31F20"/>
        </w:rPr>
        <w:t>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September 30, 2024:</w:t>
      </w:r>
    </w:p>
    <w:p>
      <w:pPr>
        <w:spacing w:after="0" w:line="1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6,547</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4,537</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2023:</w:t>
      </w:r>
    </w:p>
    <w:p>
      <w:pPr>
        <w:spacing w:after="0" w:line="1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5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5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231F20"/>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6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maintain a deferred compensation plan for a certain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spacing w:after="0" w:line="7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231F20"/>
        </w:rPr>
        <w:t xml:space="preserve">As of September 30, 2024 and December 31, 2023, the fair value of our First Lien Term Loan approximated its carrying value </w:t>
      </w:r>
      <w:r>
        <w:rPr>
          <w:rFonts w:ascii="Times New Roman" w:cs="Times New Roman" w:eastAsia="Times New Roman" w:hAnsi="Times New Roman"/>
          <w:sz w:val="18"/>
          <w:szCs w:val="18"/>
          <w:color w:val="000000"/>
        </w:rPr>
        <w:t>due to the debt’s variable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interest rate terms</w:t>
      </w:r>
      <w:r>
        <w:rPr>
          <w:rFonts w:ascii="Times New Roman" w:cs="Times New Roman" w:eastAsia="Times New Roman" w:hAnsi="Times New Roman"/>
          <w:sz w:val="18"/>
          <w:szCs w:val="18"/>
          <w:color w:val="231F20"/>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September 30, 2024 and December 31, 2023, we held no assets in cash investments.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opened it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September 30, 2024. During the three and nine months ended September 30, 2023, a payment was made upon receipt of certificate of occupancy of $0 and $500, respectively. No payments were made during the three and nine months ended September 30,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there were no transfers between fair value measurement levels.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10.  Leases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Balance sheet information related to leases consisted of the following for the periods presented:</w:t>
            </w: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2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2060" w:type="dxa"/>
            <w:vAlign w:val="bottom"/>
          </w:tcPr>
          <w:p>
            <w:pPr>
              <w:spacing w:after="0"/>
              <w:rPr>
                <w:sz w:val="20"/>
                <w:szCs w:val="20"/>
                <w:color w:val="auto"/>
              </w:rPr>
            </w:pPr>
          </w:p>
        </w:tc>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00" w:type="dxa"/>
            <w:vAlign w:val="bottom"/>
            <w:tcBorders>
              <w:top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857,861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833,547</w:t>
            </w:r>
          </w:p>
        </w:tc>
        <w:tc>
          <w:tcPr>
            <w:tcW w:w="100" w:type="dxa"/>
            <w:vAlign w:val="bottom"/>
          </w:tcPr>
          <w:p>
            <w:pPr>
              <w:spacing w:after="0"/>
              <w:rPr>
                <w:sz w:val="20"/>
                <w:szCs w:val="20"/>
                <w:color w:val="auto"/>
              </w:rPr>
            </w:pPr>
          </w:p>
        </w:tc>
      </w:tr>
      <w:tr>
        <w:trPr>
          <w:trHeight w:val="247"/>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870,477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846,862</w:t>
            </w:r>
          </w:p>
        </w:tc>
        <w:tc>
          <w:tcPr>
            <w:tcW w:w="100" w:type="dxa"/>
            <w:vAlign w:val="bottom"/>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47,195</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r>
      <w:tr>
        <w:trPr>
          <w:trHeight w:val="247"/>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826,213</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100" w:type="dxa"/>
            <w:vAlign w:val="bottom"/>
          </w:tcPr>
          <w:p>
            <w:pPr>
              <w:spacing w:after="0"/>
              <w:rPr>
                <w:sz w:val="20"/>
                <w:szCs w:val="20"/>
                <w:color w:val="auto"/>
              </w:rPr>
            </w:pPr>
          </w:p>
        </w:tc>
      </w:tr>
      <w:tr>
        <w:trPr>
          <w:trHeight w:val="243"/>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887,692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868,167</w:t>
            </w:r>
          </w:p>
        </w:tc>
        <w:tc>
          <w:tcPr>
            <w:tcW w:w="100" w:type="dxa"/>
            <w:vAlign w:val="bottom"/>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-1609090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29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45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65"/>
        </w:trPr>
        <w:tc>
          <w:tcPr>
            <w:tcW w:w="4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 (a)</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82,997</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75,680</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 (b)</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Pr>
          <w:p>
            <w:pPr>
              <w:spacing w:after="0"/>
              <w:rPr>
                <w:sz w:val="20"/>
                <w:szCs w:val="20"/>
                <w:color w:val="auto"/>
              </w:rPr>
            </w:pPr>
          </w:p>
        </w:tc>
      </w:tr>
      <w:tr>
        <w:trPr>
          <w:trHeight w:val="28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29,844</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98,258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880" w:hanging="512"/>
        <w:spacing w:after="0" w:line="258"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Operating lease expense includes an immaterial amount of sublease income and is included in other store operating expenses and general and administrative expenses in the accompanying consolidated statements of operations.</w:t>
      </w:r>
    </w:p>
    <w:p>
      <w:pPr>
        <w:spacing w:after="0" w:line="58" w:lineRule="exact"/>
        <w:rPr>
          <w:rFonts w:ascii="Times New Roman" w:cs="Times New Roman" w:eastAsia="Times New Roman" w:hAnsi="Times New Roman"/>
          <w:sz w:val="14"/>
          <w:szCs w:val="14"/>
          <w:color w:val="231F20"/>
        </w:rPr>
      </w:pPr>
    </w:p>
    <w:p>
      <w:pPr>
        <w:ind w:left="520" w:right="60" w:hanging="512"/>
        <w:spacing w:after="0" w:line="258"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Variable lease costs consist of property taxes, property insurance, and common area or other maintenance costs for our leases of land and buildings and is included in other store operating expenses in the accompanying consolidated statements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ectPr>
          <w:pgSz w:w="11900" w:h="16838" w:orient="portrait"/>
          <w:cols w:equalWidth="0" w:num="1">
            <w:col w:w="11300"/>
          </w:cols>
          <w:pgMar w:left="320" w:top="98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p>
      <w:pPr>
        <w:spacing w:after="0" w:line="278"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8"/>
          <w:szCs w:val="18"/>
          <w:color w:val="auto"/>
        </w:rPr>
        <w:t>Operating lease right of use assets obtained in exchange for lease liabilities</w:t>
      </w:r>
    </w:p>
    <w:p>
      <w:pPr>
        <w:spacing w:after="0" w:line="1" w:lineRule="exact"/>
        <w:rPr>
          <w:sz w:val="20"/>
          <w:szCs w:val="20"/>
          <w:color w:val="auto"/>
        </w:rPr>
      </w:pPr>
    </w:p>
    <w:p>
      <w:pPr>
        <w:ind w:left="20" w:right="160"/>
        <w:spacing w:after="0" w:line="281" w:lineRule="auto"/>
        <w:rPr>
          <w:sz w:val="20"/>
          <w:szCs w:val="20"/>
          <w:color w:val="auto"/>
        </w:rPr>
      </w:pPr>
      <w:r>
        <w:rPr>
          <w:rFonts w:ascii="Times New Roman" w:cs="Times New Roman" w:eastAsia="Times New Roman" w:hAnsi="Times New Roman"/>
          <w:sz w:val="18"/>
          <w:szCs w:val="18"/>
          <w:color w:val="auto"/>
        </w:rPr>
        <w:t>Finance lease right of use assets obtained in exchange for lease liabilities</w:t>
      </w:r>
    </w:p>
    <w:p>
      <w:pPr>
        <w:spacing w:after="0" w:line="216" w:lineRule="exact"/>
        <w:rPr>
          <w:sz w:val="20"/>
          <w:szCs w:val="20"/>
          <w:color w:val="auto"/>
        </w:rPr>
      </w:pPr>
    </w:p>
    <w:p>
      <w:pPr>
        <w:ind w:left="20" w:right="700"/>
        <w:spacing w:after="0" w:line="345" w:lineRule="auto"/>
        <w:rPr>
          <w:sz w:val="20"/>
          <w:szCs w:val="20"/>
          <w:color w:val="auto"/>
        </w:rPr>
      </w:pPr>
      <w:r>
        <w:rPr>
          <w:rFonts w:ascii="Times New Roman" w:cs="Times New Roman" w:eastAsia="Times New Roman" w:hAnsi="Times New Roman"/>
          <w:sz w:val="17"/>
          <w:szCs w:val="17"/>
          <w:color w:val="auto"/>
        </w:rPr>
        <w:t>Weighted-average remaining operating lease term Weighted-average remaining finance lease term</w:t>
      </w:r>
    </w:p>
    <w:p>
      <w:pPr>
        <w:spacing w:after="0" w:line="166" w:lineRule="exact"/>
        <w:rPr>
          <w:sz w:val="20"/>
          <w:szCs w:val="20"/>
          <w:color w:val="auto"/>
        </w:rPr>
      </w:pPr>
    </w:p>
    <w:p>
      <w:pPr>
        <w:ind w:left="20" w:right="880"/>
        <w:spacing w:after="0" w:line="345" w:lineRule="auto"/>
        <w:rPr>
          <w:sz w:val="20"/>
          <w:szCs w:val="20"/>
          <w:color w:val="auto"/>
        </w:rPr>
      </w:pPr>
      <w:r>
        <w:rPr>
          <w:rFonts w:ascii="Times New Roman" w:cs="Times New Roman" w:eastAsia="Times New Roman" w:hAnsi="Times New Roman"/>
          <w:sz w:val="17"/>
          <w:szCs w:val="17"/>
          <w:color w:val="auto"/>
        </w:rPr>
        <w:t>Weighted-average operating lease discount rate Weighted-average finance lease discount rate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2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1"/>
                <w:szCs w:val="21"/>
                <w:color w:val="auto"/>
              </w:rPr>
            </w:pPr>
          </w:p>
        </w:tc>
        <w:tc>
          <w:tcPr>
            <w:tcW w:w="3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30"/>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25,758</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74,458</w:t>
            </w:r>
          </w:p>
        </w:tc>
        <w:tc>
          <w:tcPr>
            <w:tcW w:w="160" w:type="dxa"/>
            <w:vAlign w:val="bottom"/>
          </w:tcPr>
          <w:p>
            <w:pPr>
              <w:spacing w:after="0"/>
              <w:rPr>
                <w:sz w:val="19"/>
                <w:szCs w:val="19"/>
                <w:color w:val="auto"/>
              </w:rPr>
            </w:pPr>
          </w:p>
        </w:tc>
      </w:tr>
      <w:tr>
        <w:trPr>
          <w:trHeight w:val="238"/>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20"/>
                <w:szCs w:val="20"/>
                <w:color w:val="auto"/>
              </w:rPr>
            </w:pPr>
          </w:p>
        </w:tc>
      </w:tr>
      <w:tr>
        <w:trPr>
          <w:trHeight w:val="243"/>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21"/>
                <w:szCs w:val="21"/>
                <w:color w:val="auto"/>
              </w:rPr>
            </w:pPr>
          </w:p>
        </w:tc>
      </w:tr>
      <w:tr>
        <w:trPr>
          <w:trHeight w:val="593"/>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2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27,365</w:t>
            </w:r>
          </w:p>
        </w:tc>
        <w:tc>
          <w:tcPr>
            <w:tcW w:w="2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60,768</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160" w:type="dxa"/>
            <w:vAlign w:val="bottom"/>
          </w:tcPr>
          <w:p>
            <w:pPr>
              <w:spacing w:after="0"/>
              <w:rPr>
                <w:sz w:val="24"/>
                <w:szCs w:val="24"/>
                <w:color w:val="auto"/>
              </w:rPr>
            </w:pPr>
          </w:p>
        </w:tc>
      </w:tr>
      <w:tr>
        <w:trPr>
          <w:trHeight w:val="458"/>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r>
      <w:tr>
        <w:trPr>
          <w:trHeight w:val="593"/>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tcPr>
          <w:p>
            <w:pPr>
              <w:spacing w:after="0"/>
              <w:rPr>
                <w:sz w:val="21"/>
                <w:szCs w:val="21"/>
                <w:color w:val="auto"/>
              </w:rPr>
            </w:pPr>
          </w:p>
        </w:tc>
      </w:tr>
      <w:tr>
        <w:trPr>
          <w:trHeight w:val="485"/>
        </w:trPr>
        <w:tc>
          <w:tcPr>
            <w:tcW w:w="3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8.09 %</w:t>
            </w:r>
          </w:p>
        </w:tc>
        <w:tc>
          <w:tcPr>
            <w:tcW w:w="3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7.98 %</w:t>
            </w:r>
          </w:p>
        </w:tc>
        <w:tc>
          <w:tcPr>
            <w:tcW w:w="22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8.09 %</w:t>
            </w:r>
          </w:p>
        </w:tc>
        <w:tc>
          <w:tcPr>
            <w:tcW w:w="3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7.98 %</w:t>
            </w:r>
          </w:p>
        </w:tc>
      </w:tr>
      <w:tr>
        <w:trPr>
          <w:trHeight w:val="243"/>
        </w:trPr>
        <w:tc>
          <w:tcPr>
            <w:tcW w:w="3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7.33 %</w:t>
            </w:r>
          </w:p>
        </w:tc>
        <w:tc>
          <w:tcPr>
            <w:tcW w:w="3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7.33 %</w:t>
            </w:r>
          </w:p>
        </w:tc>
        <w:tc>
          <w:tcPr>
            <w:tcW w:w="22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7.33 %</w:t>
            </w: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445"/>
        </w:trPr>
        <w:tc>
          <w:tcPr>
            <w:tcW w:w="30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-2397125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-2088515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-1489075</wp:posOffset>
            </wp:positionV>
            <wp:extent cx="7132320" cy="290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-889635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-427355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466725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00" w:space="220"/>
            <w:col w:w="6780"/>
          </w:cols>
          <w:pgMar w:left="320" w:top="980" w:right="27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231F20"/>
              </w:rPr>
              <w:t>As of September 30, 2024, lease obligation maturities were as follows: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4"/>
                <w:szCs w:val="24"/>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21"/>
                <w:szCs w:val="2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0"/>
                <w:szCs w:val="20"/>
                <w:color w:val="auto"/>
              </w:rPr>
            </w:pPr>
          </w:p>
        </w:tc>
      </w:tr>
      <w:tr>
        <w:trPr>
          <w:trHeight w:val="25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111,383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FF0FC"/>
          </w:tcPr>
          <w:p>
            <w:pPr>
              <w:spacing w:after="0"/>
              <w:rPr>
                <w:sz w:val="21"/>
                <w:szCs w:val="2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20"/>
                <w:szCs w:val="20"/>
                <w:color w:val="auto"/>
              </w:rPr>
            </w:pPr>
          </w:p>
        </w:tc>
      </w:tr>
      <w:tr>
        <w:trPr>
          <w:trHeight w:val="25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1,025,386</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20"/>
                <w:szCs w:val="20"/>
                <w:color w:val="auto"/>
              </w:rPr>
            </w:pP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1,485,848</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(612,440 )</w:t>
            </w:r>
          </w:p>
        </w:tc>
        <w:tc>
          <w:tcPr>
            <w:tcW w:w="2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(11,896 )</w:t>
            </w: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873,408</w:t>
            </w: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(47,195 )</w:t>
            </w:r>
          </w:p>
        </w:tc>
        <w:tc>
          <w:tcPr>
            <w:tcW w:w="2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(811 )</w:t>
            </w:r>
          </w:p>
        </w:tc>
      </w:tr>
      <w:tr>
        <w:trPr>
          <w:trHeight w:val="280"/>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826,213</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Forward-Starting Leases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As of September 30, 2024, we entered into 13 leases that had not yet commenced related to build-to-suit arrangements for car wash locations. These leases will commence in years 2024 through 2026 with initial lease terms of 15 to 20 years.</w:t>
      </w:r>
    </w:p>
    <w:p>
      <w:pPr>
        <w:spacing w:after="0" w:line="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231F20"/>
        </w:rPr>
        <w:t>As of December 31, 2023, we entered into 14 leases that had not yet commenced related to build-to-suit arrangements for car wash locations. These leases will commence in years 2024 through 2026 with initial lease terms of 15 to 20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Sale-Leaseback Transactions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During the three months ended September 30, 2024 and 2023, we completed four and two sale-leaseback transactions related to car wash locations, respectively, with aggregate consideration of $18,636 and $10,455, respectively, resulting in a net gain of $2,514 and a net loss of $373, respectively, which are included in (gain) loss on sale of assets in the accompanying consolidated statements of operations. Contemporaneously with the closing of the sales, we entered into lease agreements for the properties for initial 20-year terms. For the sale-leaseback transactions consummated in the three months ended September 30, 2024 and 2023, the cumulative initial annual rent for the properties was approximately $1,239 and $640, respectively, subject to annual escalations. These leases are accounted for as operating leases.</w:t>
      </w:r>
    </w:p>
    <w:p>
      <w:pPr>
        <w:spacing w:after="0" w:line="7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231F20"/>
        </w:rPr>
        <w:t>During the nine months ended September 30, 2024 and 2023, we completed eight and 14 sale-leaseback transactions related to car wash locations, respectively, with aggregate consideration of $37,381 and $99,710, respectively, resulting in a net gain of $1,553 and $4,893, respectively, which are included in (gain) loss on sale of assets in the accompanying consolidated statements of operations. Contemporaneously with the closing of the sales, we entered into lease agreements for the properties for initial 20-year terms. For the sale-leaseback transactions consummated in the nine months ended September 30, 2024 and 2023, the cumulative initial annual rent for the properties was approximately $2,426 and $6,227, respectively, subject to annual escalations. These leases are accounted for as operating leases.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Stockholders’ Equity</w:t>
      </w:r>
    </w:p>
    <w:p>
      <w:pPr>
        <w:spacing w:after="0" w:line="12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231F20"/>
        </w:rPr>
        <w:t>As of September 30, 2024, there were 1,000,000,000 shares of common stock authorized, 328,412,061 shares of common stock issued, and 322,239,140 shares of common stock outstanding.</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As of December 31, 2023, there were 1,000,000,000 shares of common stock authorized, 318,366,628 shares of common stock issued, and 315,192,401 shares of common stock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September 30, 2024 and December 31, 2023, there were 5,000,000 shares of preferred stock authorized and none were issued or outstanding.</w:t>
      </w:r>
    </w:p>
    <w:p>
      <w:pPr>
        <w:spacing w:after="0" w:line="11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2024, we withheld a total of 2,998,694 shares in order to satisfy payroll tax withholdings to settle cashless stock option exercises.</w:t>
      </w:r>
    </w:p>
    <w:p>
      <w:pPr>
        <w:spacing w:after="0" w:line="5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231F20"/>
        </w:rPr>
        <w:t xml:space="preserve">We use the cost method to account for treasury stock. As of September 30, 2024 and December 31, 2023, we had 6,172,921 and 3,174,227 shares, respectively, of treasury stock. As of September 30, 2024 and December 31, 2023, the cost of treasury stock included in additional paid-in capital in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accompanying consolidated balance sheets was $28,895 and $6,091,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Stock-Based Compensation</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recognize stock-based compensation expense associated with stock options and restricted stock units ("RSUs"), and stock purchase rights. Stock options and RSUs are granted under the 2014 Stock Option Plan of Hotshine Holdings, Inc. (the “2014 Plan”) and 2021 Incentive Award Plan (the “2021 Plan”) while stock purchase rights are granted under the 2021 Employee Stock Purchase Plan (“2021 ESPP”).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our 2023 Form 10-K for additional details on employee stock incentive plans.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w:t>
      </w:r>
      <w:r>
        <w:rPr>
          <w:rFonts w:ascii="Times New Roman" w:cs="Times New Roman" w:eastAsia="Times New Roman" w:hAnsi="Times New Roman"/>
          <w:sz w:val="18"/>
          <w:szCs w:val="18"/>
          <w:color w:val="000000"/>
        </w:rPr>
        <w:t>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purchase rights </w:t>
      </w:r>
      <w:r>
        <w:rPr>
          <w:rFonts w:ascii="Times New Roman" w:cs="Times New Roman" w:eastAsia="Times New Roman" w:hAnsi="Times New Roman"/>
          <w:sz w:val="18"/>
          <w:szCs w:val="18"/>
          <w:color w:val="231F20"/>
        </w:rPr>
        <w:t>granted under the 2021 ESPP is determined using the Black-Scholes option-pricing model.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during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6220" w:type="dxa"/>
            <w:vAlign w:val="bottom"/>
          </w:tcPr>
          <w:p>
            <w:pPr>
              <w:spacing w:after="0"/>
              <w:rPr>
                <w:sz w:val="20"/>
                <w:szCs w:val="20"/>
                <w:color w:val="auto"/>
              </w:rPr>
            </w:pPr>
          </w:p>
        </w:tc>
        <w:tc>
          <w:tcPr>
            <w:tcW w:w="24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38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- 50.14%</w:t>
            </w:r>
          </w:p>
        </w:tc>
        <w:tc>
          <w:tcPr>
            <w:tcW w:w="2620" w:type="dxa"/>
            <w:vAlign w:val="bottom"/>
            <w:gridSpan w:val="3"/>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36.30% - 53.9%</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- 5.26%</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The following table presents, on a weighted-average basis, the assumptions used in the Black-Scholes option-pricing model to determine the grant date fair value of Time Vesting Options granted under the 2021 Plan during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502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62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38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45.98%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- 44.68%</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- 4.21%</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2620" w:type="dxa"/>
            <w:vAlign w:val="bottom"/>
            <w:gridSpan w:val="3"/>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6.0 - 6.26</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our stock option activity during the period presented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5"/>
        </w:trPr>
        <w:tc>
          <w:tcPr>
            <w:tcW w:w="4180" w:type="dxa"/>
            <w:vAlign w:val="bottom"/>
          </w:tcPr>
          <w:p>
            <w:pPr>
              <w:spacing w:after="0"/>
              <w:rPr>
                <w:sz w:val="21"/>
                <w:szCs w:val="21"/>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Vesting Options</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11,744,894</w:t>
            </w:r>
          </w:p>
        </w:tc>
        <w:tc>
          <w:tcPr>
            <w:tcW w:w="24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4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19,450,008</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1,621,444</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(3,488,524 )</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(5,071,258 )</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(8,559,782 )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(173,284 )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(173,284 )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9,704,530</w:t>
            </w:r>
          </w:p>
        </w:tc>
        <w:tc>
          <w:tcPr>
            <w:tcW w:w="2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2,633,856</w:t>
            </w:r>
          </w:p>
        </w:tc>
        <w:tc>
          <w:tcPr>
            <w:tcW w:w="2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12,338,386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or expected to vest as of September 30,</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9,014,595</w:t>
            </w:r>
          </w:p>
        </w:tc>
        <w:tc>
          <w:tcPr>
            <w:tcW w:w="24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2,633,856</w:t>
            </w:r>
          </w:p>
        </w:tc>
        <w:tc>
          <w:tcPr>
            <w:tcW w:w="24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11,648,451</w:t>
            </w:r>
          </w:p>
        </w:tc>
        <w:tc>
          <w:tcPr>
            <w:tcW w:w="2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80" w:type="dxa"/>
            <w:vAlign w:val="bottom"/>
            <w:vMerge w:val="continue"/>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30, 2024</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5,767,352</w:t>
            </w:r>
          </w:p>
        </w:tc>
        <w:tc>
          <w:tcPr>
            <w:tcW w:w="24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2,633,856</w:t>
            </w:r>
          </w:p>
        </w:tc>
        <w:tc>
          <w:tcPr>
            <w:tcW w:w="2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8,401,208</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-495935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-478790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-495935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-478790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-495935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-478790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period presented are as follows:</w:t>
      </w:r>
    </w:p>
    <w:p>
      <w:pPr>
        <w:spacing w:after="0" w:line="12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5"/>
        </w:trPr>
        <w:tc>
          <w:tcPr>
            <w:tcW w:w="4140" w:type="dxa"/>
            <w:vAlign w:val="bottom"/>
          </w:tcPr>
          <w:p>
            <w:pPr>
              <w:spacing w:after="0"/>
              <w:rPr>
                <w:sz w:val="21"/>
                <w:szCs w:val="21"/>
                <w:color w:val="auto"/>
              </w:rPr>
            </w:pPr>
          </w:p>
        </w:tc>
        <w:tc>
          <w:tcPr>
            <w:tcW w:w="33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07"/>
        </w:trPr>
        <w:tc>
          <w:tcPr>
            <w:tcW w:w="4140" w:type="dxa"/>
            <w:vAlign w:val="bottom"/>
          </w:tcPr>
          <w:p>
            <w:pPr>
              <w:spacing w:after="0"/>
              <w:rPr>
                <w:sz w:val="17"/>
                <w:szCs w:val="17"/>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80" w:type="dxa"/>
            <w:vAlign w:val="bottom"/>
          </w:tcPr>
          <w:p>
            <w:pPr>
              <w:spacing w:after="0"/>
              <w:rPr>
                <w:sz w:val="17"/>
                <w:szCs w:val="17"/>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60" w:type="dxa"/>
            <w:vAlign w:val="bottom"/>
          </w:tcPr>
          <w:p>
            <w:pPr>
              <w:spacing w:after="0"/>
              <w:rPr>
                <w:sz w:val="17"/>
                <w:szCs w:val="17"/>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45"/>
        </w:trPr>
        <w:tc>
          <w:tcPr>
            <w:tcW w:w="4140" w:type="dxa"/>
            <w:vAlign w:val="bottom"/>
          </w:tcPr>
          <w:p>
            <w:pPr>
              <w:spacing w:after="0"/>
              <w:rPr>
                <w:sz w:val="21"/>
                <w:szCs w:val="21"/>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21"/>
                <w:szCs w:val="21"/>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Vesting Options</w:t>
            </w:r>
          </w:p>
        </w:tc>
      </w:tr>
      <w:tr>
        <w:trPr>
          <w:trHeight w:val="24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3,629,454</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September 30,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3,937,178</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1,621,444</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1,187,832</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125,888</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231F20"/>
        </w:rPr>
        <w:t>We granted 1,621,444 Time Vesting Options with a grant date fair value of $4,945 during the nine months ended September 30, 2024. There were no Performance Vesting Options granted during the nine months ended September 30,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stock options that vested during the nine months ended September 30, 2024 was </w:t>
      </w:r>
      <w:r>
        <w:rPr>
          <w:rFonts w:ascii="Times New Roman" w:cs="Times New Roman" w:eastAsia="Times New Roman" w:hAnsi="Times New Roman"/>
          <w:sz w:val="18"/>
          <w:szCs w:val="18"/>
          <w:color w:val="000000"/>
        </w:rPr>
        <w:t>$8,771</w:t>
      </w:r>
      <w:r>
        <w:rPr>
          <w:rFonts w:ascii="Times New Roman" w:cs="Times New Roman" w:eastAsia="Times New Roman" w:hAnsi="Times New Roman"/>
          <w:sz w:val="18"/>
          <w:szCs w:val="18"/>
          <w:color w:val="231F20"/>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September 30, 2024, the weighted-average remaining contractual life of outstanding stock options was approximately 5.52 years.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231F20"/>
              </w:rPr>
              <w:t>A summary of our RSU activity during the period presented is as follows:</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6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Weighted-Average Grant</w:t>
            </w:r>
          </w:p>
        </w:tc>
      </w:tr>
      <w:tr>
        <w:trPr>
          <w:trHeight w:val="245"/>
        </w:trPr>
        <w:tc>
          <w:tcPr>
            <w:tcW w:w="6180" w:type="dxa"/>
            <w:vAlign w:val="bottom"/>
          </w:tcPr>
          <w:p>
            <w:pPr>
              <w:spacing w:after="0"/>
              <w:rPr>
                <w:sz w:val="21"/>
                <w:szCs w:val="21"/>
                <w:color w:val="auto"/>
              </w:rPr>
            </w:pPr>
          </w:p>
        </w:tc>
        <w:tc>
          <w:tcPr>
            <w:tcW w:w="2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0" w:type="dxa"/>
            <w:vAlign w:val="bottom"/>
          </w:tcPr>
          <w:p>
            <w:pPr>
              <w:spacing w:after="0"/>
              <w:rPr>
                <w:sz w:val="21"/>
                <w:szCs w:val="21"/>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4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3,718,505</w:t>
            </w: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21"/>
                <w:szCs w:val="21"/>
                <w:color w:val="auto"/>
              </w:rPr>
            </w:pPr>
          </w:p>
        </w:tc>
      </w:tr>
      <w:tr>
        <w:trPr>
          <w:trHeight w:val="238"/>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2,996,219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(1,253,515 )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FF0FC"/>
          </w:tcPr>
          <w:p>
            <w:pPr>
              <w:spacing w:after="0"/>
              <w:rPr>
                <w:sz w:val="21"/>
                <w:szCs w:val="21"/>
                <w:color w:val="auto"/>
              </w:rPr>
            </w:pPr>
          </w:p>
        </w:tc>
      </w:tr>
      <w:tr>
        <w:trPr>
          <w:trHeight w:val="238"/>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(427,367 )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r>
      <w:tr>
        <w:trPr>
          <w:trHeight w:val="280"/>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5,033,842</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granted 2,996,219 RSUs with a grant date fair value of $21,054 during the nine months ended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RSUs that vested during the </w:t>
      </w:r>
      <w:r>
        <w:rPr>
          <w:rFonts w:ascii="Times New Roman" w:cs="Times New Roman" w:eastAsia="Times New Roman" w:hAnsi="Times New Roman"/>
          <w:sz w:val="18"/>
          <w:szCs w:val="18"/>
          <w:color w:val="000000"/>
        </w:rPr>
        <w:t>nine months ended September 30, 2024 was $8,908.</w:t>
      </w:r>
    </w:p>
    <w:p>
      <w:pPr>
        <w:spacing w:after="0" w:line="117" w:lineRule="exact"/>
        <w:rPr>
          <w:sz w:val="20"/>
          <w:szCs w:val="20"/>
          <w:color w:val="auto"/>
        </w:rPr>
      </w:pPr>
    </w:p>
    <w:p>
      <w:pPr>
        <w:ind w:right="2040"/>
        <w:spacing w:after="0" w:line="375" w:lineRule="auto"/>
        <w:rPr>
          <w:sz w:val="20"/>
          <w:szCs w:val="20"/>
          <w:color w:val="auto"/>
        </w:rPr>
      </w:pPr>
      <w:r>
        <w:rPr>
          <w:rFonts w:ascii="Times New Roman" w:cs="Times New Roman" w:eastAsia="Times New Roman" w:hAnsi="Times New Roman"/>
          <w:sz w:val="18"/>
          <w:szCs w:val="18"/>
          <w:color w:val="auto"/>
        </w:rPr>
        <w:t xml:space="preserve">As of September 30, 2024, the weighted-average remaining contractual life of outstanding RSUs was approximately 9.09 years. </w:t>
      </w:r>
      <w:r>
        <w:rPr>
          <w:rFonts w:ascii="Times New Roman" w:cs="Times New Roman" w:eastAsia="Times New Roman" w:hAnsi="Times New Roman"/>
          <w:sz w:val="18"/>
          <w:szCs w:val="18"/>
          <w:b w:val="1"/>
          <w:bCs w:val="1"/>
          <w:i w:val="1"/>
          <w:iCs w:val="1"/>
          <w:color w:val="auto"/>
        </w:rPr>
        <w:t>Stock-Based Compensation Expense</w:t>
      </w:r>
    </w:p>
    <w:p>
      <w:pPr>
        <w:jc w:val="both"/>
        <w:ind w:right="360"/>
        <w:spacing w:after="0" w:line="265" w:lineRule="auto"/>
        <w:rPr>
          <w:sz w:val="20"/>
          <w:szCs w:val="20"/>
          <w:color w:val="auto"/>
        </w:rPr>
      </w:pPr>
      <w:r>
        <w:rPr>
          <w:rFonts w:ascii="Times New Roman" w:cs="Times New Roman" w:eastAsia="Times New Roman" w:hAnsi="Times New Roman"/>
          <w:sz w:val="18"/>
          <w:szCs w:val="18"/>
          <w:color w:val="231F20"/>
        </w:rPr>
        <w:t>We estimated a forfeiture rate of 10.03%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Total stock-based compensation expense, by caption, recorded in the consolidated statements of operations for the periods presented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34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4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shd w:val="clear" w:color="auto" w:fill="CFF0FC"/>
          </w:tcPr>
          <w:p>
            <w:pPr>
              <w:spacing w:after="0"/>
              <w:rPr>
                <w:sz w:val="20"/>
                <w:szCs w:val="20"/>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00" w:type="dxa"/>
            <w:vAlign w:val="bottom"/>
          </w:tcPr>
          <w:p>
            <w:pPr>
              <w:spacing w:after="0"/>
              <w:rPr>
                <w:sz w:val="20"/>
                <w:szCs w:val="20"/>
                <w:color w:val="auto"/>
              </w:rPr>
            </w:pPr>
          </w:p>
        </w:tc>
      </w:tr>
      <w:tr>
        <w:trPr>
          <w:trHeight w:val="28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18,843</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Total stock-based compensation expense, by award type, recorded in the consolidated statements of operations for the periods presented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46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42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1,607</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1,749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4,566</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5,119</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4,897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4,344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13,652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11,784</w:t>
            </w:r>
          </w:p>
        </w:tc>
      </w:tr>
      <w:tr>
        <w:trPr>
          <w:trHeight w:val="243"/>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187</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196</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625</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740</w:t>
            </w:r>
          </w:p>
        </w:tc>
      </w:tr>
      <w:tr>
        <w:trPr>
          <w:trHeight w:val="24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6,691</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6,289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18,843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17,643</w:t>
            </w:r>
          </w:p>
        </w:tc>
      </w:tr>
      <w:tr>
        <w:trPr>
          <w:trHeight w:val="20"/>
        </w:trPr>
        <w:tc>
          <w:tcPr>
            <w:tcW w:w="4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-187960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102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-187960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231F20"/>
        </w:rPr>
        <w:t xml:space="preserve">As of September 30, 2024, total </w:t>
      </w:r>
      <w:r>
        <w:rPr>
          <w:rFonts w:ascii="Times New Roman" w:cs="Times New Roman" w:eastAsia="Times New Roman" w:hAnsi="Times New Roman"/>
          <w:sz w:val="18"/>
          <w:szCs w:val="18"/>
          <w:color w:val="000000"/>
        </w:rPr>
        <w:t>unrecognized</w:t>
      </w:r>
      <w:r>
        <w:rPr>
          <w:rFonts w:ascii="Times New Roman" w:cs="Times New Roman" w:eastAsia="Times New Roman" w:hAnsi="Times New Roman"/>
          <w:sz w:val="18"/>
          <w:szCs w:val="18"/>
          <w:color w:val="231F20"/>
        </w:rPr>
        <w:t xml:space="preserve"> compensation expense related to unvested Time Vesting Options was </w:t>
      </w:r>
      <w:r>
        <w:rPr>
          <w:rFonts w:ascii="Times New Roman" w:cs="Times New Roman" w:eastAsia="Times New Roman" w:hAnsi="Times New Roman"/>
          <w:sz w:val="18"/>
          <w:szCs w:val="18"/>
          <w:color w:val="000000"/>
        </w:rPr>
        <w:t>$7,070</w:t>
      </w:r>
      <w:r>
        <w:rPr>
          <w:rFonts w:ascii="Times New Roman" w:cs="Times New Roman" w:eastAsia="Times New Roman" w:hAnsi="Times New Roman"/>
          <w:sz w:val="18"/>
          <w:szCs w:val="18"/>
          <w:color w:val="231F20"/>
        </w:rPr>
        <w:t>, which is expected to be recognized over a weighted-average period of 2.11 years.</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 xml:space="preserve">As of September 30, 2024, </w:t>
      </w:r>
      <w:r>
        <w:rPr>
          <w:rFonts w:ascii="Times New Roman" w:cs="Times New Roman" w:eastAsia="Times New Roman" w:hAnsi="Times New Roman"/>
          <w:sz w:val="18"/>
          <w:szCs w:val="18"/>
          <w:color w:val="000000"/>
        </w:rPr>
        <w:t>there was no unrecognized compensation expense related to unvested</w:t>
      </w:r>
      <w:r>
        <w:rPr>
          <w:rFonts w:ascii="Times New Roman" w:cs="Times New Roman" w:eastAsia="Times New Roman" w:hAnsi="Times New Roman"/>
          <w:sz w:val="18"/>
          <w:szCs w:val="18"/>
          <w:color w:val="231F20"/>
        </w:rPr>
        <w:t xml:space="preserve"> Performance Vesting Options </w:t>
      </w:r>
      <w:r>
        <w:rPr>
          <w:rFonts w:ascii="Times New Roman" w:cs="Times New Roman" w:eastAsia="Times New Roman" w:hAnsi="Times New Roman"/>
          <w:sz w:val="18"/>
          <w:szCs w:val="18"/>
          <w:color w:val="000000"/>
        </w:rPr>
        <w:t>as the completion of the IPO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231F20"/>
        </w:rPr>
        <w:t xml:space="preserve">As of September 30, 2024, total unrecognized compensation expense related to unvested RSUs was </w:t>
      </w:r>
      <w:r>
        <w:rPr>
          <w:rFonts w:ascii="Times New Roman" w:cs="Times New Roman" w:eastAsia="Times New Roman" w:hAnsi="Times New Roman"/>
          <w:sz w:val="18"/>
          <w:szCs w:val="18"/>
          <w:color w:val="000000"/>
        </w:rPr>
        <w:t>$21,576</w:t>
      </w:r>
      <w:r>
        <w:rPr>
          <w:rFonts w:ascii="Times New Roman" w:cs="Times New Roman" w:eastAsia="Times New Roman" w:hAnsi="Times New Roman"/>
          <w:sz w:val="18"/>
          <w:szCs w:val="18"/>
          <w:color w:val="231F20"/>
        </w:rPr>
        <w:t>, which is expected to be recognized over a weighted-average period of 2.26 years.</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 xml:space="preserve">As of September 30, 2024, total unrecognized compensation expense related to unvested stock purchase rights under the 2021 ESPP was </w:t>
      </w:r>
      <w:r>
        <w:rPr>
          <w:rFonts w:ascii="Times New Roman" w:cs="Times New Roman" w:eastAsia="Times New Roman" w:hAnsi="Times New Roman"/>
          <w:sz w:val="18"/>
          <w:szCs w:val="18"/>
          <w:color w:val="000000"/>
        </w:rPr>
        <w:t>$107</w:t>
      </w:r>
      <w:r>
        <w:rPr>
          <w:rFonts w:ascii="Times New Roman" w:cs="Times New Roman" w:eastAsia="Times New Roman" w:hAnsi="Times New Roman"/>
          <w:sz w:val="18"/>
          <w:szCs w:val="18"/>
          <w:color w:val="231F20"/>
        </w:rPr>
        <w:t>, which is expected to be recognized over a weighted-average period of 0.13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Business Combinations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From time to time, we may pursue acquisitions of conveyorized car washes that either strategically fit with the business or expand our presence in new and attractive markets.</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p>
      <w:pPr>
        <w:ind w:right="120"/>
        <w:spacing w:after="0" w:line="260" w:lineRule="auto"/>
        <w:rPr>
          <w:sz w:val="20"/>
          <w:szCs w:val="20"/>
          <w:color w:val="auto"/>
        </w:rPr>
      </w:pPr>
      <w:r>
        <w:rPr>
          <w:rFonts w:ascii="Times New Roman" w:cs="Times New Roman" w:eastAsia="Times New Roman" w:hAnsi="Times New Roman"/>
          <w:sz w:val="18"/>
          <w:szCs w:val="18"/>
          <w:color w:val="231F20"/>
        </w:rPr>
        <w:t>The consolidated financial statements reflect the operations of an acquired business starting from the effective date of the acquisition. We expensed $0 and $195 of acquisition-related costs for the three months ended September 30, 2024 and 2023, respectively. We expensed $0 and $228 of acquisition-related costs for the nine months ended September 30, 2024 and 2023, respectively. Acquisition-related costs are expensed as incurred and are included in general and administrative expenses in the accompanying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did not consummate any acquisitions during the nine months ended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2023, we acquired the assets and liabilities of six conveyorized car washes in two acquisitions for total consideration of approximately $51,217, which was paid in cash. These acquisitions resulted in the preliminary recognition of $24,919 of goodwill, $22,555 of property and equipment, $3,580 of right of use assets, $640 of intangible assets, $101 of other net liabilities, and $376 of a bargain purchase gain. The bargain purchase gain is not material and is recorded within (gain) loss on sale of assets, net on the consolidated statements of operations. We do not believe these acquisitions are material to our overall consolidated financial statements.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3480" w:type="dxa"/>
            <w:vAlign w:val="bottom"/>
            <w:tcBorders>
              <w:bottom w:val="single" w:sz="8" w:color="auto"/>
            </w:tcBorders>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Number of Washes</w:t>
            </w:r>
          </w:p>
        </w:tc>
        <w:tc>
          <w:tcPr>
            <w:tcW w:w="1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Arizona (Dynamite Car Wash)</w:t>
            </w:r>
          </w:p>
        </w:tc>
        <w:tc>
          <w:tcPr>
            <w:tcW w:w="348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(Cruizers Car Wash)</w:t>
            </w:r>
          </w:p>
        </w:tc>
        <w:tc>
          <w:tcPr>
            <w:tcW w:w="34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bl>
    <w:p>
      <w:pPr>
        <w:spacing w:after="0" w:line="202" w:lineRule="exact"/>
        <w:rPr>
          <w:sz w:val="20"/>
          <w:szCs w:val="20"/>
          <w:color w:val="auto"/>
        </w:rPr>
      </w:pPr>
    </w:p>
    <w:p>
      <w:pPr>
        <w:ind w:right="8320" w:firstLine="8"/>
        <w:spacing w:after="0" w:line="377" w:lineRule="auto"/>
        <w:tabs>
          <w:tab w:leader="none" w:pos="36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Commitments and Contingencies Litigation</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231F20"/>
        </w:rPr>
        <w:t xml:space="preserve">From time to time, we are party to pending or threatened lawsuits arising out of or incident to the ordinary course of business. We carry professional and general liability insurance coverage and other insurance coverages </w:t>
      </w:r>
      <w:r>
        <w:rPr>
          <w:rFonts w:ascii="Times New Roman" w:cs="Times New Roman" w:eastAsia="Times New Roman" w:hAnsi="Times New Roman"/>
          <w:sz w:val="18"/>
          <w:szCs w:val="18"/>
          <w:color w:val="000000"/>
        </w:rPr>
        <w:t>in amounts that we believe are appropriate for our business.</w:t>
      </w:r>
      <w:r>
        <w:rPr>
          <w:rFonts w:ascii="Times New Roman" w:cs="Times New Roman" w:eastAsia="Times New Roman" w:hAnsi="Times New Roman"/>
          <w:sz w:val="18"/>
          <w:szCs w:val="18"/>
          <w:color w:val="231F20"/>
        </w:rPr>
        <w:t xml:space="preserve"> In the opinion of management and upon consultation with legal counsel, none of the pending or threatened lawsuits will have a material effect upon the consolidated financial position, operations, or cash flows of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On February 14, 2023, a plaintiff filed a purported class action lawsuit in the Stanislaus County Superior Court, California, on behalf of all non-exempt employees employed by Defendants Prime Shine LLC, a wholly-owned subsidiary of the Company,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financial amount was accrued that was not material to our consolidated financial statements. A formal written settlement agreement has been executed by the parties and the Court granted preliminary approval of settlement. No putative class members objected or opted out of the settlement during the class action settlement notice period. The Court entered final approval of the class action settlement on July 19, 2024. In August 2024, the Company made the settlement payment in accordance with the Court's final approval, fulfilling our financial obligation under the terms of the settlement agreement. By mid-2025, the court clerk is expected to administratively close the case.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31F20"/>
        </w:rPr>
        <w:t xml:space="preserve">We carry a broad range of insurance coverage, including general and business auto liability, commercial property, workers’ compensation, cyber risk, and general umbrella policies. As of September 30, 2024 and December 31, 2023, we accrued </w:t>
      </w:r>
      <w:r>
        <w:rPr>
          <w:rFonts w:ascii="Times New Roman" w:cs="Times New Roman" w:eastAsia="Times New Roman" w:hAnsi="Times New Roman"/>
          <w:sz w:val="18"/>
          <w:szCs w:val="18"/>
          <w:color w:val="000000"/>
        </w:rPr>
        <w:t>$4,179 and</w:t>
      </w:r>
      <w:r>
        <w:rPr>
          <w:rFonts w:ascii="Times New Roman" w:cs="Times New Roman" w:eastAsia="Times New Roman" w:hAnsi="Times New Roman"/>
          <w:sz w:val="18"/>
          <w:szCs w:val="18"/>
          <w:color w:val="231F20"/>
        </w:rPr>
        <w:t xml:space="preserve"> $4,311, respectively, for assessments on insurance claims filed, which are included in other accrued expenses in the accompanying consolidated balance sheets. As of September 30, 2024 and December 31, 2023, we recorded </w:t>
      </w:r>
      <w:r>
        <w:rPr>
          <w:rFonts w:ascii="Times New Roman" w:cs="Times New Roman" w:eastAsia="Times New Roman" w:hAnsi="Times New Roman"/>
          <w:sz w:val="18"/>
          <w:szCs w:val="18"/>
          <w:color w:val="000000"/>
        </w:rPr>
        <w:t>$3,634 and</w:t>
      </w:r>
      <w:r>
        <w:rPr>
          <w:rFonts w:ascii="Times New Roman" w:cs="Times New Roman" w:eastAsia="Times New Roman" w:hAnsi="Times New Roman"/>
          <w:sz w:val="18"/>
          <w:szCs w:val="18"/>
          <w:color w:val="231F20"/>
        </w:rPr>
        <w:t xml:space="preserve"> $3,686, respectively, in receivables from its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it by regulatory agencies or private parties for environmental matters relating to the handling of hazardous substances by us, and we have incurred obligations for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231F20"/>
        </w:rPr>
        <w:t>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September 30, 2024.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our consolidated financial statements.</w:t>
      </w:r>
    </w:p>
    <w:p>
      <w:pPr>
        <w:spacing w:after="0" w:line="7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September 30, 2024 and December 31, 2023, our accrual for environmental remediation was $15, which is included in other accrued expenses in the accompanying consolidated balance sheets.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and the audited consolidated financial statements and related notes included in our 2023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2023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primarily offering express exterior cleaning services, with interior cleaning services at select locations, across 501 car washes in 21 states as of September 30, 2024.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involve risks and challenges, including those discussed below and in Part I, Item 1A. “Risk Factors” of our 2023 Form 10-K.</w:t>
      </w:r>
    </w:p>
    <w:p>
      <w:pPr>
        <w:spacing w:after="0" w:line="80" w:lineRule="exact"/>
        <w:rPr>
          <w:sz w:val="20"/>
          <w:szCs w:val="20"/>
          <w:color w:val="auto"/>
        </w:rPr>
      </w:pPr>
    </w:p>
    <w:p>
      <w:pPr>
        <w:ind w:left="480" w:right="80" w:hanging="337"/>
        <w:spacing w:after="0" w:line="261"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110" w:lineRule="exact"/>
        <w:rPr>
          <w:rFonts w:ascii="Times New Roman" w:cs="Times New Roman" w:eastAsia="Times New Roman" w:hAnsi="Times New Roman"/>
          <w:sz w:val="18"/>
          <w:szCs w:val="18"/>
          <w:color w:val="auto"/>
        </w:rPr>
      </w:pPr>
    </w:p>
    <w:p>
      <w:pPr>
        <w:ind w:left="480" w:right="220" w:hanging="337"/>
        <w:spacing w:after="0" w:line="283"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91" w:lineRule="exact"/>
        <w:rPr>
          <w:rFonts w:ascii="Times New Roman" w:cs="Times New Roman" w:eastAsia="Times New Roman" w:hAnsi="Times New Roman"/>
          <w:sz w:val="18"/>
          <w:szCs w:val="18"/>
          <w:color w:val="auto"/>
        </w:rPr>
      </w:pPr>
    </w:p>
    <w:p>
      <w:pPr>
        <w:ind w:left="480" w:right="120" w:hanging="337"/>
        <w:spacing w:after="0" w:line="258"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More recently, a component of our growth strategy has been to grow through greenfield development of Mister Car Wash locations, with particular focus on Express Exterior Locations, and we anticipate further pursuit of this strategy in the future. In the three and nine months ended September 30, 2024, we successfully opened 10 and 25 greenfield locations, respectively, and we expect to drive our future location growth through greenfield development. We believe such a strategy will provide a more controllable pipeline of unit growth for future locations in existing and adjacent markets.</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continue to employ a disciplined approach to acquisitions, carefully selecting locations that meet our criteria for a potential Mister Car Wash site. In the nine months ended September 30, 2024, we did not consummate any acquisitions.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an acquisition, we implement a variety of operational improvements designed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5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See Note 13 Business Combinations to our consolidated financial statements included elsewhere in this Quarterly Report on Form 10-Q for additional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and nine months ended September 30, 2024 and 2023.</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30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3"/>
        </w:trPr>
        <w:tc>
          <w:tcPr>
            <w:tcW w:w="40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1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2.9 %</w:t>
            </w:r>
          </w:p>
        </w:tc>
        <w:tc>
          <w:tcPr>
            <w:tcW w:w="3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1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74 %</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3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61,070</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9.0 %</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8.3 %</w:t>
            </w: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8.2 %</w:t>
            </w:r>
          </w:p>
        </w:tc>
        <w:tc>
          <w:tcPr>
            <w:tcW w:w="3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78,804</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71,598</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242,668</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31.6 %</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30.6 %</w:t>
            </w: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32.6 %</w:t>
            </w:r>
          </w:p>
        </w:tc>
        <w:tc>
          <w:tcPr>
            <w:tcW w:w="3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-1069975</wp:posOffset>
            </wp:positionV>
            <wp:extent cx="684149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-761365</wp:posOffset>
            </wp:positionV>
            <wp:extent cx="684149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-453390</wp:posOffset>
            </wp:positionV>
            <wp:extent cx="684149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-144780</wp:posOffset>
            </wp:positionV>
            <wp:extent cx="684149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4149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Count (end of period)</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and nine months ended September 30, 2024, we increased our location count by the 10 and 25 greenfield locations, respectively, as noted above.</w:t>
      </w:r>
    </w:p>
    <w:p>
      <w:pPr>
        <w:spacing w:after="0" w:line="7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Express Exterior Locations, which offer express exterior cleaning services, comprise 436 of our current locations and our Interior Cleaning Locations, which offer both express exterior cleaning services and interior cleaning services, comprise 65 of our current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UWC Members as of September 30, 2024. UWC Members grew by approximately 2% from September 30, 2023 through September 30, 2024 and approximately 2% from December 31, 2023 through September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UWC subscription offering. UWC sales were 74% and 71% of our total wash sales for the three months ended September 30, 2024 and 2023, respectively. UWC sales were 73% and 70% of our total wash sales for the nine months ended September 30, 2024 and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loss on extinguishment of debt, and other nonrecurring charges. Adjusted EBITDA margin is defined as Adjusted EBITDA divided by net revenues for a given period.</w:t>
      </w:r>
    </w:p>
    <w:p>
      <w:pPr>
        <w:spacing w:after="0" w:line="7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and Restated First Lien Credit Agreement uses measures similar to Adjusted EBITDA to measure our compliance with certain covenants.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68" w:lineRule="exact"/>
        <w:rPr>
          <w:sz w:val="20"/>
          <w:szCs w:val="20"/>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70"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43" w:lineRule="exact"/>
        <w:rPr>
          <w:rFonts w:ascii="Times New Roman" w:cs="Times New Roman" w:eastAsia="Times New Roman" w:hAnsi="Times New Roman"/>
          <w:sz w:val="18"/>
          <w:szCs w:val="18"/>
          <w:color w:val="auto"/>
        </w:rPr>
      </w:pPr>
    </w:p>
    <w:p>
      <w:pPr>
        <w:ind w:left="480" w:right="20" w:hanging="337"/>
        <w:spacing w:after="0" w:line="281"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81"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our net income to Adjusted EBITDA for the periods presented.</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4" w:name="page25"/>
    <w:bookmarkEnd w:id="24"/>
    <w:tbl>
      <w:tblPr>
        <w:tblLayout w:type="fixed"/>
        <w:tblInd w:w="18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32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1"/>
                <w:szCs w:val="21"/>
                <w:color w:val="auto"/>
              </w:rPr>
            </w:pPr>
          </w:p>
        </w:tc>
        <w:tc>
          <w:tcPr>
            <w:tcW w:w="29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3"/>
        </w:trPr>
        <w:tc>
          <w:tcPr>
            <w:tcW w:w="46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61,070</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55,143</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sale of assets, net (a)</w:t>
            </w:r>
          </w:p>
        </w:tc>
        <w:tc>
          <w:tcPr>
            <w:tcW w:w="3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(552 )</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(3,470 )</w:t>
            </w:r>
          </w:p>
        </w:tc>
        <w:tc>
          <w:tcPr>
            <w:tcW w:w="40" w:type="dxa"/>
            <w:vAlign w:val="bottom"/>
          </w:tcPr>
          <w:p>
            <w:pPr>
              <w:spacing w:after="0"/>
              <w:rPr>
                <w:sz w:val="20"/>
                <w:szCs w:val="20"/>
                <w:color w:val="auto"/>
              </w:rPr>
            </w:pPr>
          </w:p>
        </w:tc>
      </w:tr>
      <w:tr>
        <w:trPr>
          <w:trHeight w:val="247"/>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expenses (c)</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rent expense (d)</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retention credit (e)</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(5,189 )</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(f)</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78,804</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71,598</w:t>
            </w:r>
          </w:p>
        </w:tc>
        <w:tc>
          <w:tcPr>
            <w:tcW w:w="3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242,668</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216,434</w:t>
            </w:r>
          </w:p>
        </w:tc>
        <w:tc>
          <w:tcPr>
            <w:tcW w:w="100" w:type="dxa"/>
            <w:vAlign w:val="bottom"/>
            <w:tcBorders>
              <w:bottom w:val="single" w:sz="8" w:color="CFF0FC"/>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743,555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31.6 %</w:t>
            </w:r>
          </w:p>
        </w:tc>
        <w:tc>
          <w:tcPr>
            <w:tcW w:w="3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32.6 %</w:t>
            </w:r>
          </w:p>
        </w:tc>
        <w:tc>
          <w:tcPr>
            <w:tcW w:w="3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-144780</wp:posOffset>
            </wp:positionV>
            <wp:extent cx="691832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18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-324485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-307340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-324485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-307340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-324485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-307340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-324485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-307340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sale-leaseback transactions, store closures or the sale of property and equipment.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stock-based compensation as well as related taxes.</w:t>
      </w:r>
    </w:p>
    <w:p>
      <w:pPr>
        <w:spacing w:after="0" w:line="116"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 as well as expenses associated with greenfield construction.</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 Note 2 Summary of Significant Accounting Policies to our consolidated financial statements for additional information on the employee retention credit.</w:t>
      </w:r>
    </w:p>
    <w:p>
      <w:pPr>
        <w:spacing w:after="0" w:line="54" w:lineRule="exact"/>
        <w:rPr>
          <w:rFonts w:ascii="Times New Roman" w:cs="Times New Roman" w:eastAsia="Times New Roman" w:hAnsi="Times New Roman"/>
          <w:sz w:val="18"/>
          <w:szCs w:val="18"/>
          <w:color w:val="231F20"/>
        </w:rPr>
      </w:pPr>
    </w:p>
    <w:p>
      <w:pPr>
        <w:ind w:left="1020" w:right="26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Adjusted EBITDA results in the three and nine months ended September 30, 2024 when compared to the prior year period are primarily attributable to growth in UWC Members, price optimization, wash package mix, and the year-over-year addition of 39 locations.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6" w:right="4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Pr>
          <w:p>
            <w:pPr>
              <w:spacing w:after="0"/>
              <w:rPr>
                <w:sz w:val="20"/>
                <w:szCs w:val="20"/>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gridSpan w:val="2"/>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400" w:type="dxa"/>
            <w:vAlign w:val="bottom"/>
          </w:tcPr>
          <w:p>
            <w:pPr>
              <w:spacing w:after="0"/>
              <w:rPr>
                <w:sz w:val="19"/>
                <w:szCs w:val="19"/>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8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400" w:type="dxa"/>
            <w:vAlign w:val="bottom"/>
          </w:tcPr>
          <w:p>
            <w:pPr>
              <w:spacing w:after="0"/>
              <w:rPr>
                <w:sz w:val="21"/>
                <w:szCs w:val="21"/>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102,607</w:t>
            </w:r>
          </w:p>
        </w:tc>
        <w:tc>
          <w:tcPr>
            <w:tcW w:w="400" w:type="dxa"/>
            <w:vAlign w:val="bottom"/>
          </w:tcPr>
          <w:p>
            <w:pPr>
              <w:spacing w:after="0"/>
              <w:rPr>
                <w:sz w:val="21"/>
                <w:szCs w:val="21"/>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400" w:type="dxa"/>
            <w:vAlign w:val="bottom"/>
          </w:tcPr>
          <w:p>
            <w:pPr>
              <w:spacing w:after="0"/>
              <w:rPr>
                <w:sz w:val="21"/>
                <w:szCs w:val="21"/>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(1,916 )</w:t>
            </w: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199,744</w:t>
            </w:r>
          </w:p>
        </w:tc>
        <w:tc>
          <w:tcPr>
            <w:tcW w:w="4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4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4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400" w:type="dxa"/>
            <w:vAlign w:val="bottom"/>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400" w:type="dxa"/>
            <w:vAlign w:val="bottom"/>
          </w:tcPr>
          <w:p>
            <w:pPr>
              <w:spacing w:after="0"/>
              <w:rPr>
                <w:sz w:val="19"/>
                <w:szCs w:val="19"/>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400" w:type="dxa"/>
            <w:vAlign w:val="bottom"/>
          </w:tcPr>
          <w:p>
            <w:pPr>
              <w:spacing w:after="0"/>
              <w:rPr>
                <w:sz w:val="21"/>
                <w:szCs w:val="21"/>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4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Pr>
          <w:p>
            <w:pPr>
              <w:spacing w:after="0"/>
              <w:rPr>
                <w:sz w:val="24"/>
                <w:szCs w:val="24"/>
                <w:color w:val="auto"/>
              </w:rPr>
            </w:pPr>
          </w:p>
        </w:tc>
        <w:tc>
          <w:tcPr>
            <w:tcW w:w="4240" w:type="dxa"/>
            <w:vAlign w:val="bottom"/>
            <w:gridSpan w:val="9"/>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-3410585</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-2947670</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-2322830</wp:posOffset>
            </wp:positionV>
            <wp:extent cx="713232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-1701800</wp:posOffset>
            </wp:positionV>
            <wp:extent cx="7145020" cy="196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50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-1363980</wp:posOffset>
            </wp:positionV>
            <wp:extent cx="713232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growth in UWC Members, price optimization, wash package mix, and the year-over-year addition of 39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8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1"/>
                <w:szCs w:val="21"/>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440" w:type="dxa"/>
            <w:vAlign w:val="bottom"/>
          </w:tcPr>
          <w:p>
            <w:pPr>
              <w:spacing w:after="0"/>
              <w:rPr>
                <w:sz w:val="19"/>
                <w:szCs w:val="19"/>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72,760</w:t>
            </w:r>
          </w:p>
        </w:tc>
        <w:tc>
          <w:tcPr>
            <w:tcW w:w="4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30 %</w:t>
            </w:r>
          </w:p>
        </w:tc>
        <w:tc>
          <w:tcPr>
            <w:tcW w:w="1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The increase in cost of labor and chemicals was primarily attributable to an increase in volume and the year-over-year addition of 39 locations, as well as some inflationary pressures on store labor, partially offset by labor optimization and scale efficiencies between periods.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6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102,607</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90,514</w:t>
            </w:r>
          </w:p>
        </w:tc>
        <w:tc>
          <w:tcPr>
            <w:tcW w:w="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3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360" w:firstLine="509"/>
        <w:spacing w:after="0" w:line="257"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39 locations and some inflationary pressures on utilities and maintenance expenses. Rent expense increased approximately $1.9 million due to the addition of 25 net new land and building leases.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2"/>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3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3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(990 )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8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3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driven by a decrease of approximately $0.5 million in amortization expense and a decrease of approximately $0.7 million in corporate travel expense, partially offset by an increase of approximately $0.2 million in employee compensation expenses.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Assets</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2"/>
        </w:trPr>
        <w:tc>
          <w:tcPr>
            <w:tcW w:w="3660" w:type="dxa"/>
            <w:vAlign w:val="bottom"/>
          </w:tcPr>
          <w:p>
            <w:pPr>
              <w:spacing w:after="0"/>
              <w:rPr>
                <w:sz w:val="24"/>
                <w:szCs w:val="24"/>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(1,916 )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1,321</w:t>
            </w:r>
          </w:p>
        </w:tc>
        <w:tc>
          <w:tcPr>
            <w:tcW w:w="4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(3,237 )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(gain) loss on sale of assets was primarily driven by a net gain associated with sale-leaseback activity in the current year.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1"/>
                <w:szCs w:val="21"/>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3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3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3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increase in other expense, net was primarily driven by increased interest expense influenced by an increase in long term debt as compared to the prior year period.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366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380" w:type="dxa"/>
            <w:vAlign w:val="bottom"/>
          </w:tcPr>
          <w:p>
            <w:pPr>
              <w:spacing w:after="0"/>
              <w:rPr>
                <w:sz w:val="19"/>
                <w:szCs w:val="19"/>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4,470</w:t>
            </w:r>
          </w:p>
        </w:tc>
        <w:tc>
          <w:tcPr>
            <w:tcW w:w="3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12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increase in income tax provision was primarily driven by from the increase in pre-tax income, net of tax benefits from discrete items in the current quarter.</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gridSpan w:val="2"/>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743,555</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8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217,966</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298,953</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80,058</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(552 )</w:t>
            </w:r>
          </w:p>
        </w:tc>
        <w:tc>
          <w:tcPr>
            <w:tcW w:w="2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(3,470 )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596,425</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555,661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147,130</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141,269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tcBorders>
              <w:top w:val="single" w:sz="8" w:color="auto"/>
              <w:right w:val="single" w:sz="8" w:color="CFF0FC"/>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60,931</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1,882</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(5,189 )</w:t>
            </w:r>
          </w:p>
        </w:tc>
        <w:tc>
          <w:tcPr>
            <w:tcW w:w="2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57,624</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89,506</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28,436</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61,070</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Pr>
          <w:p>
            <w:pPr>
              <w:spacing w:after="0"/>
              <w:rPr>
                <w:sz w:val="24"/>
                <w:szCs w:val="24"/>
                <w:color w:val="auto"/>
              </w:rPr>
            </w:pPr>
          </w:p>
        </w:tc>
        <w:tc>
          <w:tcPr>
            <w:tcW w:w="4260" w:type="dxa"/>
            <w:vAlign w:val="bottom"/>
            <w:gridSpan w:val="9"/>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743,555</w:t>
            </w: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696,930</w:t>
            </w:r>
          </w:p>
        </w:tc>
        <w:tc>
          <w:tcPr>
            <w:tcW w:w="26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-3718560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-3256280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-2947670</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-2631440</wp:posOffset>
            </wp:positionV>
            <wp:extent cx="713232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-1680845</wp:posOffset>
            </wp:positionV>
            <wp:extent cx="713232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-1363980</wp:posOffset>
            </wp:positionV>
            <wp:extent cx="713232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growth in UWC Members, price optimization, wash package mix, and the year-over-year addition of 39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8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217,966</w:t>
            </w:r>
          </w:p>
        </w:tc>
        <w:tc>
          <w:tcPr>
            <w:tcW w:w="32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210,376</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29 %</w:t>
            </w:r>
          </w:p>
        </w:tc>
        <w:tc>
          <w:tcPr>
            <w:tcW w:w="1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The increase in cost of labor and chemicals was primarily attributable to an increase in volume and the year-over-year addition of 39 locations, as well as some inflationary pressures on store labor, partially offset by labor optimization and scale efficiencies between periods.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298,953</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270,317</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28,636</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0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40 %</w:t>
            </w:r>
          </w:p>
        </w:tc>
        <w:tc>
          <w:tcPr>
            <w:tcW w:w="3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340" w:firstLine="509"/>
        <w:spacing w:after="0" w:line="257"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39 locations and some inflationary pressures on utilities and maintenance expenses. Rent expense increased approximately $7.7 million primarily due to the addition of 25 net new land and building leases.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80,058</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78,438</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8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3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driven by approximately $4.2 million in third party costs related to our debt refinancing in March 2024 and an increase in stock-based compensation expense and associated taxes of approximately $0.9 million, partially offset by a decrease in marketing expense of approximately $1.5 million and a decrease in travel and other expenses of approximately $2 million.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3680" w:type="dxa"/>
            <w:vAlign w:val="bottom"/>
          </w:tcPr>
          <w:p>
            <w:pPr>
              <w:spacing w:after="0"/>
              <w:rPr>
                <w:sz w:val="24"/>
                <w:szCs w:val="24"/>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1"/>
                <w:szCs w:val="2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sale of assets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26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(3,470 )   $</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2,918</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change in gain on sale of assets was primarily driven by more significant net gains associated with sale-leaseback activity in the prior year.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57,624</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55,143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2,481</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3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The increase in other expense, net was driven by increased interest expense of approximately $5.8 million due to increased long term debt coupled with higher average interest rates and loss on extinguishment of debt of approximately $1.9 million due to our debt refinancing in March 2024, partially offset by a gain of approximately $5.2 million due to the recognition of an employee retention credit.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28,436</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18,373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income tax provision was primarily driven by the net, unfavorable income tax impact from equity awards activity in the current year.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location development, and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we had cash and cash equivalents of $16.5 million and $19.0 million, respectively, and </w:t>
      </w:r>
      <w:r>
        <w:rPr>
          <w:rFonts w:ascii="Times New Roman" w:cs="Times New Roman" w:eastAsia="Times New Roman" w:hAnsi="Times New Roman"/>
          <w:sz w:val="18"/>
          <w:szCs w:val="18"/>
          <w:color w:val="231F20"/>
        </w:rPr>
        <w:t>$277.8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$149.2 million</w:t>
      </w:r>
      <w:r>
        <w:rPr>
          <w:rFonts w:ascii="Times New Roman" w:cs="Times New Roman" w:eastAsia="Times New Roman" w:hAnsi="Times New Roman"/>
          <w:sz w:val="18"/>
          <w:szCs w:val="18"/>
          <w:color w:val="000000"/>
        </w:rPr>
        <w:t>, respectivel</w:t>
      </w:r>
      <w:r>
        <w:rPr>
          <w:rFonts w:ascii="Times New Roman" w:cs="Times New Roman" w:eastAsia="Times New Roman" w:hAnsi="Times New Roman"/>
          <w:sz w:val="18"/>
          <w:szCs w:val="18"/>
          <w:color w:val="231F20"/>
        </w:rPr>
        <w:t xml:space="preserve">y, </w:t>
      </w:r>
      <w:r>
        <w:rPr>
          <w:rFonts w:ascii="Times New Roman" w:cs="Times New Roman" w:eastAsia="Times New Roman" w:hAnsi="Times New Roman"/>
          <w:sz w:val="18"/>
          <w:szCs w:val="18"/>
          <w:color w:val="000000"/>
        </w:rPr>
        <w:t>of available borrowing capacity under our Revolving Commitment.</w:t>
      </w:r>
    </w:p>
    <w:p>
      <w:pPr>
        <w:spacing w:after="0" w:line="5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For a description of our credit facilities and our recent debt refinancing, please see Note 8 Debt in the consolidated financial statements included elsewhere in this Quarterly Report on Form 10-Q. As of September 30, 2024, we were in compliance with the covenants under the Amended and Restated First Lien Credit Agreement.</w:t>
      </w:r>
    </w:p>
    <w:p>
      <w:pPr>
        <w:spacing w:after="0" w:line="69"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operations, as well as planned capital expenditures, for at least the next 12 months. However, we cannot assure you that cash provided by operating activities or cash</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29" w:name="page30"/>
    <w:bookmarkEnd w:id="29"/>
    <w:p>
      <w:pPr>
        <w:jc w:val="both"/>
        <w:ind w:right="220"/>
        <w:spacing w:after="0" w:line="260" w:lineRule="auto"/>
        <w:rPr>
          <w:sz w:val="20"/>
          <w:szCs w:val="20"/>
          <w:color w:val="auto"/>
        </w:rPr>
      </w:pPr>
      <w:r>
        <w:rPr>
          <w:rFonts w:ascii="Times New Roman" w:cs="Times New Roman" w:eastAsia="Times New Roman" w:hAnsi="Times New Roman"/>
          <w:sz w:val="18"/>
          <w:szCs w:val="18"/>
          <w:color w:val="auto"/>
        </w:rPr>
        <w:t>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 and 2023</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operating activities was $198.8 million and was comprised of net income of $61.1 million, increased by $144.5 million as a result of non-cash adjustments including depreciation and amortization expense, stock-based compensation expense, non-cash lease expense, deferred income taxes, a gain on disposal of property and equipment, a loss on extinguishment of debt, and amortization of debt issuance costs. Changes in working capital balances decreased cash provided by operating activities by $6.8 million and were primarily driven by operating lease payments and increases in other receivables, prepaid expenses and other current assets, partially offset by decreases to accounts receivable, net, inventory and other noncurrent assets and liabilities and increases in accounts payable, accrued expenses, and deferred revenue.</w:t>
      </w:r>
    </w:p>
    <w:p>
      <w:pPr>
        <w:spacing w:after="0" w:line="1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operating activities was $165.5 million and was comprised of net income of $67.8 million, increased by $114.9 million as a result of non-cash adjustments comprised primarily of depreciation and amortization expense, stock-based compensation expense, non-cash lease expense, deferred income taxes, a gain on disposal of property and equipment, and amortization of debt issuance costs. Changes in working capital balances decreased cash provided by operating activities by $17.2 million and were primarily driven by operating lease payments, an increase in accounts receivable, net, offset by increases in accounts payable, accrued expenses, and deferred revenue.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$223.5 million and was primarily comprised of investments in property and equipment to support our greenfield development and other initiatives, offset by the sale of property and equipment.</w:t>
      </w:r>
    </w:p>
    <w:p>
      <w:pPr>
        <w:spacing w:after="0" w:line="163"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2023, net cash used in investing activities was $173.7 million and was primarily comprised of investment in property and equipment to support our greenfield development and other initiatives and two acquisitions, offset by the sale of property and equipment.</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$22.1 million and was primarily comprised of proceeds from our refinancing of the First Lien Term Loan and Revolving Commitment, partially offset by payments for payroll tax withholdings to settle cashless stock option exercises, payments on debt borrowings and Revolving Commitment, and payments of deferred financing costs due to our debt refinancing.</w:t>
      </w:r>
    </w:p>
    <w:p>
      <w:pPr>
        <w:spacing w:after="0" w:line="182"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financing activities was $5.2 million and was primarily comprised of proceeds from exercise of stock options, partially offset by payments on finance lease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6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significant accounting policies and estimates used in preparation of the consolidated financial statements are described in our 2023 Form 10-K. There have been no material changes to our significant accounting policies during the three and nine months ended September 30, 2024.</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See Note 2 to our unaudited consolidated financial statements included elsewhere in this Quarterly Report on Form 10-Q for a discussion of recent accounting pronouncements.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from the information provided in "Item 7A. Quantitative and Qualitative Disclosures About Market Risk" in our 2023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our Chief Financial Officer, has evaluated the effectiveness of our disclosure controls and procedures (as such term is defined in Rules 13a-15(e) and 15d-15(e) under the Securities Exchange Act of 1934, as amended (the “Exchange Act”)) as of September 30, 2024. Based on that evaluation, our management, including the President and Chief Executive Officer and the Chief Financial Officer, has concluded that our disclosure controls and procedures were effective as of September 30, 2024 in ensuring that information required to be disclosed in the reports that we file or submit under the Securities Exchange Act of 1934 is recorded, processed, summarized and reported within the time periods specified in the SEC's rules and forms and is accumulated and communicated to our management, including the President and Chief Executive Officer and the Chief Financial Officer, as appropriate to allow timely decisions regarding required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3" w:right="3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On February 14, 2023, a plaintiff filed a purported class action lawsuit in the Stanislaus County Superior Court, California, on behalf of all non-exempt employees employed by Defendants Prime Shine LLC, a wholly-owned subsidiary of the Company,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w:t>
      </w:r>
      <w:r>
        <w:rPr>
          <w:rFonts w:ascii="Times New Roman" w:cs="Times New Roman" w:eastAsia="Times New Roman" w:hAnsi="Times New Roman"/>
          <w:sz w:val="18"/>
          <w:szCs w:val="18"/>
          <w:color w:val="000000"/>
        </w:rPr>
        <w:t>financial amount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accrued that was not material to our consolidated financial statements. A formal written settlement agreement has been executed by the parties and the Court granted preliminary approval of settlement. No putative class members objected or opted out of the settlement during the class action settlement notice period. The Court entered final approval of the class action settlement on July 19, 2024. In August 2024, the Company made the settlement payment in accordance with the Court's final approval, fulfilling our financial obligation under the terms of the settlement agreement. By mid-2025, the court clerk is expected to </w:t>
      </w:r>
      <w:r>
        <w:rPr>
          <w:rFonts w:ascii="Times New Roman" w:cs="Times New Roman" w:eastAsia="Times New Roman" w:hAnsi="Times New Roman"/>
          <w:sz w:val="18"/>
          <w:szCs w:val="18"/>
          <w:color w:val="231F20"/>
        </w:rPr>
        <w:t>administratively close the case.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"Risk Factors" of our 2023 Form 10-K.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 Arrangements</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directors or officers of the Company adopted, modified or terminated any “Rule 10b5-1 trading arrangement” or “non-Rule 10b5-1 trading arrangement”, as those terms are defined in Regulation S-K, Item 408.</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3"/>
                <w:szCs w:val="13"/>
                <w:color w:val="auto"/>
              </w:rPr>
            </w:pPr>
          </w:p>
        </w:tc>
        <w:tc>
          <w:tcPr>
            <w:tcW w:w="4760" w:type="dxa"/>
            <w:vAlign w:val="bottom"/>
            <w:gridSpan w:val="8"/>
          </w:tcPr>
          <w:p>
            <w:pPr>
              <w:spacing w:after="0" w:line="155" w:lineRule="exact"/>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Amended and Restated Certificate of Incorporation of the Company</w:t>
              </w:r>
            </w:hyperlink>
          </w:p>
        </w:tc>
        <w:tc>
          <w:tcPr>
            <w:tcW w:w="900" w:type="dxa"/>
            <w:vAlign w:val="bottom"/>
          </w:tcPr>
          <w:p>
            <w:pPr>
              <w:jc w:val="center"/>
              <w:ind w:left="41"/>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06/01/2022</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4760" w:type="dxa"/>
            <w:vAlign w:val="bottom"/>
            <w:gridSpan w:val="8"/>
          </w:tcPr>
          <w:p>
            <w:pPr>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Certificate of Amendment of Amended and Restated Certificate of</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06/01/2023</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Incorporation of the Company</w:t>
              </w:r>
            </w:hyperlink>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7"/>
                <w:szCs w:val="17"/>
                <w:color w:val="auto"/>
              </w:rPr>
            </w:pPr>
          </w:p>
        </w:tc>
        <w:tc>
          <w:tcPr>
            <w:tcW w:w="4760" w:type="dxa"/>
            <w:vAlign w:val="bottom"/>
            <w:gridSpan w:val="8"/>
          </w:tcPr>
          <w:p>
            <w:pPr>
              <w:spacing w:after="0"/>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Amended and Restated Bylaws of the Company</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07/02/2021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Certification of Principal Executive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9"/>
                <w:szCs w:val="19"/>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w w:val="99"/>
              </w:rPr>
              <w:t>Inline XBRL Instance Document – the instance document does not appear</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 the Interactive Data File because XBRL tags are embedded within the</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8"/>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9505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Mister Car Wash, Inc.</w:t>
            </w:r>
          </w:p>
        </w:tc>
      </w:tr>
      <w:tr>
        <w:trPr>
          <w:trHeight w:val="47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01,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President and Chief Executive Officer</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01,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24"/>
        </w:trPr>
        <w:tc>
          <w:tcPr>
            <w:tcW w:w="3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Jedidiah Gold</w:t>
            </w:r>
          </w:p>
        </w:tc>
      </w:tr>
    </w:tbl>
    <w:p>
      <w:pPr>
        <w:jc w:val="cente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Lai,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01,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3"/>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Jedidiah Gold,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01,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423"/>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September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01,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3"/>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September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01,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854"/>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14"/>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69" Type="http://schemas.openxmlformats.org/officeDocument/2006/relationships/hyperlink" Target="https://www.sec.gov/Archives/edgar/data/1853513/000095017022010967/mcw-ex3_2.htm" TargetMode="External"/><Relationship Id="rId270" Type="http://schemas.openxmlformats.org/officeDocument/2006/relationships/hyperlink" Target="https://www.sec.gov/Archives/edgar/data/1853513/000095017023025696/mcw-ex3_1.htm" TargetMode="External"/><Relationship Id="rId271" Type="http://schemas.openxmlformats.org/officeDocument/2006/relationships/hyperlink" Target="https://www.sec.gov/Archives/edgar/data/1853513/000119312521207571/d1975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2024-11-01T05:18:27Z</dcterms:created>
  <dcterms:modified xsi:type="dcterms:W3CDTF">2024-11-01T05:18:27Z</dcterms:modified>
</cp:coreProperties>
</file>