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w-20250331.htm"/>
      <w:bookmarkStart w:id="1" w:name="ksmcw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001-40542</w:t>
      </w:r>
    </w:p>
    <w:p>
      <w:pPr>
        <w:pStyle w:val="TextBody"/>
        <w:pBdr>
          <w:bottom w:val="single" w:sz="4" w:space="1" w:color="000000"/>
        </w:pBdr>
        <w:bidi w:val="0"/>
        <w:spacing w:before="60" w:after="120"/>
        <w:jc w:val="center"/>
        <w:rPr/>
      </w:pPr>
      <w:r>
        <w:rPr/>
        <w:t> </w:t>
      </w:r>
    </w:p>
    <w:p>
      <w:pPr>
        <w:pStyle w:val="TextBody"/>
        <w:bidi w:val="0"/>
        <w:jc w:val="center"/>
        <w:rPr/>
      </w:pPr>
      <w:r>
        <w:rPr/>
        <w:drawing>
          <wp:inline distT="0" distB="0" distL="0" distR="0">
            <wp:extent cx="20478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953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47-1393909</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222 E. 5</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Street, Tucson, Arizona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85705</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(520) 615-4000</w:t>
      </w:r>
    </w:p>
    <w:p>
      <w:pPr>
        <w:pStyle w:val="TextBody"/>
        <w:pBdr>
          <w:bottom w:val="single" w:sz="4" w:space="1" w:color="000000"/>
        </w:pBdr>
        <w:bidi w:val="0"/>
        <w:spacing w:before="6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April 30, 2025, the registrant had 324,826,938</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169" w:type="dxa"/>
        <w:jc w:val="left"/>
        <w:tblInd w:w="0" w:type="dxa"/>
        <w:tblLayout w:type="fixed"/>
        <w:tblCellMar>
          <w:top w:w="28" w:type="dxa"/>
          <w:left w:w="28" w:type="dxa"/>
          <w:bottom w:w="28" w:type="dxa"/>
          <w:right w:w="28" w:type="dxa"/>
        </w:tblCellMar>
      </w:tblPr>
      <w:tblGrid>
        <w:gridCol w:w="976"/>
        <w:gridCol w:w="434"/>
        <w:gridCol w:w="7366"/>
        <w:gridCol w:w="393"/>
      </w:tblGrid>
      <w:tr>
        <w:trPr/>
        <w:tc>
          <w:tcPr>
            <w:tcW w:w="9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forward_looking_statements">
              <w:r>
                <w:rPr>
                  <w:rStyle w:val="InternetLink"/>
                  <w:rFonts w:ascii="Times New Roman" w:hAnsi="Times New Roman"/>
                  <w:color w:val="0000FF"/>
                  <w:sz w:val="20"/>
                  <w:u w:val="single"/>
                </w:rPr>
                <w:t>2</w:t>
              </w:r>
            </w:hyperlink>
          </w:p>
        </w:tc>
      </w:tr>
      <w:tr>
        <w:trPr/>
        <w:tc>
          <w:tcPr>
            <w:tcW w:w="8776"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 - FINANCIAL INFORMATION</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Item 1.</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i_item1">
              <w:r>
                <w:rPr>
                  <w:rStyle w:val="InternetLink"/>
                  <w:rFonts w:ascii="Times New Roman" w:hAnsi="Times New Roman"/>
                  <w:color w:val="0000FF"/>
                  <w:sz w:val="20"/>
                  <w:u w:val="single"/>
                </w:rPr>
                <w:t>3</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operations">
              <w:r>
                <w:rPr>
                  <w:rStyle w:val="InternetLink"/>
                  <w:rFonts w:ascii="Times New Roman" w:hAnsi="Times New Roman"/>
                  <w:color w:val="0000FF"/>
                  <w:sz w:val="20"/>
                  <w:u w:val="single"/>
                </w:rPr>
                <w:t>Consolidated Statements of Operations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operations">
              <w:r>
                <w:rPr>
                  <w:rStyle w:val="InternetLink"/>
                  <w:rFonts w:ascii="Times New Roman" w:hAnsi="Times New Roman"/>
                  <w:color w:val="0000FF"/>
                  <w:sz w:val="20"/>
                  <w:u w:val="single"/>
                </w:rPr>
                <w:t>3</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cash_flows">
              <w:r>
                <w:rPr>
                  <w:rStyle w:val="InternetLink"/>
                  <w:rFonts w:ascii="Times New Roman" w:hAnsi="Times New Roman"/>
                  <w:color w:val="0000FF"/>
                  <w:sz w:val="20"/>
                  <w:u w:val="single"/>
                </w:rPr>
                <w:t>Consolidated Statements of Cash Flows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ash_flows">
              <w:r>
                <w:rPr>
                  <w:rStyle w:val="InternetLink"/>
                  <w:rFonts w:ascii="Times New Roman" w:hAnsi="Times New Roman"/>
                  <w:color w:val="0000FF"/>
                  <w:sz w:val="20"/>
                  <w:u w:val="single"/>
                </w:rPr>
                <w:t>4</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balance_sheets">
              <w:r>
                <w:rPr>
                  <w:rStyle w:val="InternetLink"/>
                  <w:rFonts w:ascii="Times New Roman" w:hAnsi="Times New Roman"/>
                  <w:color w:val="0000FF"/>
                  <w:sz w:val="20"/>
                  <w:u w:val="single"/>
                </w:rPr>
                <w:t>Consolidated Balance Sheets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balance_sheets">
              <w:r>
                <w:rPr>
                  <w:rStyle w:val="InternetLink"/>
                  <w:rFonts w:ascii="Times New Roman" w:hAnsi="Times New Roman"/>
                  <w:color w:val="0000FF"/>
                  <w:sz w:val="20"/>
                  <w:u w:val="single"/>
                </w:rPr>
                <w:t>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equity">
              <w:r>
                <w:rPr>
                  <w:rStyle w:val="InternetLink"/>
                  <w:rFonts w:ascii="Times New Roman" w:hAnsi="Times New Roman"/>
                  <w:color w:val="0000FF"/>
                  <w:sz w:val="20"/>
                  <w:u w:val="single"/>
                </w:rPr>
                <w:t>Consolidated Statements of Stockholders' Equity</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equity">
              <w:r>
                <w:rPr>
                  <w:rStyle w:val="InternetLink"/>
                  <w:rFonts w:ascii="Times New Roman" w:hAnsi="Times New Roman"/>
                  <w:color w:val="0000FF"/>
                  <w:sz w:val="20"/>
                  <w:u w:val="single"/>
                </w:rPr>
                <w:t>6</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notes_to_the_financial_statements">
              <w:r>
                <w:rPr>
                  <w:rStyle w:val="InternetLink"/>
                  <w:rFonts w:ascii="Times New Roman" w:hAnsi="Times New Roman"/>
                  <w:color w:val="0000FF"/>
                  <w:sz w:val="20"/>
                  <w:u w:val="single"/>
                </w:rPr>
                <w:t>Notes to Consolidated Financial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7</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Item 2.</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18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Item 3.</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_item3">
              <w:r>
                <w:rPr>
                  <w:rStyle w:val="InternetLink"/>
                  <w:rFonts w:ascii="Times New Roman" w:hAnsi="Times New Roman"/>
                  <w:color w:val="0000FF"/>
                  <w:sz w:val="20"/>
                  <w:u w:val="single"/>
                </w:rPr>
                <w:t>24</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Item 4.</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_item4">
              <w:r>
                <w:rPr>
                  <w:rStyle w:val="InternetLink"/>
                  <w:rFonts w:ascii="Times New Roman" w:hAnsi="Times New Roman"/>
                  <w:color w:val="0000FF"/>
                  <w:sz w:val="20"/>
                  <w:u w:val="single"/>
                </w:rPr>
                <w:t>24</w:t>
              </w:r>
            </w:hyperlink>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II - OTHER INFORMATION</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Item 1.</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1">
              <w:r>
                <w:rPr>
                  <w:rStyle w:val="InternetLink"/>
                  <w:rFonts w:ascii="Times New Roman" w:hAnsi="Times New Roman"/>
                  <w:color w:val="0000FF"/>
                  <w:sz w:val="20"/>
                  <w:u w:val="single"/>
                </w:rPr>
                <w:t>25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Item 1A.</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1a">
              <w:r>
                <w:rPr>
                  <w:rStyle w:val="InternetLink"/>
                  <w:rFonts w:ascii="Times New Roman" w:hAnsi="Times New Roman"/>
                  <w:color w:val="0000FF"/>
                  <w:sz w:val="20"/>
                  <w:u w:val="single"/>
                </w:rPr>
                <w:t>25</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Item 2.</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2">
              <w:r>
                <w:rPr>
                  <w:rStyle w:val="InternetLink"/>
                  <w:rFonts w:ascii="Times New Roman" w:hAnsi="Times New Roman"/>
                  <w:color w:val="0000FF"/>
                  <w:sz w:val="20"/>
                  <w:u w:val="single"/>
                </w:rPr>
                <w:t>25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Item 3.</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3">
              <w:r>
                <w:rPr>
                  <w:rStyle w:val="InternetLink"/>
                  <w:rFonts w:ascii="Times New Roman" w:hAnsi="Times New Roman"/>
                  <w:color w:val="0000FF"/>
                  <w:sz w:val="20"/>
                  <w:u w:val="single"/>
                </w:rPr>
                <w:t>25</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Item 4.</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4">
              <w:r>
                <w:rPr>
                  <w:rStyle w:val="InternetLink"/>
                  <w:rFonts w:ascii="Times New Roman" w:hAnsi="Times New Roman"/>
                  <w:color w:val="0000FF"/>
                  <w:sz w:val="20"/>
                  <w:u w:val="single"/>
                </w:rPr>
                <w:t>25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Item 5.</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5">
              <w:r>
                <w:rPr>
                  <w:rStyle w:val="InternetLink"/>
                  <w:rFonts w:ascii="Times New Roman" w:hAnsi="Times New Roman"/>
                  <w:color w:val="0000FF"/>
                  <w:sz w:val="20"/>
                  <w:u w:val="single"/>
                </w:rPr>
                <w:t>25</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Item 6.</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6">
              <w:r>
                <w:rPr>
                  <w:rStyle w:val="InternetLink"/>
                  <w:rFonts w:ascii="Times New Roman" w:hAnsi="Times New Roman"/>
                  <w:color w:val="0000FF"/>
                  <w:sz w:val="20"/>
                  <w:u w:val="single"/>
                </w:rPr>
                <w:t>26</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signatures">
              <w:r>
                <w:rPr>
                  <w:rStyle w:val="InternetLink"/>
                  <w:rFonts w:ascii="Times New Roman" w:hAnsi="Times New Roman"/>
                  <w:color w:val="0000FF"/>
                  <w:sz w:val="20"/>
                  <w:u w:val="single"/>
                </w:rPr>
                <w:t>27</w:t>
              </w:r>
            </w:hyperlink>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sz w:val="20"/>
        </w:rPr>
      </w:pPr>
      <w:bookmarkStart w:id="3" w:name="forward_looking_statements"/>
      <w:bookmarkEnd w:id="3"/>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9"/>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or “should,” or the negative thereof or comparable terminology.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2024 (the “2024 Form 10-K”) and in Part I. Item 2. “Management’s Discussion and Analysis of Financial Condition and Results of Operations” of this Quarterly Report on Form 10-Q.</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You are cautioned not to place undue reliance on such forward-looking statements. In addition, even if our results of operations, financial condition and liquidity, and events in the industry in which we operate, are consistent with the forward-looking statements included elsewhere in this Quarterly Report on Form 10-Q, they may not be indicative of results or developments in future periods.</w:t>
      </w:r>
    </w:p>
    <w:p>
      <w:pPr>
        <w:pStyle w:val="TextBody"/>
        <w:bidi w:val="0"/>
        <w:spacing w:before="0" w:after="120"/>
        <w:jc w:val="both"/>
        <w:rPr>
          <w:rFonts w:ascii="Times New Roman" w:hAnsi="Times New Roman"/>
          <w:sz w:val="20"/>
        </w:rPr>
      </w:pPr>
      <w:r>
        <w:rPr>
          <w:rFonts w:ascii="Times New Roman" w:hAnsi="Times New Roman"/>
          <w:color w:val="000000"/>
          <w:sz w:val="19"/>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As used in this Quarterly Report on Form 10-Q, unless otherwise stated or the context requires otherwise, references to “Mister Car Wash,” “Mister,” the “Company,” “we,” “us,” and “our,” refer to Mister Car Wash, Inc. and its subsidiaries on a consolidated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u w:val="single"/>
        </w:rPr>
      </w:pPr>
      <w:bookmarkStart w:id="4" w:name="i_item1"/>
      <w:bookmarkEnd w:id="4"/>
      <w:r>
        <w:rPr>
          <w:rFonts w:ascii="Times New Roman" w:hAnsi="Times New Roman"/>
          <w:b/>
          <w:color w:val="000000"/>
          <w:sz w:val="20"/>
          <w:u w:val="single"/>
        </w:rPr>
        <w:t>Item 1. Financial Statements.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894" w:type="dxa"/>
        <w:jc w:val="left"/>
        <w:tblInd w:w="0" w:type="dxa"/>
        <w:tblLayout w:type="fixed"/>
        <w:tblCellMar>
          <w:top w:w="28" w:type="dxa"/>
          <w:left w:w="28" w:type="dxa"/>
          <w:bottom w:w="28" w:type="dxa"/>
          <w:right w:w="28" w:type="dxa"/>
        </w:tblCellMar>
      </w:tblPr>
      <w:tblGrid>
        <w:gridCol w:w="4141"/>
        <w:gridCol w:w="146"/>
        <w:gridCol w:w="211"/>
        <w:gridCol w:w="1141"/>
        <w:gridCol w:w="246"/>
        <w:gridCol w:w="246"/>
        <w:gridCol w:w="211"/>
        <w:gridCol w:w="1141"/>
        <w:gridCol w:w="4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208,689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324,200,282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315,838,788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331,479,048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330,012,144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19"/>
        </w:rPr>
      </w:pPr>
      <w:r>
        <w:rPr>
          <w:rFonts w:ascii="Times New Roman" w:hAnsi="Times New Roman"/>
          <w:b/>
          <w:color w:val="000000"/>
          <w:sz w:val="19"/>
        </w:rPr>
        <w:t>Mister Car Wash, Inc.</w:t>
      </w:r>
    </w:p>
    <w:p>
      <w:pPr>
        <w:pStyle w:val="TextBody"/>
        <w:bidi w:val="0"/>
        <w:jc w:val="center"/>
        <w:rPr>
          <w:rFonts w:ascii="Times New Roman" w:hAnsi="Times New Roman"/>
          <w:b/>
          <w:color w:val="000000"/>
          <w:sz w:val="19"/>
        </w:rPr>
      </w:pPr>
      <w:bookmarkStart w:id="6" w:name="statements_of_cash_flows"/>
      <w:bookmarkEnd w:id="6"/>
      <w:r>
        <w:rPr>
          <w:rFonts w:ascii="Times New Roman" w:hAnsi="Times New Roman"/>
          <w:b/>
          <w:color w:val="000000"/>
          <w:sz w:val="19"/>
        </w:rPr>
        <w:t>Consolidated Statements of Cash Flows</w:t>
      </w:r>
    </w:p>
    <w:p>
      <w:pPr>
        <w:pStyle w:val="TextBody"/>
        <w:bidi w:val="0"/>
        <w:jc w:val="center"/>
        <w:rPr>
          <w:rFonts w:ascii="Times New Roman" w:hAnsi="Times New Roman"/>
          <w:b/>
          <w:color w:val="000000"/>
          <w:sz w:val="19"/>
        </w:rPr>
      </w:pPr>
      <w:r>
        <w:rPr>
          <w:rFonts w:ascii="Times New Roman" w:hAnsi="Times New Roman"/>
          <w:b/>
          <w:color w:val="000000"/>
          <w:sz w:val="19"/>
        </w:rPr>
        <w:t>(Unaudited)</w:t>
      </w:r>
    </w:p>
    <w:p>
      <w:pPr>
        <w:pStyle w:val="TextBody"/>
        <w:bidi w:val="0"/>
        <w:jc w:val="center"/>
        <w:rPr/>
      </w:pPr>
      <w:r>
        <w:rPr/>
        <w:t> </w:t>
      </w:r>
    </w:p>
    <w:tbl>
      <w:tblPr>
        <w:tblW w:w="10151" w:type="dxa"/>
        <w:jc w:val="left"/>
        <w:tblInd w:w="0" w:type="dxa"/>
        <w:tblLayout w:type="fixed"/>
        <w:tblCellMar>
          <w:top w:w="28" w:type="dxa"/>
          <w:left w:w="28" w:type="dxa"/>
          <w:bottom w:w="28" w:type="dxa"/>
          <w:right w:w="28" w:type="dxa"/>
        </w:tblCellMar>
      </w:tblPr>
      <w:tblGrid>
        <w:gridCol w:w="6961"/>
        <w:gridCol w:w="222"/>
        <w:gridCol w:w="750"/>
        <w:gridCol w:w="188"/>
        <w:gridCol w:w="165"/>
        <w:gridCol w:w="222"/>
        <w:gridCol w:w="852"/>
        <w:gridCol w:w="791"/>
      </w:tblGrid>
      <w:tr>
        <w:trPr/>
        <w:tc>
          <w:tcPr>
            <w:tcW w:w="69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sale of assets,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debt issuance costs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assets and liabilities: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receivables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 and liabilities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87,550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(81,844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(54,961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common stock under employee plans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tax withholding on option exercises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debt borrowings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revolving line of credit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debt borrowings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(901,201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revolving line of credit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deferred debt issuance costs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 obligations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(60,913</w:t>
            </w:r>
          </w:p>
        </w:tc>
        <w:tc>
          <w:tcPr>
            <w:tcW w:w="1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10,652</w:t>
            </w:r>
          </w:p>
        </w:tc>
        <w:tc>
          <w:tcPr>
            <w:tcW w:w="7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and cash equivalents and restricted cash during period</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67,612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and restricted cash at end of period</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39,288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 consolidated balance sheets: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39,133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included in prepaid expenses and other current assets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39,288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income taxes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accrued in other accrued expenses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 of debt financing costs in other accrued expenses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option exercise proceeds in other receivables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7" w:name="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65" w:type="dxa"/>
        <w:jc w:val="left"/>
        <w:tblInd w:w="0" w:type="dxa"/>
        <w:tblLayout w:type="fixed"/>
        <w:tblCellMar>
          <w:top w:w="28" w:type="dxa"/>
          <w:left w:w="28" w:type="dxa"/>
          <w:bottom w:w="28" w:type="dxa"/>
          <w:right w:w="28" w:type="dxa"/>
        </w:tblCellMar>
      </w:tblPr>
      <w:tblGrid>
        <w:gridCol w:w="5576"/>
        <w:gridCol w:w="146"/>
        <w:gridCol w:w="232"/>
        <w:gridCol w:w="1028"/>
        <w:gridCol w:w="146"/>
        <w:gridCol w:w="146"/>
        <w:gridCol w:w="277"/>
        <w:gridCol w:w="1223"/>
        <w:gridCol w:w="391"/>
      </w:tblGrid>
      <w:tr>
        <w:trPr/>
        <w:tc>
          <w:tcPr>
            <w:tcW w:w="5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$0.01 par value, 1,000,000,000 shares authorized,</w:t>
              <w:br/>
              <w:t>   324,814,438 and 323,693,863 shares outstanding as of</w:t>
              <w:br/>
              <w: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Mister Car Wash, Inc.</w:t>
      </w:r>
    </w:p>
    <w:p>
      <w:pPr>
        <w:pStyle w:val="TextBody"/>
        <w:bidi w:val="0"/>
        <w:jc w:val="center"/>
        <w:rPr>
          <w:rFonts w:ascii="Times New Roman" w:hAnsi="Times New Roman"/>
          <w:b/>
          <w:color w:val="231F20"/>
          <w:sz w:val="20"/>
        </w:rPr>
      </w:pPr>
      <w:bookmarkStart w:id="8" w:name="statements_of_equity"/>
      <w:bookmarkEnd w:id="8"/>
      <w:r>
        <w:rPr>
          <w:rFonts w:ascii="Times New Roman" w:hAnsi="Times New Roman"/>
          <w:b/>
          <w:color w:val="231F20"/>
          <w:sz w:val="20"/>
        </w:rPr>
        <w:t>Consolidated Statements of Stockholders’ Equity</w:t>
      </w:r>
    </w:p>
    <w:p>
      <w:pPr>
        <w:pStyle w:val="TextBody"/>
        <w:bidi w:val="0"/>
        <w:jc w:val="center"/>
        <w:rPr>
          <w:rFonts w:ascii="Times New Roman" w:hAnsi="Times New Roman"/>
          <w:b/>
          <w:color w:val="231F20"/>
          <w:sz w:val="20"/>
        </w:rPr>
      </w:pPr>
      <w:r>
        <w:rPr>
          <w:rFonts w:ascii="Times New Roman" w:hAnsi="Times New Roman"/>
          <w:b/>
          <w:color w:val="231F20"/>
          <w:sz w:val="20"/>
        </w:rPr>
        <w:t>(Amounts in thousands, except share and per share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Three Months Ended March 31, 2025</w:t>
      </w:r>
    </w:p>
    <w:tbl>
      <w:tblPr>
        <w:tblW w:w="10205" w:type="dxa"/>
        <w:jc w:val="left"/>
        <w:tblInd w:w="0" w:type="dxa"/>
        <w:tblLayout w:type="fixed"/>
        <w:tblCellMar>
          <w:top w:w="28" w:type="dxa"/>
          <w:left w:w="28" w:type="dxa"/>
          <w:bottom w:w="28" w:type="dxa"/>
          <w:right w:w="28" w:type="dxa"/>
        </w:tblCellMar>
      </w:tblPr>
      <w:tblGrid>
        <w:gridCol w:w="2381"/>
        <w:gridCol w:w="146"/>
        <w:gridCol w:w="1141"/>
        <w:gridCol w:w="146"/>
        <w:gridCol w:w="146"/>
        <w:gridCol w:w="211"/>
        <w:gridCol w:w="571"/>
        <w:gridCol w:w="146"/>
        <w:gridCol w:w="146"/>
        <w:gridCol w:w="339"/>
        <w:gridCol w:w="1258"/>
        <w:gridCol w:w="166"/>
        <w:gridCol w:w="146"/>
        <w:gridCol w:w="266"/>
        <w:gridCol w:w="988"/>
        <w:gridCol w:w="146"/>
        <w:gridCol w:w="146"/>
        <w:gridCol w:w="262"/>
        <w:gridCol w:w="1159"/>
        <w:gridCol w:w="295"/>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323,693,863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324,814,438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1,033,895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5" w:after="283"/>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Three Months Ended March 31, 2024</w:t>
      </w:r>
    </w:p>
    <w:tbl>
      <w:tblPr>
        <w:tblW w:w="10205" w:type="dxa"/>
        <w:jc w:val="left"/>
        <w:tblInd w:w="0" w:type="dxa"/>
        <w:tblLayout w:type="fixed"/>
        <w:tblCellMar>
          <w:top w:w="28" w:type="dxa"/>
          <w:left w:w="28" w:type="dxa"/>
          <w:bottom w:w="28" w:type="dxa"/>
          <w:right w:w="28" w:type="dxa"/>
        </w:tblCellMar>
      </w:tblPr>
      <w:tblGrid>
        <w:gridCol w:w="2362"/>
        <w:gridCol w:w="146"/>
        <w:gridCol w:w="1141"/>
        <w:gridCol w:w="166"/>
        <w:gridCol w:w="146"/>
        <w:gridCol w:w="211"/>
        <w:gridCol w:w="571"/>
        <w:gridCol w:w="166"/>
        <w:gridCol w:w="146"/>
        <w:gridCol w:w="337"/>
        <w:gridCol w:w="1249"/>
        <w:gridCol w:w="166"/>
        <w:gridCol w:w="146"/>
        <w:gridCol w:w="265"/>
        <w:gridCol w:w="984"/>
        <w:gridCol w:w="146"/>
        <w:gridCol w:w="146"/>
        <w:gridCol w:w="296"/>
        <w:gridCol w:w="1100"/>
        <w:gridCol w:w="315"/>
      </w:tblGrid>
      <w:tr>
        <w:trPr/>
        <w:tc>
          <w:tcPr>
            <w:tcW w:w="2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915,035</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317,835,082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928,724</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pPr>
      <w:r>
        <w:rPr/>
        <w:t> </w:t>
      </w:r>
    </w:p>
    <w:p>
      <w:pPr>
        <w:pStyle w:val="TextBody"/>
        <w:bidi w:val="0"/>
        <w:spacing w:before="120" w:after="283"/>
        <w:jc w:val="left"/>
        <w:rPr>
          <w:rFonts w:ascii="Times New Roman" w:hAnsi="Times New Roman"/>
          <w:b/>
          <w:color w:val="231F20"/>
          <w:sz w:val="20"/>
        </w:rPr>
      </w:pPr>
      <w:bookmarkStart w:id="9" w:name="notes_to_the_financial_statements"/>
      <w:bookmarkEnd w:id="9"/>
      <w:r>
        <w:rPr>
          <w:rFonts w:ascii="Times New Roman" w:hAnsi="Times New Roman"/>
          <w:b/>
          <w:color w:val="231F20"/>
          <w:sz w:val="20"/>
        </w:rPr>
        <w:t>1. Nature of Business</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Mister Car Wash, Inc., a Delaware corporation, together with its subsidiaries (collectively, </w:t>
      </w:r>
      <w:r>
        <w:rPr>
          <w:rFonts w:ascii="Times New Roman" w:hAnsi="Times New Roman"/>
          <w:color w:val="000000"/>
          <w:sz w:val="20"/>
        </w:rPr>
        <w:t xml:space="preserve">“we,” “us,” “our” or </w:t>
      </w:r>
      <w:r>
        <w:rPr>
          <w:rFonts w:ascii="Times New Roman" w:hAnsi="Times New Roman"/>
          <w:color w:val="231F20"/>
          <w:sz w:val="20"/>
        </w:rPr>
        <w:t xml:space="preserve">the </w:t>
      </w:r>
      <w:r>
        <w:rPr>
          <w:rFonts w:ascii="Times New Roman" w:hAnsi="Times New Roman"/>
          <w:color w:val="000000"/>
          <w:sz w:val="20"/>
        </w:rPr>
        <w:t>“</w:t>
      </w:r>
      <w:r>
        <w:rPr>
          <w:rFonts w:ascii="Times New Roman" w:hAnsi="Times New Roman"/>
          <w:color w:val="231F20"/>
          <w:sz w:val="20"/>
        </w:rPr>
        <w:t>Company</w:t>
      </w:r>
      <w:r>
        <w:rPr>
          <w:rFonts w:ascii="Times New Roman" w:hAnsi="Times New Roman"/>
          <w:color w:val="000000"/>
          <w:sz w:val="20"/>
        </w:rPr>
        <w:t>”</w:t>
      </w:r>
      <w:r>
        <w:rPr>
          <w:rFonts w:ascii="Times New Roman" w:hAnsi="Times New Roman"/>
          <w:color w:val="231F20"/>
          <w:sz w:val="20"/>
        </w:rPr>
        <w:t xml:space="preserve">), is based in Tucson, Arizona and is a provider of conveyorized car wash services. We primarily operate Express Exterior Locations, which offer express exterior cleaning services along with free vacuum services, and interior cleaning services at select locations. As of March 31, 2025, we operated 518 car washes in 21 states. </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2. Summary of Significant Accounting Policies</w:t>
      </w:r>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accompanying unaudited consolidated financial statements as of March 31, 2025 and for the three months ended March 31, 2025 and 2024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omitted pursuant to such rules and regulations. As such, the information included in this quarterly report on Form 10-Q should be read in conjunction with our audited consolidated financial statements and the notes thereto for the year ended December 31, 2024 included in the 2024 Form 10-K.</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consolidated financial statements have been prepared on the same basis as the audited consolidated financial statements. In the opinion of management, the accompanying unaudited consolidated financial statements reflect all adjustments consisting of normal recurring adjustments necessary for a fair presentation of our financial position and results of operations. Such adjustments are of a normal and recurring nature. The consolidated results of operations for the three months ended March 31, 2025 are not necessarily indicative of the consolidated results of operations that may be expected for any other future interim or annual period.</w:t>
      </w:r>
    </w:p>
    <w:p>
      <w:pPr>
        <w:pStyle w:val="Heading2"/>
        <w:bidi w:val="0"/>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and certain assumptions used related to the evaluation of goodwill, intangibles, and property and equipment asset impairment. Actual results could differ from those estimates.</w:t>
      </w:r>
    </w:p>
    <w:p>
      <w:pPr>
        <w:pStyle w:val="Heading2"/>
        <w:bidi w:val="0"/>
        <w:jc w:val="left"/>
        <w:rPr>
          <w:rFonts w:ascii="Times New Roman" w:hAnsi="Times New Roman"/>
          <w:b/>
          <w:i/>
          <w:color w:val="231F20"/>
          <w:sz w:val="20"/>
        </w:rPr>
      </w:pPr>
      <w:r>
        <w:rPr>
          <w:rFonts w:ascii="Times New Roman" w:hAnsi="Times New Roman"/>
          <w:b/>
          <w:i/>
          <w:color w:val="231F20"/>
          <w:sz w:val="20"/>
        </w:rPr>
        <w:t>Accounts Receivable,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Accounts receivable are presented net of an allowance for doubtful accounts of $142 and $123 as of March 31, 2025 and December 31, 2024, respectively. The activity in the allowance for doubtful accounts was immaterial for the three months ended March 31, 2025 and 2024.</w:t>
      </w:r>
    </w:p>
    <w:p>
      <w:pPr>
        <w:pStyle w:val="Heading2"/>
        <w:bidi w:val="0"/>
        <w:jc w:val="left"/>
        <w:rPr>
          <w:rFonts w:ascii="Times New Roman" w:hAnsi="Times New Roman"/>
          <w:sz w:val="20"/>
        </w:rPr>
      </w:pPr>
      <w:r>
        <w:rPr>
          <w:rFonts w:ascii="Times New Roman" w:hAnsi="Times New Roman"/>
          <w:b/>
          <w:i/>
          <w:color w:val="231F20"/>
          <w:sz w:val="20"/>
        </w:rPr>
        <w:t>Other Receivables</w:t>
      </w:r>
      <w:r>
        <w:rPr>
          <w:rFonts w:ascii="Times New Roman" w:hAnsi="Times New Roman"/>
          <w:color w:val="231F2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Other receivables consisted of the following for the periods presented: </w:t>
      </w:r>
    </w:p>
    <w:tbl>
      <w:tblPr>
        <w:tblW w:w="8245" w:type="dxa"/>
        <w:jc w:val="left"/>
        <w:tblInd w:w="0" w:type="dxa"/>
        <w:tblLayout w:type="fixed"/>
        <w:tblCellMar>
          <w:top w:w="28" w:type="dxa"/>
          <w:left w:w="28" w:type="dxa"/>
          <w:bottom w:w="28" w:type="dxa"/>
          <w:right w:w="28" w:type="dxa"/>
        </w:tblCellMar>
      </w:tblPr>
      <w:tblGrid>
        <w:gridCol w:w="4756"/>
        <w:gridCol w:w="146"/>
        <w:gridCol w:w="299"/>
        <w:gridCol w:w="961"/>
        <w:gridCol w:w="146"/>
        <w:gridCol w:w="146"/>
        <w:gridCol w:w="357"/>
        <w:gridCol w:w="1143"/>
        <w:gridCol w:w="2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withholding and exercise proceeds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Prepaid Expenses and Other Current Assets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Prepaid expenses and other current assets consisted of the following for the periods presented:</w:t>
      </w:r>
    </w:p>
    <w:tbl>
      <w:tblPr>
        <w:tblW w:w="7520" w:type="dxa"/>
        <w:jc w:val="left"/>
        <w:tblInd w:w="0" w:type="dxa"/>
        <w:tblLayout w:type="fixed"/>
        <w:tblCellMar>
          <w:top w:w="28" w:type="dxa"/>
          <w:left w:w="28" w:type="dxa"/>
          <w:bottom w:w="28" w:type="dxa"/>
          <w:right w:w="28" w:type="dxa"/>
        </w:tblCellMar>
      </w:tblPr>
      <w:tblGrid>
        <w:gridCol w:w="4031"/>
        <w:gridCol w:w="146"/>
        <w:gridCol w:w="340"/>
        <w:gridCol w:w="920"/>
        <w:gridCol w:w="146"/>
        <w:gridCol w:w="146"/>
        <w:gridCol w:w="357"/>
        <w:gridCol w:w="1143"/>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Inventory,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Inventory consisted of the following for the periods presented:</w:t>
      </w:r>
    </w:p>
    <w:tbl>
      <w:tblPr>
        <w:tblW w:w="6145" w:type="dxa"/>
        <w:jc w:val="left"/>
        <w:tblInd w:w="0" w:type="dxa"/>
        <w:tblLayout w:type="fixed"/>
        <w:tblCellMar>
          <w:top w:w="28" w:type="dxa"/>
          <w:left w:w="28" w:type="dxa"/>
          <w:bottom w:w="28" w:type="dxa"/>
          <w:right w:w="28" w:type="dxa"/>
        </w:tblCellMar>
      </w:tblPr>
      <w:tblGrid>
        <w:gridCol w:w="2516"/>
        <w:gridCol w:w="146"/>
        <w:gridCol w:w="340"/>
        <w:gridCol w:w="920"/>
        <w:gridCol w:w="166"/>
        <w:gridCol w:w="146"/>
        <w:gridCol w:w="403"/>
        <w:gridCol w:w="1097"/>
        <w:gridCol w:w="41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Chemical washing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activity in the reserve for obsolescence was immaterial for the three months ended March 31, 2025 and 2024.</w:t>
      </w:r>
    </w:p>
    <w:p>
      <w:pPr>
        <w:pStyle w:val="Heading2"/>
        <w:bidi w:val="0"/>
        <w:jc w:val="left"/>
        <w:rPr>
          <w:rFonts w:ascii="Times New Roman" w:hAnsi="Times New Roman"/>
          <w:b/>
          <w:i/>
          <w:color w:val="231F20"/>
          <w:sz w:val="20"/>
        </w:rPr>
      </w:pPr>
      <w:r>
        <w:rPr>
          <w:rFonts w:ascii="Times New Roman" w:hAnsi="Times New Roman"/>
          <w:b/>
          <w:i/>
          <w:color w:val="231F20"/>
          <w:sz w:val="20"/>
        </w:rPr>
        <w:t>Revenue Recognition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composition of our net revenues for the periods presented:</w:t>
      </w:r>
    </w:p>
    <w:tbl>
      <w:tblPr>
        <w:tblW w:w="5356" w:type="dxa"/>
        <w:jc w:val="left"/>
        <w:tblInd w:w="0" w:type="dxa"/>
        <w:tblLayout w:type="fixed"/>
        <w:tblCellMar>
          <w:top w:w="28" w:type="dxa"/>
          <w:left w:w="28" w:type="dxa"/>
          <w:bottom w:w="28" w:type="dxa"/>
          <w:right w:w="28" w:type="dxa"/>
        </w:tblCellMar>
      </w:tblPr>
      <w:tblGrid>
        <w:gridCol w:w="2521"/>
        <w:gridCol w:w="146"/>
        <w:gridCol w:w="222"/>
        <w:gridCol w:w="823"/>
        <w:gridCol w:w="154"/>
        <w:gridCol w:w="154"/>
        <w:gridCol w:w="222"/>
        <w:gridCol w:w="823"/>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191,848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176,259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69,685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62,846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123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Earnings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Reconciliations of the numerators and denominators of the basic and diluted earnings per share calculations for the periods presented are as follows:</w:t>
      </w:r>
    </w:p>
    <w:tbl>
      <w:tblPr>
        <w:tblW w:w="8384" w:type="dxa"/>
        <w:jc w:val="left"/>
        <w:tblInd w:w="0" w:type="dxa"/>
        <w:tblLayout w:type="fixed"/>
        <w:tblCellMar>
          <w:top w:w="28" w:type="dxa"/>
          <w:left w:w="28" w:type="dxa"/>
          <w:bottom w:w="28" w:type="dxa"/>
          <w:right w:w="28" w:type="dxa"/>
        </w:tblCellMar>
      </w:tblPr>
      <w:tblGrid>
        <w:gridCol w:w="4751"/>
        <w:gridCol w:w="146"/>
        <w:gridCol w:w="211"/>
        <w:gridCol w:w="1141"/>
        <w:gridCol w:w="146"/>
        <w:gridCol w:w="146"/>
        <w:gridCol w:w="211"/>
        <w:gridCol w:w="1141"/>
        <w:gridCol w:w="491"/>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315,838,788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12,685,179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1,457,395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331,479,048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330,012,144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potentially dilutive shares were excluded from the computation of diluted earnings per share for the periods presented because including them would have been antidilutive:</w:t>
      </w:r>
    </w:p>
    <w:tbl>
      <w:tblPr>
        <w:tblW w:w="4659"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93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Employee Retention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March 2024, we determined that we qualified for and recognized $4,663 (net of tax advisory costs) in relief for the period from March 13, 2020 to December 31, 2020. Upon receipt of the credit, we will owe an immaterial amount for tax advisory costs associated with the assessment of the tax credit. As there is no authoritative guidance under U.S. GAAP for government assistance to for-profit business entities, the Company accounted for the ERC by analogy to International Accounting Standards 20, or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In accordance with IAS 20, management determined it has reasonable assurance of receipt of the identified ERC amount and recorded the credit in Other income on our consolidated statements of operations.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and December 31, 2024, the tax credit receivable was $4,663. This amount is included in Other assets on our consolidated balance sheet.</w:t>
      </w:r>
    </w:p>
    <w:p>
      <w:pPr>
        <w:pStyle w:val="Heading2"/>
        <w:bidi w:val="0"/>
        <w:jc w:val="left"/>
        <w:rPr>
          <w:rFonts w:ascii="Times New Roman" w:hAnsi="Times New Roman"/>
          <w:b/>
          <w:i/>
          <w:color w:val="231F20"/>
          <w:sz w:val="20"/>
        </w:rPr>
      </w:pPr>
      <w:r>
        <w:rPr>
          <w:rFonts w:ascii="Times New Roman" w:hAnsi="Times New Roman"/>
          <w:b/>
          <w:i/>
          <w:color w:val="231F20"/>
          <w:sz w:val="20"/>
        </w:rPr>
        <w:t>Recent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The adoption of this ASU will be reflected in the Company's annual financial statements and is not expected to have a material impact on our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which requires a PBE to disclose additional information about specific expense categories in the notes to financial statements at interim and annual periods. This information is generally not presented in the financial statements. The ASU requires that at each interim and annual period a PBE: (1) disclose the amounts of (a) purchases of inventory, (b) employee compensation, (c) depreciation, (d) intangible asset amortization, and (e) depreciation, depletion, and amortization;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periods beginning after December 15, 2026, and interim periods beginning after December 15, 2027, with early adoption permitted. The guidance should be applied either prospectively to financial statements issued for periods after the effective date of this ASU or retrospectively to any or all prior periods presented in the financial statements. We are still assessing the impact of this ASU.</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3. Property and Equipment, Net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Property and equipment, net consisted of the following </w:t>
      </w:r>
      <w:r>
        <w:rPr>
          <w:rFonts w:ascii="Times New Roman" w:hAnsi="Times New Roman"/>
          <w:color w:val="231F20"/>
          <w:sz w:val="20"/>
        </w:rPr>
        <w:t>for the periods presented</w:t>
      </w:r>
      <w:r>
        <w:rPr>
          <w:rFonts w:ascii="Times New Roman" w:hAnsi="Times New Roman"/>
          <w:color w:val="000000"/>
          <w:sz w:val="20"/>
        </w:rPr>
        <w:t>:</w:t>
      </w:r>
    </w:p>
    <w:tbl>
      <w:tblPr>
        <w:tblW w:w="7185" w:type="dxa"/>
        <w:jc w:val="left"/>
        <w:tblInd w:w="0" w:type="dxa"/>
        <w:tblLayout w:type="fixed"/>
        <w:tblCellMar>
          <w:top w:w="28" w:type="dxa"/>
          <w:left w:w="28" w:type="dxa"/>
          <w:bottom w:w="28" w:type="dxa"/>
          <w:right w:w="28" w:type="dxa"/>
        </w:tblCellMar>
      </w:tblPr>
      <w:tblGrid>
        <w:gridCol w:w="3556"/>
        <w:gridCol w:w="146"/>
        <w:gridCol w:w="232"/>
        <w:gridCol w:w="1028"/>
        <w:gridCol w:w="166"/>
        <w:gridCol w:w="146"/>
        <w:gridCol w:w="277"/>
        <w:gridCol w:w="1223"/>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color w:val="000000"/>
          <w:sz w:val="20"/>
        </w:rPr>
        <w:t>For the three months ended March 31, 2025 and 2024, depreciation expense was $20,207</w:t>
      </w:r>
      <w:r>
        <w:rPr>
          <w:rFonts w:ascii="Times New Roman" w:hAnsi="Times New Roman"/>
          <w:color w:val="231F20"/>
          <w:sz w:val="20"/>
        </w:rPr>
        <w:t xml:space="preserve"> and $17,700</w:t>
      </w:r>
      <w:r>
        <w:rPr>
          <w:rFonts w:ascii="Times New Roman" w:hAnsi="Times New Roman"/>
          <w:color w:val="000000"/>
          <w:sz w:val="20"/>
        </w:rPr>
        <w:t>, respectively.</w:t>
      </w:r>
    </w:p>
    <w:p>
      <w:pPr>
        <w:pStyle w:val="TextBody"/>
        <w:bidi w:val="0"/>
        <w:spacing w:before="0" w:after="120"/>
        <w:jc w:val="left"/>
        <w:rPr>
          <w:rFonts w:ascii="Times New Roman" w:hAnsi="Times New Roman"/>
          <w:sz w:val="20"/>
        </w:rPr>
      </w:pPr>
      <w:r>
        <w:rPr>
          <w:rFonts w:ascii="Times New Roman" w:hAnsi="Times New Roman"/>
          <w:color w:val="000000"/>
          <w:sz w:val="20"/>
        </w:rPr>
        <w:t>For the three months ended March 31, 2025 and 2024, amortization expense on finance leases was $244</w:t>
      </w:r>
      <w:r>
        <w:rPr>
          <w:rFonts w:ascii="Times New Roman" w:hAnsi="Times New Roman"/>
          <w:color w:val="231F20"/>
          <w:sz w:val="20"/>
        </w:rPr>
        <w:t xml:space="preserve"> and $251</w:t>
      </w:r>
      <w:r>
        <w:rPr>
          <w:rFonts w:ascii="Times New Roman" w:hAnsi="Times New Roman"/>
          <w:color w:val="000000"/>
          <w:sz w:val="20"/>
        </w:rPr>
        <w:t>,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first quarter of 2025, the Company committed to a plan to dispose of one car wash location. The location is classified as held for sale and has a net book value of $194 related to land and building. The assets of this location are recorded in property and equipment, net on the consolidated balance sheets. No impairment losses related to the land and building of the location have been recorded based on the fair market value and listing sales price. As of March 31, 2025, the locations classified as held for sale have a net book value of $4,683.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fourth quarter of 2024, the Company committed to a plan to dispose of two car wash locations and entered into agreements to sell them during the first half of 2025. As of December 31, 2024, these locations are classified as held for sale and have a collective net book value of $4,489 primarily related to land and building. The assets of these locations are recorded in property and equipment, net on the consolidated balance sheets. During the fourth quarter of 2024, we recorded $1,549 of impairment losses related to the land and building of one of these locations based on the agreed upon sales price. These losses were recorded in (gain) loss on sale of assets, net on the consolidated statements of operations.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4. Other Intangible Assets,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intangibles assets, net consisted of the following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9"/>
        <w:gridCol w:w="351"/>
        <w:gridCol w:w="1299"/>
        <w:gridCol w:w="146"/>
        <w:gridCol w:w="146"/>
        <w:gridCol w:w="432"/>
        <w:gridCol w:w="1386"/>
        <w:gridCol w:w="146"/>
        <w:gridCol w:w="146"/>
        <w:gridCol w:w="351"/>
        <w:gridCol w:w="1299"/>
        <w:gridCol w:w="146"/>
        <w:gridCol w:w="146"/>
        <w:gridCol w:w="432"/>
        <w:gridCol w:w="1386"/>
        <w:gridCol w:w="294"/>
      </w:tblGrid>
      <w:tr>
        <w:trPr/>
        <w:tc>
          <w:tcPr>
            <w:tcW w:w="20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not to compete</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intangible assets, net</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17,423</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three months ended March 31, 2025 and 2024, amortization expense associated with our finite-lived intangible assets was $466 and $1,644,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estimated future amortization expense was as follows:</w:t>
      </w:r>
    </w:p>
    <w:tbl>
      <w:tblPr>
        <w:tblW w:w="5009" w:type="dxa"/>
        <w:jc w:val="left"/>
        <w:tblInd w:w="0" w:type="dxa"/>
        <w:tblLayout w:type="fixed"/>
        <w:tblCellMar>
          <w:top w:w="28" w:type="dxa"/>
          <w:left w:w="28" w:type="dxa"/>
          <w:bottom w:w="28" w:type="dxa"/>
          <w:right w:w="28" w:type="dxa"/>
        </w:tblCellMar>
      </w:tblPr>
      <w:tblGrid>
        <w:gridCol w:w="2987"/>
        <w:gridCol w:w="803"/>
        <w:gridCol w:w="146"/>
        <w:gridCol w:w="211"/>
        <w:gridCol w:w="571"/>
        <w:gridCol w:w="291"/>
      </w:tblGrid>
      <w:tr>
        <w:trPr/>
        <w:tc>
          <w:tcPr>
            <w:tcW w:w="298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5. Other Accrued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accrued expenses consisted of the following for the periods presented:</w:t>
      </w:r>
    </w:p>
    <w:tbl>
      <w:tblPr>
        <w:tblW w:w="6280" w:type="dxa"/>
        <w:jc w:val="left"/>
        <w:tblInd w:w="0" w:type="dxa"/>
        <w:tblLayout w:type="fixed"/>
        <w:tblCellMar>
          <w:top w:w="28" w:type="dxa"/>
          <w:left w:w="28" w:type="dxa"/>
          <w:bottom w:w="28" w:type="dxa"/>
          <w:right w:w="28" w:type="dxa"/>
        </w:tblCellMar>
      </w:tblPr>
      <w:tblGrid>
        <w:gridCol w:w="2791"/>
        <w:gridCol w:w="146"/>
        <w:gridCol w:w="299"/>
        <w:gridCol w:w="961"/>
        <w:gridCol w:w="146"/>
        <w:gridCol w:w="146"/>
        <w:gridCol w:w="357"/>
        <w:gridCol w:w="1143"/>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Greenfield development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tax expense is comprised of federal, state, and local taxes payable for property, income, sales, use, and personal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Greenfield development accruals represent an obligation to pay for invoices not yet received, primarily related to land and buildings and improvements, on properties which we have taken control of as of March 31, 2025 and December 31,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6. Income Taxes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effective income tax rates on continuing operations for the three months ended March 31, 2025 and 2024 were 26.9% and 35.6%, respectively. In general, the effective tax rates differed from the U.S. federal statutory income tax rate primarily due to state income taxes, non-deductible expenses such as those related to certain executive compensation, and discrete tax expenses related to stock option exercises during the period.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three months ended March 31, 2025 included taxes on earnings at an anticipated annual effective tax rate of 25.4% and a net, unfavorable tax impact of $561 related primarily to discrete tax expense originating from stock options exercised during the three months ended March 31,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three months ended March 31, 2024 included taxes on earnings at an anticipated annual effective tax rate of 25.6% and a net, unfavorable tax impact of $2,585 related primarily to discrete tax expense originating from stock options exercised during the three months ended March 31, 2024.</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three months ended March 31, 2025 and 2024, we recorded $21 and $219 related to unrecognized tax benefits or interest and penalties related to any uncertain tax positions.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7. Debt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Long-term debt consisted of the following as of the periods presented:</w:t>
      </w:r>
    </w:p>
    <w:tbl>
      <w:tblPr>
        <w:tblW w:w="10205" w:type="dxa"/>
        <w:jc w:val="left"/>
        <w:tblInd w:w="0" w:type="dxa"/>
        <w:tblLayout w:type="fixed"/>
        <w:tblCellMar>
          <w:top w:w="28" w:type="dxa"/>
          <w:left w:w="28" w:type="dxa"/>
          <w:bottom w:w="28" w:type="dxa"/>
          <w:right w:w="28" w:type="dxa"/>
        </w:tblCellMar>
      </w:tblPr>
      <w:tblGrid>
        <w:gridCol w:w="2826"/>
        <w:gridCol w:w="146"/>
        <w:gridCol w:w="1130"/>
        <w:gridCol w:w="146"/>
        <w:gridCol w:w="1182"/>
        <w:gridCol w:w="146"/>
        <w:gridCol w:w="1324"/>
        <w:gridCol w:w="146"/>
        <w:gridCol w:w="244"/>
        <w:gridCol w:w="903"/>
        <w:gridCol w:w="166"/>
        <w:gridCol w:w="146"/>
        <w:gridCol w:w="273"/>
        <w:gridCol w:w="1012"/>
        <w:gridCol w:w="415"/>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Stated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lien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portion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March 31, 2025, there are no payments required until the maturity date.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and December 31, 2024, unamortized discount and debt issuance costs were $6,017 and $6,304, respectively, and accumulated amortization of debt issuance costs was $4,302 and $4,018,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three months ended March 31, 2025 and 2024, the amortization of debt issuance costs in interest expense, net in the consolidated statements of operations was approximately $285 and $410, respectively.</w:t>
      </w:r>
    </w:p>
    <w:p>
      <w:pPr>
        <w:pStyle w:val="Heading2"/>
        <w:bidi w:val="0"/>
        <w:jc w:val="left"/>
        <w:rPr>
          <w:rFonts w:ascii="Times New Roman" w:hAnsi="Times New Roman"/>
          <w:b/>
          <w:i/>
          <w:color w:val="231F20"/>
          <w:sz w:val="20"/>
        </w:rPr>
      </w:pPr>
      <w:r>
        <w:rPr>
          <w:rFonts w:ascii="Times New Roman" w:hAnsi="Times New Roman"/>
          <w:b/>
          <w:i/>
          <w:color w:val="231F20"/>
          <w:sz w:val="20"/>
        </w:rPr>
        <w:t>Amended and Restated First Lien Credit Agreement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pStyle w:val="Heading2"/>
        <w:bidi w:val="0"/>
        <w:jc w:val="left"/>
        <w:rPr>
          <w:rFonts w:ascii="Times New Roman" w:hAnsi="Times New Roman"/>
          <w:b/>
          <w:i/>
          <w:color w:val="231F20"/>
          <w:sz w:val="20"/>
        </w:rPr>
      </w:pPr>
      <w:r>
        <w:rPr>
          <w:rFonts w:ascii="Times New Roman" w:hAnsi="Times New Roman"/>
          <w:b/>
          <w:i/>
          <w:color w:val="231F20"/>
          <w:sz w:val="20"/>
        </w:rPr>
        <w:t>First Lien Term Loan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 March 2024, we entered into Amendment No. 5 to the Amended and Restated First Lien Credit Agreement with the lenders party thereto, and Bank of 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Starting September 30, 2024, the loans will be amortized in equal quarterly installments at an annual rate of 1.00% of the original principal amount. In connection with Amendment No. 5, we expensed $1,882 of previously unamortized debt issuance costs as a loss on extinguishment of debt in the consolidated statements of operations.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November 2024, we entered into Amendment No. 6 to the Amended and Restated First Lien Credit Agreement with the lenders party thereto, and BofA as the successor administrative agent and collateral agent. This amendment further modified the credit agreement by resetting the soft call protection of 1% for voluntary prepayments of the Term Loans to last for six months after the effective date of this Amendment, as well as repricing the Term and Revolving Loans margins, where each was reduced by 0.25%. In connection with Amendment No. 6, we expensed $94 of previously unamortized debt issuance costs as a loss on extinguishment of debt in the consolidated statements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Revolving Commitment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March 2024, we entered into Amendment No. 5 to our Amended and Restated First Lien Credit Agreement to increase our borrowing capacity from $150,000 to $300,000. Any unused commitment fee is also payable based on the First Lien Net Leverage Ratio. The Credit Agreement requires the Borrower to maintain a Rent Adjusted Total Net Leverage Ratio no greater than 6.50 to 1.00, tested quarterly beginning with the quarter ending September 30, 2024, for the benefit of lenders holding the Revolving Commitments.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maximum available borrowing capacity under the Revolving Commitments is reduced by outstanding letters of credit under the Revolving Commitments. As of March 31, 2025 and December 31, 2024, the available borrowing capacity under the Revolving Commitments was $299,791.</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addition, an unused commitment fee based on our First Lien Net Leverage Ratio is payable on the average of the unused borrowing capacity under the Revolving Commitments. As of March 31, 2025 and December 31, 2024, the unused commitment fee was 0.25%.</w:t>
      </w:r>
    </w:p>
    <w:p>
      <w:pPr>
        <w:pStyle w:val="Heading2"/>
        <w:bidi w:val="0"/>
        <w:jc w:val="left"/>
        <w:rPr>
          <w:rFonts w:ascii="Times New Roman" w:hAnsi="Times New Roman"/>
          <w:b/>
          <w:i/>
          <w:color w:val="231F20"/>
          <w:sz w:val="20"/>
        </w:rPr>
      </w:pPr>
      <w:r>
        <w:rPr>
          <w:rFonts w:ascii="Times New Roman" w:hAnsi="Times New Roman"/>
          <w:b/>
          <w:i/>
          <w:color w:val="231F20"/>
          <w:sz w:val="20"/>
        </w:rPr>
        <w:t>Standby Letters of Credit</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March 31, 2025, we have a letter of credit sublimit of $90,000 under the Revolving Commitments, provided that the total utilization of revolving commitments under the Revolving Commitment does not exceed $300,000. Any letter of credit issued under the Amended and Restated Credit Agreement has an expiration date which is the earlier of (i) no later than 12 months from the date of issuance or (ii) five business days prior to the maturity date of the Revolving Commitments, as amended under </w:t>
      </w:r>
      <w:r>
        <w:rPr>
          <w:rFonts w:ascii="Times New Roman" w:hAnsi="Times New Roman"/>
          <w:color w:val="000000"/>
          <w:sz w:val="20"/>
        </w:rPr>
        <w:t>Amendment No. 2 to the Amended and Restated First Lien Credit Agreement</w:t>
      </w:r>
      <w:r>
        <w:rPr>
          <w:rFonts w:ascii="Times New Roman" w:hAnsi="Times New Roman"/>
          <w:color w:val="231F20"/>
          <w:sz w:val="20"/>
        </w:rPr>
        <w:t>. Letters of credit under the Revolving Commitments reduce the maximum available borrowing capacity under the Revolving Commitment. As of March 31, 2025 and December 31, 2024, the amounts associated with outstanding letters of credit were $209.</w:t>
      </w:r>
    </w:p>
    <w:p>
      <w:pPr>
        <w:pStyle w:val="Heading2"/>
        <w:bidi w:val="0"/>
        <w:jc w:val="left"/>
        <w:rPr>
          <w:rFonts w:ascii="Times New Roman" w:hAnsi="Times New Roman"/>
          <w:b/>
          <w:i/>
          <w:color w:val="231F20"/>
          <w:sz w:val="20"/>
        </w:rPr>
      </w:pPr>
      <w:r>
        <w:rPr>
          <w:rFonts w:ascii="Times New Roman" w:hAnsi="Times New Roman"/>
          <w:b/>
          <w:i/>
          <w:color w:val="231F20"/>
          <w:sz w:val="20"/>
        </w:rPr>
        <w:t>Credit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March 31, 2025, we were in compliance with all covenants related to our long-term debt.</w:t>
      </w:r>
    </w:p>
    <w:p>
      <w:pPr>
        <w:pStyle w:val="TextBody"/>
        <w:bidi w:val="0"/>
        <w:spacing w:before="12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8. 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March 31, 2025:</w:t>
      </w:r>
    </w:p>
    <w:tbl>
      <w:tblPr>
        <w:tblW w:w="7000" w:type="dxa"/>
        <w:jc w:val="left"/>
        <w:tblInd w:w="0" w:type="dxa"/>
        <w:tblLayout w:type="fixed"/>
        <w:tblCellMar>
          <w:top w:w="28" w:type="dxa"/>
          <w:left w:w="28" w:type="dxa"/>
          <w:bottom w:w="28" w:type="dxa"/>
          <w:right w:w="28" w:type="dxa"/>
        </w:tblCellMar>
      </w:tblPr>
      <w:tblGrid>
        <w:gridCol w:w="2501"/>
        <w:gridCol w:w="146"/>
        <w:gridCol w:w="211"/>
        <w:gridCol w:w="676"/>
        <w:gridCol w:w="146"/>
        <w:gridCol w:w="146"/>
        <w:gridCol w:w="211"/>
        <w:gridCol w:w="676"/>
        <w:gridCol w:w="146"/>
        <w:gridCol w:w="146"/>
        <w:gridCol w:w="239"/>
        <w:gridCol w:w="391"/>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December 31, 2024:</w:t>
      </w:r>
    </w:p>
    <w:tbl>
      <w:tblPr>
        <w:tblW w:w="6790"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39"/>
        <w:gridCol w:w="391"/>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measure the fair value of our financial assets and liabilities using the highest level of inputs that are available as of the measurement date. The carrying amounts of cash and cash equivalents, accounts receivable, and accounts payable approximate their fair value due to the immediate or short-term maturity of these financial instruments.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we held $10,095 in cash investments in money market funds, which is categorized as Level 1 assets. These investments have maturities of less than 90 days and are recorded within Cash and cash equivalents on the consolidated balance sheet.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we did not hold any cash 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a deferred compensation plan for a certain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March 31, 2025 and December 31, 2024, the fair value of our First Lien Term Loan approximated its carrying value </w:t>
      </w:r>
      <w:r>
        <w:rPr>
          <w:rFonts w:ascii="Times New Roman" w:hAnsi="Times New Roman"/>
          <w:color w:val="000000"/>
          <w:sz w:val="20"/>
        </w:rPr>
        <w:t>due to the debt’s variable interest rate terms</w:t>
      </w:r>
      <w:r>
        <w:rPr>
          <w:rFonts w:ascii="Times New Roman" w:hAnsi="Times New Roman"/>
          <w:color w:val="231F2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March 31, 2025. No payments were made during the three months ended March 31,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2025 and 2024, there were no transfers between fair value measurement levels.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9.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Balance sheet information related to leases consisted of the following for the periods presented:</w:t>
      </w:r>
    </w:p>
    <w:tbl>
      <w:tblPr>
        <w:tblW w:w="9532" w:type="dxa"/>
        <w:jc w:val="left"/>
        <w:tblInd w:w="0" w:type="dxa"/>
        <w:tblLayout w:type="fixed"/>
        <w:tblCellMar>
          <w:top w:w="28" w:type="dxa"/>
          <w:left w:w="28" w:type="dxa"/>
          <w:bottom w:w="28" w:type="dxa"/>
          <w:right w:w="28" w:type="dxa"/>
        </w:tblCellMar>
      </w:tblPr>
      <w:tblGrid>
        <w:gridCol w:w="2031"/>
        <w:gridCol w:w="146"/>
        <w:gridCol w:w="3766"/>
        <w:gridCol w:w="146"/>
        <w:gridCol w:w="268"/>
        <w:gridCol w:w="992"/>
        <w:gridCol w:w="146"/>
        <w:gridCol w:w="146"/>
        <w:gridCol w:w="319"/>
        <w:gridCol w:w="1181"/>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Components of total lease cost, net, consisted of the following for the periods presented:</w:t>
      </w:r>
    </w:p>
    <w:tbl>
      <w:tblPr>
        <w:tblW w:w="5406" w:type="dxa"/>
        <w:jc w:val="left"/>
        <w:tblInd w:w="0" w:type="dxa"/>
        <w:tblLayout w:type="fixed"/>
        <w:tblCellMar>
          <w:top w:w="28" w:type="dxa"/>
          <w:left w:w="28" w:type="dxa"/>
          <w:bottom w:w="28" w:type="dxa"/>
          <w:right w:w="28" w:type="dxa"/>
        </w:tblCellMar>
      </w:tblPr>
      <w:tblGrid>
        <w:gridCol w:w="2471"/>
        <w:gridCol w:w="146"/>
        <w:gridCol w:w="245"/>
        <w:gridCol w:w="785"/>
        <w:gridCol w:w="169"/>
        <w:gridCol w:w="169"/>
        <w:gridCol w:w="245"/>
        <w:gridCol w:w="785"/>
        <w:gridCol w:w="3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231F20"/>
          <w:sz w:val="16"/>
        </w:rPr>
      </w:pPr>
      <w:r>
        <w:rPr>
          <w:rFonts w:ascii="Times New Roman" w:hAnsi="Times New Roman"/>
          <w:color w:val="231F20"/>
          <w:sz w:val="16"/>
        </w:rPr>
        <w:t>a)</w:t>
      </w:r>
    </w:p>
    <w:p>
      <w:pPr>
        <w:pStyle w:val="TextBody"/>
        <w:bidi w:val="0"/>
        <w:spacing w:before="120" w:after="283"/>
        <w:jc w:val="left"/>
        <w:rPr>
          <w:rFonts w:ascii="Times New Roman" w:hAnsi="Times New Roman"/>
          <w:color w:val="231F20"/>
          <w:sz w:val="16"/>
        </w:rPr>
      </w:pPr>
      <w:r>
        <w:rPr>
          <w:rFonts w:ascii="Times New Roman" w:hAnsi="Times New Roman"/>
          <w:color w:val="231F20"/>
          <w:sz w:val="16"/>
        </w:rPr>
        <w:t>Operating lease expense includes an immaterial amount of sublease income and is included in other store operating expenses and general and administrative expenses in the accompanying consolidated statements of operations.</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b)</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Variable lease costs consist of property taxes, property insurance, and common area or other maintenance costs for our leases of land and buildings and is included in other store operating expenses in the accompanying consolidated statements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includes supplemental information for the periods presented:</w:t>
      </w:r>
    </w:p>
    <w:tbl>
      <w:tblPr>
        <w:tblW w:w="8545" w:type="dxa"/>
        <w:jc w:val="left"/>
        <w:tblInd w:w="0" w:type="dxa"/>
        <w:tblLayout w:type="fixed"/>
        <w:tblCellMar>
          <w:top w:w="28" w:type="dxa"/>
          <w:left w:w="28" w:type="dxa"/>
          <w:bottom w:w="28" w:type="dxa"/>
          <w:right w:w="28" w:type="dxa"/>
        </w:tblCellMar>
      </w:tblPr>
      <w:tblGrid>
        <w:gridCol w:w="5686"/>
        <w:gridCol w:w="146"/>
        <w:gridCol w:w="231"/>
        <w:gridCol w:w="740"/>
        <w:gridCol w:w="296"/>
        <w:gridCol w:w="159"/>
        <w:gridCol w:w="231"/>
        <w:gridCol w:w="740"/>
        <w:gridCol w:w="316"/>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operating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finance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operating lease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finance lease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March 31, 2025, lease obligation maturities were as follows:</w:t>
      </w:r>
    </w:p>
    <w:tbl>
      <w:tblPr>
        <w:tblW w:w="8105" w:type="dxa"/>
        <w:jc w:val="left"/>
        <w:tblInd w:w="0" w:type="dxa"/>
        <w:tblLayout w:type="fixed"/>
        <w:tblCellMar>
          <w:top w:w="28" w:type="dxa"/>
          <w:left w:w="28" w:type="dxa"/>
          <w:bottom w:w="28" w:type="dxa"/>
          <w:right w:w="28" w:type="dxa"/>
        </w:tblCellMar>
      </w:tblPr>
      <w:tblGrid>
        <w:gridCol w:w="4686"/>
        <w:gridCol w:w="146"/>
        <w:gridCol w:w="252"/>
        <w:gridCol w:w="1113"/>
        <w:gridCol w:w="166"/>
        <w:gridCol w:w="146"/>
        <w:gridCol w:w="264"/>
        <w:gridCol w:w="921"/>
        <w:gridCol w:w="41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Forward-Starting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March 31, 2025, we entered into 13 leases that had not yet commenced related to build-to-suit arrangements for car wash locations. These leases will commence in years 2025 through 2027 with initial lease terms of 20 years.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we entered into 10 leases that had not yet commenced related to build-to-suit arrangements for car wash locations. These leases will commence in years 2025 through 2027 with initial lease terms of 15 to 20 years.</w:t>
      </w:r>
    </w:p>
    <w:p>
      <w:pPr>
        <w:pStyle w:val="Heading2"/>
        <w:bidi w:val="0"/>
        <w:jc w:val="left"/>
        <w:rPr>
          <w:rFonts w:ascii="Times New Roman" w:hAnsi="Times New Roman"/>
          <w:b/>
          <w:i/>
          <w:color w:val="231F20"/>
          <w:sz w:val="20"/>
        </w:rPr>
      </w:pPr>
      <w:r>
        <w:rPr>
          <w:rFonts w:ascii="Times New Roman" w:hAnsi="Times New Roman"/>
          <w:b/>
          <w:i/>
          <w:color w:val="231F20"/>
          <w:sz w:val="20"/>
        </w:rPr>
        <w:t>Sale-Leaseback Transactions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During the three months ended March 31, 2025, we did not complete any sale-leaseback transactions. During the three months ended March 31, 2024, we completed one sale-leaseback transaction related to one car wash location with aggregate consideration of $4,900, resulting in a net gain of $1,697, which is included in (gain) loss on sale of assets in the accompanying consolidated statements of operations. Contemporaneously with the closing of the sale, we entered into a lease agreement for the property for an initial 20-year term. For the sale-leaseback transaction consummated in the three months ended March 31, 2024, the cumulative initial annual rent for the property was approximately $306, subject to annual escalations. This lease is accounted for as an operating lease.</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10. Stockholders’ Equity</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March 31, 2025, there were 1,000,000,000 shares of common stock authorized, 330,987,359 shares of common stock issued, and 324,814,438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there were 1,000,000,000 shares of common stock authorized, 329,866,784 shares of common stock issued, and 323,693,863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and December 31, 2024, there were 5,000,000 shares of preferred stock authorized and none were issued or outstanding.</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We use the cost method to account for treasury stock. As of March 31, 2025 and December 31, 2024, we had 6,172,921 shares of treasury stock. As of March 31, 2025 and December 31, 2024, the cost of treasury stock included in additional paid-in capital in </w:t>
      </w:r>
      <w:r>
        <w:rPr>
          <w:rFonts w:ascii="Times New Roman" w:hAnsi="Times New Roman"/>
          <w:color w:val="000000"/>
          <w:sz w:val="20"/>
        </w:rPr>
        <w:t>the accompanying consolidated balance sheets was $28,895.</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11. 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recognize stock-based compensation expense associated with stock options and restricted stock units ("RSUs"), and stock purchase rights. Stock options and RSUs are granted under the 2014 Stock Option Plan of Hotshine Holdings, Inc. (the “2014 Plan”) and 2021 Incentive Award Plan (the “2021 Plan”) while stock purchase rights are granted under the 2021 Employee Stock Purchase Plan (“2021 ESPP”).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Refer to our 2024 Form 10-K for additional details on employee stock incentive plans.</w:t>
      </w:r>
    </w:p>
    <w:p>
      <w:pPr>
        <w:pStyle w:val="Heading2"/>
        <w:bidi w:val="0"/>
        <w:jc w:val="left"/>
        <w:rPr>
          <w:rFonts w:ascii="Times New Roman" w:hAnsi="Times New Roman"/>
          <w:b/>
          <w:i/>
          <w:color w:val="231F20"/>
          <w:sz w:val="20"/>
        </w:rPr>
      </w:pPr>
      <w:r>
        <w:rPr>
          <w:rFonts w:ascii="Times New Roman" w:hAnsi="Times New Roman"/>
          <w:b/>
          <w:i/>
          <w:color w:val="231F20"/>
          <w:sz w:val="20"/>
        </w:rPr>
        <w:t>Share-Based Payment Valuation</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The grant date fair value of Time Vesting Options granted is determined using the Black-Scholes option-pricing model. The grant date fair value of </w:t>
      </w:r>
      <w:r>
        <w:rPr>
          <w:rFonts w:ascii="Times New Roman" w:hAnsi="Times New Roman"/>
          <w:color w:val="000000"/>
          <w:sz w:val="20"/>
        </w:rPr>
        <w:t xml:space="preserve">stock purchase rights </w:t>
      </w:r>
      <w:r>
        <w:rPr>
          <w:rFonts w:ascii="Times New Roman" w:hAnsi="Times New Roman"/>
          <w:color w:val="231F20"/>
          <w:sz w:val="20"/>
        </w:rPr>
        <w:t>granted under the 2021 ESPP is determined using the Black-Scholes option-pricing model.</w:t>
      </w:r>
    </w:p>
    <w:p>
      <w:pPr>
        <w:pStyle w:val="TextBody"/>
        <w:bidi w:val="0"/>
        <w:jc w:val="left"/>
        <w:rPr>
          <w:rFonts w:ascii="Times New Roman" w:hAnsi="Times New Roman"/>
          <w:i/>
          <w:color w:val="231F20"/>
          <w:sz w:val="20"/>
        </w:rPr>
      </w:pPr>
      <w:r>
        <w:rPr>
          <w:rFonts w:ascii="Times New Roman" w:hAnsi="Times New Roman"/>
          <w:i/>
          <w:color w:val="231F20"/>
          <w:sz w:val="20"/>
        </w:rPr>
        <w:t>2021 ESPP</w:t>
      </w:r>
    </w:p>
    <w:p>
      <w:pPr>
        <w:pStyle w:val="TextBody"/>
        <w:bidi w:val="0"/>
        <w:spacing w:before="120" w:after="120"/>
        <w:jc w:val="left"/>
        <w:rPr>
          <w:rFonts w:ascii="Times New Roman" w:hAnsi="Times New Roman"/>
          <w:sz w:val="20"/>
        </w:rPr>
      </w:pPr>
      <w:r>
        <w:rPr>
          <w:rFonts w:ascii="Times New Roman" w:hAnsi="Times New Roman"/>
          <w:color w:val="231F20"/>
          <w:sz w:val="20"/>
        </w:rPr>
        <w:t>The following table presents, on a weighted-average basis, the assumptions used in the Black-Scholes option-pricing model to determine the grant date fair value of</w:t>
      </w:r>
      <w:r>
        <w:rPr>
          <w:rFonts w:ascii="Times New Roman" w:hAnsi="Times New Roman"/>
          <w:color w:val="000000"/>
          <w:sz w:val="20"/>
        </w:rPr>
        <w:t xml:space="preserve"> stock purchase rights granted under the 2021 ESPP</w:t>
      </w:r>
      <w:r>
        <w:rPr>
          <w:rFonts w:ascii="Times New Roman" w:hAnsi="Times New Roman"/>
          <w:color w:val="231F20"/>
          <w:sz w:val="20"/>
        </w:rPr>
        <w:t xml:space="preserve"> during the periods presented:</w:t>
      </w:r>
    </w:p>
    <w:tbl>
      <w:tblPr>
        <w:tblW w:w="4721" w:type="dxa"/>
        <w:jc w:val="left"/>
        <w:tblInd w:w="0" w:type="dxa"/>
        <w:tblLayout w:type="fixed"/>
        <w:tblCellMar>
          <w:top w:w="28" w:type="dxa"/>
          <w:left w:w="28" w:type="dxa"/>
          <w:bottom w:w="28" w:type="dxa"/>
          <w:right w:w="28" w:type="dxa"/>
        </w:tblCellMar>
      </w:tblPr>
      <w:tblGrid>
        <w:gridCol w:w="2131"/>
        <w:gridCol w:w="146"/>
        <w:gridCol w:w="1082"/>
        <w:gridCol w:w="214"/>
        <w:gridCol w:w="1148"/>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5.38%</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stock option activity during the period presented is as follows:</w:t>
      </w:r>
    </w:p>
    <w:tbl>
      <w:tblPr>
        <w:tblW w:w="10205" w:type="dxa"/>
        <w:jc w:val="left"/>
        <w:tblInd w:w="0" w:type="dxa"/>
        <w:tblLayout w:type="fixed"/>
        <w:tblCellMar>
          <w:top w:w="28" w:type="dxa"/>
          <w:left w:w="28" w:type="dxa"/>
          <w:bottom w:w="28" w:type="dxa"/>
          <w:right w:w="28" w:type="dxa"/>
        </w:tblCellMar>
      </w:tblPr>
      <w:tblGrid>
        <w:gridCol w:w="2482"/>
        <w:gridCol w:w="146"/>
        <w:gridCol w:w="176"/>
        <w:gridCol w:w="1125"/>
        <w:gridCol w:w="166"/>
        <w:gridCol w:w="146"/>
        <w:gridCol w:w="206"/>
        <w:gridCol w:w="1319"/>
        <w:gridCol w:w="166"/>
        <w:gridCol w:w="146"/>
        <w:gridCol w:w="202"/>
        <w:gridCol w:w="1440"/>
        <w:gridCol w:w="166"/>
        <w:gridCol w:w="146"/>
        <w:gridCol w:w="505"/>
        <w:gridCol w:w="1373"/>
        <w:gridCol w:w="295"/>
      </w:tblGrid>
      <w:tr>
        <w:trPr/>
        <w:tc>
          <w:tcPr>
            <w:tcW w:w="2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number and weighted-average grant date fair value of stock options during the period presented are as follows:</w:t>
      </w:r>
    </w:p>
    <w:tbl>
      <w:tblPr>
        <w:tblW w:w="10205" w:type="dxa"/>
        <w:jc w:val="left"/>
        <w:tblInd w:w="0" w:type="dxa"/>
        <w:tblLayout w:type="fixed"/>
        <w:tblCellMar>
          <w:top w:w="28" w:type="dxa"/>
          <w:left w:w="28" w:type="dxa"/>
          <w:bottom w:w="28" w:type="dxa"/>
          <w:right w:w="28" w:type="dxa"/>
        </w:tblCellMar>
      </w:tblPr>
      <w:tblGrid>
        <w:gridCol w:w="2076"/>
        <w:gridCol w:w="146"/>
        <w:gridCol w:w="203"/>
        <w:gridCol w:w="1304"/>
        <w:gridCol w:w="181"/>
        <w:gridCol w:w="159"/>
        <w:gridCol w:w="565"/>
        <w:gridCol w:w="1344"/>
        <w:gridCol w:w="146"/>
        <w:gridCol w:w="146"/>
        <w:gridCol w:w="424"/>
        <w:gridCol w:w="938"/>
        <w:gridCol w:w="184"/>
        <w:gridCol w:w="184"/>
        <w:gridCol w:w="562"/>
        <w:gridCol w:w="1347"/>
        <w:gridCol w:w="296"/>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There were no Time Vesting Options granted during the three months ended March 31, 2025. There were no Performance Vesting Options granted during the three months ended March 31, 2025.</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The fair value of shares attributable to stock options that vested during the three months ended March 31, 2025 was </w:t>
      </w:r>
      <w:r>
        <w:rPr>
          <w:rFonts w:ascii="Times New Roman" w:hAnsi="Times New Roman"/>
          <w:color w:val="000000"/>
          <w:sz w:val="20"/>
        </w:rPr>
        <w:t>$3,390</w:t>
      </w:r>
      <w:r>
        <w:rPr>
          <w:rFonts w:ascii="Times New Roman" w:hAnsi="Times New Roman"/>
          <w:color w:val="231F20"/>
          <w:sz w:val="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March 31, 2025, the weighted-average remaining contractual life of outstanding stock options was approximately 5.35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RSU activity during the period presented is as follows:</w:t>
      </w:r>
    </w:p>
    <w:tbl>
      <w:tblPr>
        <w:tblW w:w="8565" w:type="dxa"/>
        <w:jc w:val="left"/>
        <w:tblInd w:w="0" w:type="dxa"/>
        <w:tblLayout w:type="fixed"/>
        <w:tblCellMar>
          <w:top w:w="28" w:type="dxa"/>
          <w:left w:w="28" w:type="dxa"/>
          <w:bottom w:w="28" w:type="dxa"/>
          <w:right w:w="28" w:type="dxa"/>
        </w:tblCellMar>
      </w:tblPr>
      <w:tblGrid>
        <w:gridCol w:w="2926"/>
        <w:gridCol w:w="146"/>
        <w:gridCol w:w="231"/>
        <w:gridCol w:w="1479"/>
        <w:gridCol w:w="166"/>
        <w:gridCol w:w="146"/>
        <w:gridCol w:w="990"/>
        <w:gridCol w:w="2190"/>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There were no RSUs granted during the three months ended March 31, 2025.</w:t>
      </w:r>
    </w:p>
    <w:p>
      <w:pPr>
        <w:pStyle w:val="TextBody"/>
        <w:bidi w:val="0"/>
        <w:spacing w:before="0" w:after="120"/>
        <w:jc w:val="left"/>
        <w:rPr>
          <w:rFonts w:ascii="Times New Roman" w:hAnsi="Times New Roman"/>
          <w:sz w:val="20"/>
        </w:rPr>
      </w:pPr>
      <w:r>
        <w:rPr>
          <w:rFonts w:ascii="Times New Roman" w:hAnsi="Times New Roman"/>
          <w:color w:val="231F20"/>
          <w:sz w:val="20"/>
        </w:rPr>
        <w:t>The fair value of shares attributable to RSUs that vested during the</w:t>
      </w:r>
      <w:r>
        <w:rPr>
          <w:rFonts w:ascii="Times New Roman" w:hAnsi="Times New Roman"/>
          <w:color w:val="000000"/>
          <w:sz w:val="20"/>
        </w:rPr>
        <w:t xml:space="preserve"> three months ended March 31, 2025 was $1,156.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2025, the weighted-average remaining contractual life of outstanding RSUs was approximately 8.65 years.</w:t>
      </w:r>
    </w:p>
    <w:p>
      <w:pPr>
        <w:pStyle w:val="Heading2"/>
        <w:bidi w:val="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estimated a forfeiture rate of 10.03%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Total stock-based compensation expense, by caption, recorded in the consolidated statements of operations for the periods presented is as follows:</w:t>
      </w:r>
    </w:p>
    <w:tbl>
      <w:tblPr>
        <w:tblW w:w="6384" w:type="dxa"/>
        <w:jc w:val="left"/>
        <w:tblInd w:w="0" w:type="dxa"/>
        <w:tblLayout w:type="fixed"/>
        <w:tblCellMar>
          <w:top w:w="28" w:type="dxa"/>
          <w:left w:w="28" w:type="dxa"/>
          <w:bottom w:w="28" w:type="dxa"/>
          <w:right w:w="28" w:type="dxa"/>
        </w:tblCellMar>
      </w:tblPr>
      <w:tblGrid>
        <w:gridCol w:w="3551"/>
        <w:gridCol w:w="146"/>
        <w:gridCol w:w="272"/>
        <w:gridCol w:w="738"/>
        <w:gridCol w:w="188"/>
        <w:gridCol w:w="188"/>
        <w:gridCol w:w="272"/>
        <w:gridCol w:w="738"/>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2,782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2,473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4,061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3,773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Total stock-based compensation expense, by award type, recorded in the consolidated statements of operations for the periods presented is as follows:</w:t>
      </w:r>
    </w:p>
    <w:tbl>
      <w:tblPr>
        <w:tblW w:w="6384" w:type="dxa"/>
        <w:jc w:val="left"/>
        <w:tblInd w:w="0" w:type="dxa"/>
        <w:tblLayout w:type="fixed"/>
        <w:tblCellMar>
          <w:top w:w="28" w:type="dxa"/>
          <w:left w:w="28" w:type="dxa"/>
          <w:bottom w:w="28" w:type="dxa"/>
          <w:right w:w="28" w:type="dxa"/>
        </w:tblCellMar>
      </w:tblPr>
      <w:tblGrid>
        <w:gridCol w:w="3551"/>
        <w:gridCol w:w="146"/>
        <w:gridCol w:w="272"/>
        <w:gridCol w:w="738"/>
        <w:gridCol w:w="188"/>
        <w:gridCol w:w="188"/>
        <w:gridCol w:w="272"/>
        <w:gridCol w:w="738"/>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Vesting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1,863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1,577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4,788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4,407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192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262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March 31, 2025, total </w:t>
      </w:r>
      <w:r>
        <w:rPr>
          <w:rFonts w:ascii="Times New Roman" w:hAnsi="Times New Roman"/>
          <w:color w:val="000000"/>
          <w:sz w:val="20"/>
        </w:rPr>
        <w:t xml:space="preserve">unrecognized </w:t>
      </w:r>
      <w:r>
        <w:rPr>
          <w:rFonts w:ascii="Times New Roman" w:hAnsi="Times New Roman"/>
          <w:color w:val="231F20"/>
          <w:sz w:val="20"/>
        </w:rPr>
        <w:t xml:space="preserve">compensation expense related to unvested Time Vesting Options was </w:t>
      </w:r>
      <w:r>
        <w:rPr>
          <w:rFonts w:ascii="Times New Roman" w:hAnsi="Times New Roman"/>
          <w:color w:val="000000"/>
          <w:sz w:val="20"/>
        </w:rPr>
        <w:t>$5,331</w:t>
      </w:r>
      <w:r>
        <w:rPr>
          <w:rFonts w:ascii="Times New Roman" w:hAnsi="Times New Roman"/>
          <w:color w:val="231F20"/>
          <w:sz w:val="20"/>
        </w:rPr>
        <w:t>, which is expected to be recognized over a weighted-average period of 1.77</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March 31, 2025, </w:t>
      </w:r>
      <w:r>
        <w:rPr>
          <w:rFonts w:ascii="Times New Roman" w:hAnsi="Times New Roman"/>
          <w:color w:val="000000"/>
          <w:sz w:val="20"/>
        </w:rPr>
        <w:t xml:space="preserve">there was no unrecognized compensation expense related to unvested </w:t>
      </w:r>
      <w:r>
        <w:rPr>
          <w:rFonts w:ascii="Times New Roman" w:hAnsi="Times New Roman"/>
          <w:color w:val="231F20"/>
          <w:sz w:val="20"/>
        </w:rPr>
        <w:t xml:space="preserve">Performance Vesting Options </w:t>
      </w:r>
      <w:r>
        <w:rPr>
          <w:rFonts w:ascii="Times New Roman" w:hAnsi="Times New Roman"/>
          <w:color w:val="000000"/>
          <w:sz w:val="20"/>
        </w:rPr>
        <w:t>as the completion of the IPO satisfied the performance condition and as a result, all outstanding</w:t>
      </w:r>
      <w:r>
        <w:rPr>
          <w:rFonts w:ascii="Times New Roman" w:hAnsi="Times New Roman"/>
          <w:color w:val="231F20"/>
          <w:sz w:val="20"/>
        </w:rPr>
        <w:t xml:space="preserve"> Performance Vesting Options vested.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March 31, 2025, total unrecognized compensation expense related to unvested RSUs was </w:t>
      </w:r>
      <w:r>
        <w:rPr>
          <w:rFonts w:ascii="Times New Roman" w:hAnsi="Times New Roman"/>
          <w:color w:val="000000"/>
          <w:sz w:val="20"/>
        </w:rPr>
        <w:t>$12,945</w:t>
      </w:r>
      <w:r>
        <w:rPr>
          <w:rFonts w:ascii="Times New Roman" w:hAnsi="Times New Roman"/>
          <w:color w:val="231F20"/>
          <w:sz w:val="20"/>
        </w:rPr>
        <w:t>, which is expected to be recognized over a weighted-average period of 1.80</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March 31, 2025, total unrecognized compensation expense related to unvested stock purchase rights under the 2021 ESPP was </w:t>
      </w:r>
      <w:r>
        <w:rPr>
          <w:rFonts w:ascii="Times New Roman" w:hAnsi="Times New Roman"/>
          <w:color w:val="000000"/>
          <w:sz w:val="20"/>
        </w:rPr>
        <w:t>$105</w:t>
      </w:r>
      <w:r>
        <w:rPr>
          <w:rFonts w:ascii="Times New Roman" w:hAnsi="Times New Roman"/>
          <w:color w:val="231F20"/>
          <w:sz w:val="20"/>
        </w:rPr>
        <w:t>, which is expected to be recognized over a weighted-average period of 0.12</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12. Commitments and Contingencies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Litigation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are involved in various legal proceedings related to employment practices, environmental issues, commercial disputes, antitrust and other regulatory matters concerning our business. We record liabilities for losses from legal proceedings when we determine that it is probable that the outcome in a legal proceeding will be unfavorable and the amount of loss can be reasonably estimated. The Company does not believe that any proceeding or litigation, either alone or in the aggregate, will have a material adverse effect on the Company’s financial position, results of operations or cash flows; it is possible that an unfavorable outcome of some or all of the matters, however unlikely, could result in a charge that might be material to the results of an individual fiscal quarter 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Insurance</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We carry a broad range of insurance coverage, including general and business auto liability, commercial property, workers’ compensation, cyber risk, and general umbrella policies. As of March 31, 2025 and December 31, 2024, we accrued </w:t>
      </w:r>
      <w:r>
        <w:rPr>
          <w:rFonts w:ascii="Times New Roman" w:hAnsi="Times New Roman"/>
          <w:color w:val="000000"/>
          <w:sz w:val="20"/>
        </w:rPr>
        <w:t xml:space="preserve">$4,868 and </w:t>
      </w:r>
      <w:r>
        <w:rPr>
          <w:rFonts w:ascii="Times New Roman" w:hAnsi="Times New Roman"/>
          <w:color w:val="231F20"/>
          <w:sz w:val="20"/>
        </w:rPr>
        <w:t xml:space="preserve">$4,803, respectively, for assessments on insurance claims filed, which are included in other accrued expenses in the accompanying consolidated balance sheets. As of March 31, 2025 and December 31, 2024, we recorded </w:t>
      </w:r>
      <w:r>
        <w:rPr>
          <w:rFonts w:ascii="Times New Roman" w:hAnsi="Times New Roman"/>
          <w:color w:val="000000"/>
          <w:sz w:val="20"/>
        </w:rPr>
        <w:t>$4,329</w:t>
      </w:r>
      <w:r>
        <w:rPr>
          <w:rFonts w:ascii="Times New Roman" w:hAnsi="Times New Roman"/>
          <w:color w:val="231F20"/>
          <w:sz w:val="20"/>
        </w:rPr>
        <w:t xml:space="preserve"> </w:t>
      </w:r>
      <w:r>
        <w:rPr>
          <w:rFonts w:ascii="Times New Roman" w:hAnsi="Times New Roman"/>
          <w:color w:val="000000"/>
          <w:sz w:val="20"/>
        </w:rPr>
        <w:t>and</w:t>
      </w:r>
      <w:r>
        <w:rPr>
          <w:rFonts w:ascii="Times New Roman" w:hAnsi="Times New Roman"/>
          <w:color w:val="231F20"/>
          <w:sz w:val="20"/>
        </w:rPr>
        <w:t xml:space="preserve"> $4,250, respectively, in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13. Segment Information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operates as one operating segment where it derives its revenues from activities related to providing car wash services at its car wash locations that are geographically diversified throughout the United States and have similar economic characteristics and nature of services.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To assess consolidated performance the chief operating decision maker (“CODM”), who is the Chief Executive Officer, evaluates the operating results and performance through net income. Our CODM regularly reviews net income as reported on the consolidated statement of operations and total assets as reported on the consolidated balance sheet for purposes of evaluating performance, allocating resources, setting incentive compensation targets, and planning and forecasting future periods. As presented on the consolidated statements of operations, the CODM views consolidated expense information related to the cost of labor and chemicals, other store operating expenses, and general and administrative expenses to be significant and there are no other significant segment expenses or items that would require disclosure.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0" w:name="i_item2"/>
      <w:bookmarkEnd w:id="10"/>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Quarterly Report on Form 10-Q and the audited consolidated financial statements and related notes included in our 2024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2024 Form 10-K.</w:t>
      </w:r>
    </w:p>
    <w:p>
      <w:pPr>
        <w:pStyle w:val="TextBody"/>
        <w:bidi w:val="0"/>
        <w:jc w:val="left"/>
        <w:rPr>
          <w:rFonts w:ascii="Times New Roman" w:hAnsi="Times New Roman"/>
          <w:b/>
          <w:color w:val="000000"/>
          <w:sz w:val="20"/>
        </w:rPr>
      </w:pPr>
      <w:r>
        <w:rPr>
          <w:rFonts w:ascii="Times New Roman" w:hAnsi="Times New Roman"/>
          <w:b/>
          <w:color w:val="000000"/>
          <w:sz w:val="20"/>
        </w:rPr>
        <w:t>Who We Are</w:t>
      </w:r>
    </w:p>
    <w:p>
      <w:pPr>
        <w:pStyle w:val="TextBody"/>
        <w:bidi w:val="0"/>
        <w:spacing w:before="120" w:after="120"/>
        <w:jc w:val="left"/>
        <w:rPr>
          <w:rFonts w:ascii="Times New Roman" w:hAnsi="Times New Roman"/>
          <w:sz w:val="20"/>
        </w:rPr>
      </w:pPr>
      <w:r>
        <w:rPr>
          <w:rFonts w:ascii="Times New Roman" w:hAnsi="Times New Roman"/>
          <w:color w:val="000000"/>
          <w:sz w:val="20"/>
        </w:rPr>
        <w:t>Mister Car Wash, Inc. is the largest national car wash brand, primarily offering express exterior cleaning services, with interior cleaning services at select locations, across 518 car washes in 21 states as of March 31, 2025. We offer a monthly subscription program, which we call the Unlimited Wash Club</w:t>
      </w:r>
      <w:r>
        <w:rPr>
          <w:rFonts w:ascii="Times New Roman" w:hAnsi="Times New Roman"/>
          <w:color w:val="000000"/>
          <w:sz w:val="16"/>
        </w:rPr>
        <w:t>®</w:t>
      </w:r>
      <w:r>
        <w:rPr>
          <w:rFonts w:ascii="Times New Roman" w:hAnsi="Times New Roman"/>
          <w:color w:val="000000"/>
          <w:sz w:val="20"/>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Factors Affecting Our Business and Trends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that our business and growth depend on a number of factors that present significant opportunities for us and may involve risks and challenges, including those discussed below and in Part I, Item 1A. “Risk Factors” of our 2024 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Growth in comparable store sales.</w:t>
            </w:r>
            <w:r>
              <w:rPr>
                <w:rFonts w:ascii="Times New Roman" w:hAnsi="Times New Roman"/>
                <w:color w:val="000000"/>
                <w:sz w:val="20"/>
              </w:rPr>
              <w:t> Comparable store sales have been a driver of our net revenue growth and we expect it to continue to play a key 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Number and loyalty of UWC Members</w:t>
            </w:r>
            <w:r>
              <w:rPr>
                <w:rFonts w:ascii="Times New Roman" w:hAnsi="Times New Roman"/>
                <w:color w:val="000000"/>
                <w:sz w:val="20"/>
              </w:rPr>
              <w:t xml:space="preserve">. The UWC program is a critical element of our business. UWC Members contribute a significant portion of our net revenue and provide recurring revenue through their monthly membership fees.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Labor management.</w:t>
            </w:r>
            <w:r>
              <w:rPr>
                <w:rFonts w:ascii="Times New Roman" w:hAnsi="Times New Roman"/>
                <w:color w:val="000000"/>
                <w:sz w:val="20"/>
              </w:rPr>
              <w:t> Hiring and retaining skilled team members and experienced management represents one of our largest costs. We believe people 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the United States government recently announced tariffs on goods imported from various countries to the United States. Countries subject to such tariffs have imposed or may in the future impose reciprocal or retaliator. While we believe in the strength of our business, the potential macroeconomic impacts of these actions, if implemented, are difficult to predict and may have a material adverse impact on our business, results of operations and financial condition. Specifically, negative macroeconomic impact on consumers affecting general discretionary income, consumer confidence, or purchasing patterns may reduce demand for our services.</w:t>
      </w:r>
    </w:p>
    <w:p>
      <w:pPr>
        <w:pStyle w:val="TextBody"/>
        <w:bidi w:val="0"/>
        <w:jc w:val="left"/>
        <w:rPr>
          <w:rFonts w:ascii="Times New Roman" w:hAnsi="Times New Roman"/>
          <w:b/>
          <w:color w:val="000000"/>
          <w:sz w:val="20"/>
        </w:rPr>
      </w:pPr>
      <w:r>
        <w:rPr>
          <w:rFonts w:ascii="Times New Roman" w:hAnsi="Times New Roman"/>
          <w:b/>
          <w:color w:val="000000"/>
          <w:sz w:val="20"/>
        </w:rPr>
        <w:t>Factors Affecting the Comparability of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results have been affected by, and may in the future be affected by, the following factors, which must be understood in order to assess the comparability of our period-to-period financial performance and condition.</w:t>
      </w:r>
    </w:p>
    <w:p>
      <w:pPr>
        <w:pStyle w:val="Heading2"/>
        <w:bidi w:val="0"/>
        <w:jc w:val="left"/>
        <w:rPr>
          <w:rFonts w:ascii="Times New Roman" w:hAnsi="Times New Roman"/>
          <w:b/>
          <w:i/>
          <w:color w:val="000000"/>
          <w:sz w:val="20"/>
        </w:rPr>
      </w:pPr>
      <w:r>
        <w:rPr>
          <w:rFonts w:ascii="Times New Roman" w:hAnsi="Times New Roman"/>
          <w:b/>
          <w:i/>
          <w:color w:val="000000"/>
          <w:sz w:val="20"/>
        </w:rPr>
        <w:t>Greenfield Location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More recently, a component of our growth strategy has been to grow through greenfield development of Mister Car Wash locations, with particular focus on Express Exterior Locations, and we anticipate further pursuit of this strategy in the future. We believe such a strategy will provide a more controllable pipeline of unit growth for future locations in existing and adjacent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prepare and analyze various operating and financial data to assess the performance of our business and to help in the allocation of our resources. The key operating performance and financial metrics and indicators we use are set forth below, as of and for the three months ended March 31, 2025 and 2024.</w:t>
      </w:r>
    </w:p>
    <w:tbl>
      <w:tblPr>
        <w:tblW w:w="6655" w:type="dxa"/>
        <w:jc w:val="left"/>
        <w:tblInd w:w="0" w:type="dxa"/>
        <w:tblLayout w:type="fixed"/>
        <w:tblCellMar>
          <w:top w:w="28" w:type="dxa"/>
          <w:left w:w="28" w:type="dxa"/>
          <w:bottom w:w="28" w:type="dxa"/>
          <w:right w:w="28" w:type="dxa"/>
        </w:tblCellMar>
      </w:tblPr>
      <w:tblGrid>
        <w:gridCol w:w="3796"/>
        <w:gridCol w:w="146"/>
        <w:gridCol w:w="231"/>
        <w:gridCol w:w="740"/>
        <w:gridCol w:w="296"/>
        <w:gridCol w:w="159"/>
        <w:gridCol w:w="231"/>
        <w:gridCol w:w="740"/>
        <w:gridCol w:w="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and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 count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store sales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Members (in thousands,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sales as a percentage of total wash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Location Count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months ended March 31, 2025, we increased our location count by the 4 greenfield locations, as noted above.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Express Exterior Locations, which offer express exterior cleaning services, comprise 455 of our current locations and our Interior Cleaning Locations, which offer both express exterior cleaning services and interior cleaning services, comprise 63 of our current locations.</w:t>
      </w:r>
    </w:p>
    <w:p>
      <w:pPr>
        <w:pStyle w:val="Heading2"/>
        <w:bidi w:val="0"/>
        <w:jc w:val="left"/>
        <w:rPr>
          <w:rFonts w:ascii="Times New Roman" w:hAnsi="Times New Roman"/>
          <w:b/>
          <w:i/>
          <w:color w:val="000000"/>
          <w:sz w:val="20"/>
        </w:rPr>
      </w:pPr>
      <w:r>
        <w:rPr>
          <w:rFonts w:ascii="Times New Roman" w:hAnsi="Times New Roman"/>
          <w:b/>
          <w:i/>
          <w:color w:val="000000"/>
          <w:sz w:val="20"/>
        </w:rPr>
        <w:t>Comparable Store Sales Growth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pStyle w:val="Heading2"/>
        <w:bidi w:val="0"/>
        <w:jc w:val="left"/>
        <w:rPr>
          <w:rFonts w:ascii="Times New Roman" w:hAnsi="Times New Roman"/>
          <w:b/>
          <w:i/>
          <w:color w:val="000000"/>
          <w:sz w:val="20"/>
        </w:rPr>
      </w:pPr>
      <w:r>
        <w:rPr>
          <w:rFonts w:ascii="Times New Roman" w:hAnsi="Times New Roman"/>
          <w:b/>
          <w:i/>
          <w:color w:val="000000"/>
          <w:sz w:val="20"/>
        </w:rPr>
        <w:t>UWC Members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2.2 million UWC Members as of March 31, 2025. UWC Members grew by approximately 5% from December 31, 2024 through March 31, 2025. </w:t>
      </w:r>
    </w:p>
    <w:p>
      <w:pPr>
        <w:pStyle w:val="Heading2"/>
        <w:bidi w:val="0"/>
        <w:jc w:val="left"/>
        <w:rPr>
          <w:rFonts w:ascii="Times New Roman" w:hAnsi="Times New Roman"/>
          <w:b/>
          <w:i/>
          <w:color w:val="000000"/>
          <w:sz w:val="20"/>
        </w:rPr>
      </w:pPr>
      <w:r>
        <w:rPr>
          <w:rFonts w:ascii="Times New Roman" w:hAnsi="Times New Roman"/>
          <w:b/>
          <w:i/>
          <w:color w:val="000000"/>
          <w:sz w:val="20"/>
        </w:rPr>
        <w:t>UWC Sales as a Percentage of Total Wash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UWC sales were 73% and 74% of our total wash sales for the three months ended March 31,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debt refinancing costs, and other nonrecurring charges. Adjusted EBITDA margin is defined as Adjusted EBITDA divided by net revenues for a given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evaluate in conjunction with U.S. GAAP measures of performance, the effectiveness of our business strategies; to make budgeting decisions; and because our Amended and Restated First Lien Credit Agreement uses measures similar to Adjusted EBITDA to measure our compliance with certain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and Adjusted EBITDA Margin are not recognized terms under GAAP and should not be considered as a substitute for net income, net income margin, or any other financial measure presented in accordance with GAAP. Adjusted EBITDA has its limitations as an analytical tool, and you should not consider it in isolation or as a substitute for analysis of our results as reported under U.S. GAAP.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net income to Adjusted EBITDA for the periods presented.</w:t>
      </w:r>
    </w:p>
    <w:tbl>
      <w:tblPr>
        <w:tblW w:w="6339" w:type="dxa"/>
        <w:jc w:val="left"/>
        <w:tblInd w:w="0" w:type="dxa"/>
        <w:tblLayout w:type="fixed"/>
        <w:tblCellMar>
          <w:top w:w="28" w:type="dxa"/>
          <w:left w:w="28" w:type="dxa"/>
          <w:bottom w:w="28" w:type="dxa"/>
          <w:right w:w="28" w:type="dxa"/>
        </w:tblCellMar>
      </w:tblPr>
      <w:tblGrid>
        <w:gridCol w:w="3401"/>
        <w:gridCol w:w="146"/>
        <w:gridCol w:w="211"/>
        <w:gridCol w:w="781"/>
        <w:gridCol w:w="271"/>
        <w:gridCol w:w="146"/>
        <w:gridCol w:w="211"/>
        <w:gridCol w:w="781"/>
        <w:gridCol w:w="39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costs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retention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Consists of (gains) and losses on the disposition of assets associated with sale leaseback transactions, the sale of property and equipment, and store closures or the impairments associated with store closures and relocations.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non-cash expense associated with our stock-based compensation as well as related taxes.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expenses incurred in strategic acquisitions and greenfield development. Expenses include professional fees for accounting and auditing services, appraisals, legal fees and financial services, dead deal costs, one-time costs associated with supplies for rebranding the acquired stores, and distinct travel expenses for related, distinct integration efforts by team members who are not part of our dedicated integration team.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the difference between cash paid for rent expense and U.S. GAAP rent expense.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Represents non-deferred legal fees and other expenses related to credit agreement amendments, and loss on extinguishment of debt associated with amendments to the debt facilities.</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(f)</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Consists of other items as determined by management not to be reflective of our ongoing operating performance, such as costs associated with severance pay, legal settlements and legal fees related to contract terminations, and nonrecurring strategic project costs.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 for the Three Months Ended March 31, 2025 and 2024</w:t>
      </w:r>
      <w:r>
        <w:rPr>
          <w:rFonts w:ascii="Times New Roman" w:hAnsi="Times New Roman"/>
          <w:color w:val="000000"/>
          <w:sz w:val="20"/>
        </w:rPr>
        <w:t xml:space="preserve"> </w:t>
      </w:r>
    </w:p>
    <w:tbl>
      <w:tblPr>
        <w:tblW w:w="7955" w:type="dxa"/>
        <w:jc w:val="left"/>
        <w:tblInd w:w="0" w:type="dxa"/>
        <w:tblLayout w:type="fixed"/>
        <w:tblCellMar>
          <w:top w:w="28" w:type="dxa"/>
          <w:left w:w="28" w:type="dxa"/>
          <w:bottom w:w="28" w:type="dxa"/>
          <w:right w:w="28" w:type="dxa"/>
        </w:tblCellMar>
      </w:tblPr>
      <w:tblGrid>
        <w:gridCol w:w="2786"/>
        <w:gridCol w:w="146"/>
        <w:gridCol w:w="211"/>
        <w:gridCol w:w="781"/>
        <w:gridCol w:w="146"/>
        <w:gridCol w:w="146"/>
        <w:gridCol w:w="185"/>
        <w:gridCol w:w="536"/>
        <w:gridCol w:w="271"/>
        <w:gridCol w:w="146"/>
        <w:gridCol w:w="211"/>
        <w:gridCol w:w="781"/>
        <w:gridCol w:w="166"/>
        <w:gridCol w:w="146"/>
        <w:gridCol w:w="185"/>
        <w:gridCol w:w="536"/>
        <w:gridCol w:w="576"/>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Net Revenues</w:t>
      </w:r>
    </w:p>
    <w:tbl>
      <w:tblPr>
        <w:tblW w:w="6913" w:type="dxa"/>
        <w:jc w:val="left"/>
        <w:tblInd w:w="0" w:type="dxa"/>
        <w:tblLayout w:type="fixed"/>
        <w:tblCellMar>
          <w:top w:w="28" w:type="dxa"/>
          <w:left w:w="28" w:type="dxa"/>
          <w:bottom w:w="28" w:type="dxa"/>
          <w:right w:w="28" w:type="dxa"/>
        </w:tblCellMar>
      </w:tblPr>
      <w:tblGrid>
        <w:gridCol w:w="1711"/>
        <w:gridCol w:w="146"/>
        <w:gridCol w:w="222"/>
        <w:gridCol w:w="823"/>
        <w:gridCol w:w="154"/>
        <w:gridCol w:w="154"/>
        <w:gridCol w:w="222"/>
        <w:gridCol w:w="823"/>
        <w:gridCol w:w="146"/>
        <w:gridCol w:w="146"/>
        <w:gridCol w:w="211"/>
        <w:gridCol w:w="676"/>
        <w:gridCol w:w="146"/>
        <w:gridCol w:w="146"/>
        <w:gridCol w:w="356"/>
        <w:gridCol w:w="515"/>
        <w:gridCol w:w="3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net revenues was primarily attributable to growth in UWC Members, increased retail customer traffic, wash package mix, and the year-over-year addition of 36 locations.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Cost of Labor and Chemicals</w:t>
      </w:r>
    </w:p>
    <w:tbl>
      <w:tblPr>
        <w:tblW w:w="7606" w:type="dxa"/>
        <w:jc w:val="left"/>
        <w:tblInd w:w="0" w:type="dxa"/>
        <w:tblLayout w:type="fixed"/>
        <w:tblCellMar>
          <w:top w:w="28" w:type="dxa"/>
          <w:left w:w="28" w:type="dxa"/>
          <w:bottom w:w="28" w:type="dxa"/>
          <w:right w:w="28" w:type="dxa"/>
        </w:tblCellMar>
      </w:tblPr>
      <w:tblGrid>
        <w:gridCol w:w="2371"/>
        <w:gridCol w:w="146"/>
        <w:gridCol w:w="231"/>
        <w:gridCol w:w="740"/>
        <w:gridCol w:w="296"/>
        <w:gridCol w:w="159"/>
        <w:gridCol w:w="231"/>
        <w:gridCol w:w="740"/>
        <w:gridCol w:w="271"/>
        <w:gridCol w:w="146"/>
        <w:gridCol w:w="214"/>
        <w:gridCol w:w="582"/>
        <w:gridCol w:w="146"/>
        <w:gridCol w:w="146"/>
        <w:gridCol w:w="356"/>
        <w:gridCol w:w="515"/>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cost of labor and chemicals was primarily attributable to an increase in volume and the year-over-year addition of 36 locations, as well as increased store labor rates, partially offset by labor optimization and lower chemical costs due to new formulations and strategic partnerships. </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Other Store Operating Expenses</w:t>
      </w:r>
    </w:p>
    <w:tbl>
      <w:tblPr>
        <w:tblW w:w="7937" w:type="dxa"/>
        <w:jc w:val="left"/>
        <w:tblInd w:w="0" w:type="dxa"/>
        <w:tblLayout w:type="fixed"/>
        <w:tblCellMar>
          <w:top w:w="28" w:type="dxa"/>
          <w:left w:w="28" w:type="dxa"/>
          <w:bottom w:w="28" w:type="dxa"/>
          <w:right w:w="28" w:type="dxa"/>
        </w:tblCellMar>
      </w:tblPr>
      <w:tblGrid>
        <w:gridCol w:w="2611"/>
        <w:gridCol w:w="146"/>
        <w:gridCol w:w="220"/>
        <w:gridCol w:w="816"/>
        <w:gridCol w:w="283"/>
        <w:gridCol w:w="152"/>
        <w:gridCol w:w="220"/>
        <w:gridCol w:w="706"/>
        <w:gridCol w:w="271"/>
        <w:gridCol w:w="146"/>
        <w:gridCol w:w="211"/>
        <w:gridCol w:w="676"/>
        <w:gridCol w:w="146"/>
        <w:gridCol w:w="146"/>
        <w:gridCol w:w="275"/>
        <w:gridCol w:w="596"/>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109,667</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was primarily attributable to the year-over-year addition of 36 locations, increased utilities and maintenance expenses, as well as additional rent expense for the addition of 39 net new land and building leases between periods.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General and Administrative</w:t>
      </w:r>
    </w:p>
    <w:tbl>
      <w:tblPr>
        <w:tblW w:w="7672" w:type="dxa"/>
        <w:jc w:val="left"/>
        <w:tblInd w:w="0" w:type="dxa"/>
        <w:tblLayout w:type="fixed"/>
        <w:tblCellMar>
          <w:top w:w="28" w:type="dxa"/>
          <w:left w:w="28" w:type="dxa"/>
          <w:bottom w:w="28" w:type="dxa"/>
          <w:right w:w="28" w:type="dxa"/>
        </w:tblCellMar>
      </w:tblPr>
      <w:tblGrid>
        <w:gridCol w:w="2311"/>
        <w:gridCol w:w="146"/>
        <w:gridCol w:w="231"/>
        <w:gridCol w:w="740"/>
        <w:gridCol w:w="296"/>
        <w:gridCol w:w="159"/>
        <w:gridCol w:w="231"/>
        <w:gridCol w:w="740"/>
        <w:gridCol w:w="271"/>
        <w:gridCol w:w="146"/>
        <w:gridCol w:w="211"/>
        <w:gridCol w:w="631"/>
        <w:gridCol w:w="166"/>
        <w:gridCol w:w="146"/>
        <w:gridCol w:w="243"/>
        <w:gridCol w:w="628"/>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24,659</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was primarily attributable to the debt refinancing costs in the prior year and decreased amortization expense due to intangible assets that fully amortized in the prior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(Gain) Loss on Sale of Assets, Net</w:t>
      </w:r>
    </w:p>
    <w:tbl>
      <w:tblPr>
        <w:tblW w:w="8027" w:type="dxa"/>
        <w:jc w:val="left"/>
        <w:tblInd w:w="0" w:type="dxa"/>
        <w:tblLayout w:type="fixed"/>
        <w:tblCellMar>
          <w:top w:w="28" w:type="dxa"/>
          <w:left w:w="28" w:type="dxa"/>
          <w:bottom w:w="28" w:type="dxa"/>
          <w:right w:w="28" w:type="dxa"/>
        </w:tblCellMar>
      </w:tblPr>
      <w:tblGrid>
        <w:gridCol w:w="2671"/>
        <w:gridCol w:w="146"/>
        <w:gridCol w:w="267"/>
        <w:gridCol w:w="534"/>
        <w:gridCol w:w="344"/>
        <w:gridCol w:w="185"/>
        <w:gridCol w:w="267"/>
        <w:gridCol w:w="801"/>
        <w:gridCol w:w="331"/>
        <w:gridCol w:w="146"/>
        <w:gridCol w:w="214"/>
        <w:gridCol w:w="582"/>
        <w:gridCol w:w="146"/>
        <w:gridCol w:w="146"/>
        <w:gridCol w:w="202"/>
        <w:gridCol w:w="669"/>
        <w:gridCol w:w="37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(gain) loss on sale of assets was primarily driven by gains associated with sale-leaseback activity in the prior year compared to losses associated with asset retirements and no sale-leaseback activity in the current year.</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Total Other Expense, Net</w:t>
      </w:r>
    </w:p>
    <w:tbl>
      <w:tblPr>
        <w:tblW w:w="7596" w:type="dxa"/>
        <w:jc w:val="left"/>
        <w:tblInd w:w="0" w:type="dxa"/>
        <w:tblLayout w:type="fixed"/>
        <w:tblCellMar>
          <w:top w:w="28" w:type="dxa"/>
          <w:left w:w="28" w:type="dxa"/>
          <w:bottom w:w="28" w:type="dxa"/>
          <w:right w:w="28" w:type="dxa"/>
        </w:tblCellMar>
      </w:tblPr>
      <w:tblGrid>
        <w:gridCol w:w="2281"/>
        <w:gridCol w:w="146"/>
        <w:gridCol w:w="231"/>
        <w:gridCol w:w="740"/>
        <w:gridCol w:w="296"/>
        <w:gridCol w:w="159"/>
        <w:gridCol w:w="231"/>
        <w:gridCol w:w="740"/>
        <w:gridCol w:w="271"/>
        <w:gridCol w:w="146"/>
        <w:gridCol w:w="242"/>
        <w:gridCol w:w="554"/>
        <w:gridCol w:w="166"/>
        <w:gridCol w:w="146"/>
        <w:gridCol w:w="304"/>
        <w:gridCol w:w="567"/>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is primarily attributable to a $4.0 million decrease in interest expense driven by lower average interest rates and $66.9 million of principal payments on the First Lien Term Loan between periods, as well as $1.9 million loss on extinguishment of debt related to our debt refinancing activity in the prior year, partially offset by the $5.2 million gain related to the recognition of an employee retention credit in the prior year.</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Income Tax Provision</w:t>
      </w:r>
    </w:p>
    <w:tbl>
      <w:tblPr>
        <w:tblW w:w="7517" w:type="dxa"/>
        <w:jc w:val="left"/>
        <w:tblInd w:w="0" w:type="dxa"/>
        <w:tblLayout w:type="fixed"/>
        <w:tblCellMar>
          <w:top w:w="28" w:type="dxa"/>
          <w:left w:w="28" w:type="dxa"/>
          <w:bottom w:w="28" w:type="dxa"/>
          <w:right w:w="28" w:type="dxa"/>
        </w:tblCellMar>
      </w:tblPr>
      <w:tblGrid>
        <w:gridCol w:w="2281"/>
        <w:gridCol w:w="146"/>
        <w:gridCol w:w="255"/>
        <w:gridCol w:w="692"/>
        <w:gridCol w:w="328"/>
        <w:gridCol w:w="176"/>
        <w:gridCol w:w="255"/>
        <w:gridCol w:w="692"/>
        <w:gridCol w:w="271"/>
        <w:gridCol w:w="146"/>
        <w:gridCol w:w="265"/>
        <w:gridCol w:w="531"/>
        <w:gridCol w:w="146"/>
        <w:gridCol w:w="146"/>
        <w:gridCol w:w="356"/>
        <w:gridCol w:w="515"/>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income tax provision was primarily driven by the increase in pre-tax income, net of reduced discrete tax expenses recognized in this quarter compared to the prior quarter.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primary requirements for liquidity and capital are to fund our investments in our core business, which includes lease payments, pursue greenfield location development and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of March 31, 2025 and December 31, 2024, we had cash and cash equivalents of $39.1 million and $67.5 million, respectively, and </w:t>
      </w:r>
      <w:r>
        <w:rPr>
          <w:rFonts w:ascii="Times New Roman" w:hAnsi="Times New Roman"/>
          <w:color w:val="231F20"/>
          <w:sz w:val="20"/>
        </w:rPr>
        <w:t>$299.8 million and $299.8 million</w:t>
      </w:r>
      <w:r>
        <w:rPr>
          <w:rFonts w:ascii="Times New Roman" w:hAnsi="Times New Roman"/>
          <w:color w:val="000000"/>
          <w:sz w:val="20"/>
        </w:rPr>
        <w:t>, respectivel</w:t>
      </w:r>
      <w:r>
        <w:rPr>
          <w:rFonts w:ascii="Times New Roman" w:hAnsi="Times New Roman"/>
          <w:color w:val="231F20"/>
          <w:sz w:val="20"/>
        </w:rPr>
        <w:t xml:space="preserve">y, </w:t>
      </w:r>
      <w:r>
        <w:rPr>
          <w:rFonts w:ascii="Times New Roman" w:hAnsi="Times New Roman"/>
          <w:color w:val="000000"/>
          <w:sz w:val="20"/>
        </w:rPr>
        <w:t xml:space="preserve">of available borrowing capacity under our Revolving Commitment.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a description of our credit facilities and our recent debt refinancing, please see Note 7 Debt in the unaudited consolidated financial statements included elsewhere in this Quarterly Report on Form 10-Q. As of March 31, 2025, we were in compliance with the covenants under the Amended and Restated First Lien Credit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that our sources of liquidity and capital will be sufficient to finance our growth strategy and operations, as well as planned capital expenditures,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pStyle w:val="Heading2"/>
        <w:bidi w:val="0"/>
        <w:jc w:val="left"/>
        <w:rPr>
          <w:rFonts w:ascii="Times New Roman" w:hAnsi="Times New Roman"/>
          <w:b/>
          <w:i/>
          <w:color w:val="000000"/>
          <w:sz w:val="20"/>
        </w:rPr>
      </w:pPr>
      <w:r>
        <w:rPr>
          <w:rFonts w:ascii="Times New Roman" w:hAnsi="Times New Roman"/>
          <w:b/>
          <w:i/>
          <w:color w:val="000000"/>
          <w:sz w:val="20"/>
        </w:rPr>
        <w:t>Cash Flows for the Three Months Ended March 31, 2025 and 2024</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Net Cash Provided by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2025, net cash provided by operating activities was $87.6 million and was comprised of net income of $27.0 million, increased by $49.2 million as a result of non-cash adjustments including depreciation and amortization expense, stock-based compensation expense, non-cash lease expense, deferred income taxes, loss on sale of assets, net, and amortization of debt issuance costs. Changes in working capital balances increased cash provided by operating activities by $11.4 million and were primarily driven by decreases to accounts receivable, net, other receivables, inventory and other noncurrent assets and liabilities and increases in accounts payable, accrued expenses, and deferred revenue, partially offset by operating lease payments.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2024, net cash provided by operating activities was $58.0 million and was comprised of net income of $16.6 million, increased by $46.4 million as a result of non-cash adjustments comprised primarily of depreciation and amortization expense, stock-based compensation expense, non-cash lease expense, deferred income taxes, a gain on disposal of property and equipment, a loss on extinguishment of debt, and amortization of debt issuance costs. Changes in working capital balances decreased cash provided by operating activities by $5.0 million and were primarily driven by an increase in other receivables and decreases in current liabilities, partially offset by the increase in operating lease liability.</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2025, net cash used in investing activities was $55.0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2024, net cash used in investing activities was $76.9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Net Cash Used in / Provided by Financing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2025, net cash used in financing activities was $60.9 million and was primarily comprised of payments for the First Lien Term Loan and finance lease obligations, partially offset by proceeds related to the issuance of common stock under employee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March 31, 2024, net cash provided by financing activities was $10.7 million and was primarily comprised of proceeds from our refinancing of the First Lien Term Loan and Revolving Commitment, partially offset by payments for repurchases of common stock for stock exercises, payments on debt borrowings and Revolving Commitment, and payments of deferred financing costs due to our debt refinancing.</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significant accounting policies and estimates used in preparation of the consolidated financial statements are described in our 2024 Form 10-K. There have been no material changes to our significant accounting policies during the three months ended March 31, 2025.</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2 Summary of Significant Accounting Policies to our consolidated financial statements included elsewhere in this Quarterly Report on Form 10-Q for a discussion of recent accounting pronouncements.</w:t>
      </w:r>
    </w:p>
    <w:p>
      <w:pPr>
        <w:pStyle w:val="TextBody"/>
        <w:bidi w:val="0"/>
        <w:jc w:val="left"/>
        <w:rPr>
          <w:rFonts w:ascii="Times New Roman" w:hAnsi="Times New Roman"/>
          <w:b/>
          <w:color w:val="000000"/>
          <w:sz w:val="20"/>
          <w:u w:val="single"/>
        </w:rPr>
      </w:pPr>
      <w:bookmarkStart w:id="11" w:name="i_item3"/>
      <w:bookmarkEnd w:id="11"/>
      <w:r>
        <w:rPr>
          <w:rFonts w:ascii="Times New Roman" w:hAnsi="Times New Roman"/>
          <w:b/>
          <w:color w:val="000000"/>
          <w:sz w:val="20"/>
          <w:u w:val="single"/>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in our exposure to market risk from the information provided in "Item 7A. Quantitative and Qualitative Disclosures About Market Risk" in our 2024 Form 10-K.</w:t>
      </w:r>
    </w:p>
    <w:p>
      <w:pPr>
        <w:pStyle w:val="TextBody"/>
        <w:bidi w:val="0"/>
        <w:jc w:val="left"/>
        <w:rPr>
          <w:rFonts w:ascii="Times New Roman" w:hAnsi="Times New Roman"/>
          <w:b/>
          <w:color w:val="000000"/>
          <w:sz w:val="20"/>
          <w:u w:val="single"/>
        </w:rPr>
      </w:pPr>
      <w:bookmarkStart w:id="12" w:name="i_item4"/>
      <w:bookmarkEnd w:id="12"/>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Securities Exchange Act of 1934, as amended (the “Exchange Act”)) as of March 31, 2025. Based on that evaluation, our management, including the President and Chief Executive Officer and the Chief Financial Officer, has concluded that our disclosure controls and procedures were effective as of March 31, 2025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March 31, 2025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u w:val="single"/>
        </w:rPr>
      </w:pPr>
      <w:bookmarkStart w:id="13" w:name="ii_item1"/>
      <w:bookmarkEnd w:id="13"/>
      <w:r>
        <w:rPr>
          <w:rFonts w:ascii="Times New Roman" w:hAnsi="Times New Roman"/>
          <w:b/>
          <w:color w:val="000000"/>
          <w:sz w:val="20"/>
          <w:u w:val="single"/>
        </w:rPr>
        <w:t>Item 1. Legal Proceedings.</w:t>
      </w:r>
    </w:p>
    <w:p>
      <w:pPr>
        <w:pStyle w:val="TextBody"/>
        <w:bidi w:val="0"/>
        <w:spacing w:before="120" w:after="120"/>
        <w:jc w:val="left"/>
        <w:rPr>
          <w:rFonts w:ascii="Times New Roman" w:hAnsi="Times New Roman"/>
          <w:sz w:val="20"/>
        </w:rPr>
      </w:pPr>
      <w:r>
        <w:rPr>
          <w:rFonts w:ascii="Times New Roman" w:hAnsi="Times New Roman"/>
          <w:color w:val="000000"/>
          <w:sz w:val="20"/>
        </w:rPr>
        <w:t>Except as set forth in Note 12 - Commitments &amp; Contingencies to our consolidated financial statements included elsewhere in this Quarterly Report on Form 10-Q, there have been no material changes to the legal proceedings described in Part I "Item 3. Legal Proceedings" and Note 18 Commitments &amp; Contingencies to the consolidated financial statements of our Annual Report on Form 10-K for the fiscal year ended December 31, 2024</w:t>
      </w:r>
      <w:r>
        <w:rPr>
          <w:rFonts w:ascii="Times New Roman" w:hAnsi="Times New Roman"/>
          <w:color w:val="231F20"/>
          <w:sz w:val="20"/>
        </w:rPr>
        <w:t xml:space="preserve">. </w:t>
      </w:r>
    </w:p>
    <w:p>
      <w:pPr>
        <w:pStyle w:val="TextBody"/>
        <w:bidi w:val="0"/>
        <w:jc w:val="left"/>
        <w:rPr>
          <w:rFonts w:ascii="Times New Roman" w:hAnsi="Times New Roman"/>
          <w:b/>
          <w:color w:val="000000"/>
          <w:sz w:val="20"/>
          <w:u w:val="single"/>
        </w:rPr>
      </w:pPr>
      <w:bookmarkStart w:id="14" w:name="ii_item1a"/>
      <w:bookmarkEnd w:id="14"/>
      <w:r>
        <w:rPr>
          <w:rFonts w:ascii="Times New Roman" w:hAnsi="Times New Roman"/>
          <w:b/>
          <w:color w:val="000000"/>
          <w:sz w:val="20"/>
          <w:u w:val="single"/>
        </w:rPr>
        <w:t>Item 1A. 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to the risk factors described in Part I. Item 1A. "Risk Factors" of our 2024 Form 10-K.</w:t>
      </w:r>
    </w:p>
    <w:p>
      <w:pPr>
        <w:pStyle w:val="TextBody"/>
        <w:bidi w:val="0"/>
        <w:jc w:val="left"/>
        <w:rPr>
          <w:rFonts w:ascii="Times New Roman" w:hAnsi="Times New Roman"/>
          <w:b/>
          <w:color w:val="000000"/>
          <w:sz w:val="20"/>
          <w:u w:val="single"/>
        </w:rPr>
      </w:pPr>
      <w:bookmarkStart w:id="15" w:name="ii_item2"/>
      <w:bookmarkEnd w:id="15"/>
      <w:r>
        <w:rPr>
          <w:rFonts w:ascii="Times New Roman" w:hAnsi="Times New Roman"/>
          <w:b/>
          <w:color w:val="000000"/>
          <w:sz w:val="20"/>
          <w:u w:val="single"/>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6" w:name="ii_item3"/>
      <w:bookmarkEnd w:id="16"/>
      <w:r>
        <w:rPr>
          <w:rFonts w:ascii="Times New Roman" w:hAnsi="Times New Roman"/>
          <w:b/>
          <w:color w:val="000000"/>
          <w:sz w:val="20"/>
          <w:u w:val="single"/>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7" w:name="ii_item4"/>
      <w:bookmarkEnd w:id="17"/>
      <w:r>
        <w:rPr>
          <w:rFonts w:ascii="Times New Roman" w:hAnsi="Times New Roman"/>
          <w:b/>
          <w:color w:val="000000"/>
          <w:sz w:val="20"/>
          <w:u w:val="single"/>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u w:val="single"/>
        </w:rPr>
      </w:pPr>
      <w:bookmarkStart w:id="18" w:name="ii_item5"/>
      <w:bookmarkEnd w:id="18"/>
      <w:r>
        <w:rPr>
          <w:rFonts w:ascii="Times New Roman" w:hAnsi="Times New Roman"/>
          <w:b/>
          <w:color w:val="000000"/>
          <w:sz w:val="20"/>
          <w:u w:val="single"/>
        </w:rPr>
        <w:t>Item 5. Other Information.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Rule 10b5-1 Trading Plan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2025, none of the directors or officers of the Company adopted, modified or terminated any “Rule 10b5-1 trading arrangement” or “non-Rule 10b5-1 trading arrangement”, as those terms are defined in Regulation S-K, Item 408, except as described below: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March 13, 2025, Joseph Matheny, Chief Innovation Officer, entered into a trading arrangement during an open window period under the Company’s Insider Trading Compliance Policy, intended to satisfy the affirmative defense of Rule 10b5-1(c) and provides for the potential sale of up to 371,520 shares of the Company’s common stock until November 22,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9" w:name="ii_item6"/>
      <w:bookmarkEnd w:id="19"/>
      <w:r>
        <w:rPr>
          <w:rFonts w:ascii="Times New Roman" w:hAnsi="Times New Roman"/>
          <w:b/>
          <w:color w:val="000000"/>
          <w:sz w:val="20"/>
          <w:u w:val="single"/>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46"/>
        <w:gridCol w:w="5611"/>
        <w:gridCol w:w="511"/>
        <w:gridCol w:w="664"/>
        <w:gridCol w:w="631"/>
        <w:gridCol w:w="664"/>
        <w:gridCol w:w="1243"/>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06/01/2022</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Certificate of Amendment of 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06/01/2023</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Bylaws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07/02/2021</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10.1</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Transition and Severance Agreement, effective as of January 6, 2025, by and between Mister Car Wash, Inc., and Markus Hartmann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01-29-2025</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442" w:type="dxa"/>
        <w:jc w:val="left"/>
        <w:tblInd w:w="0" w:type="dxa"/>
        <w:tblLayout w:type="fixed"/>
        <w:tblCellMar>
          <w:top w:w="28" w:type="dxa"/>
          <w:left w:w="28" w:type="dxa"/>
          <w:bottom w:w="28" w:type="dxa"/>
          <w:right w:w="28" w:type="dxa"/>
        </w:tblCellMar>
      </w:tblPr>
      <w:tblGrid>
        <w:gridCol w:w="1636"/>
        <w:gridCol w:w="109"/>
        <w:gridCol w:w="406"/>
        <w:gridCol w:w="429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Mister Car Wash,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Chairperson,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bookmarkStart w:id="21" w:name="mcw-ex31_1.htm"/>
      <w:bookmarkStart w:id="22" w:name="ksmcw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Lai,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47" w:type="dxa"/>
        <w:jc w:val="left"/>
        <w:tblInd w:w="0" w:type="dxa"/>
        <w:tblLayout w:type="fixed"/>
        <w:tblCellMar>
          <w:top w:w="28" w:type="dxa"/>
          <w:left w:w="28" w:type="dxa"/>
          <w:bottom w:w="28" w:type="dxa"/>
          <w:right w:w="28" w:type="dxa"/>
        </w:tblCellMar>
      </w:tblPr>
      <w:tblGrid>
        <w:gridCol w:w="1636"/>
        <w:gridCol w:w="109"/>
        <w:gridCol w:w="406"/>
        <w:gridCol w:w="40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cw-ex31_2.htm"/>
      <w:bookmarkStart w:id="24" w:name="ksmcw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Jedidiah Gold,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636"/>
        <w:gridCol w:w="109"/>
        <w:gridCol w:w="40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cw-ex32_1.htm"/>
      <w:bookmarkStart w:id="26" w:name="ksmcw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6247" w:type="dxa"/>
        <w:jc w:val="left"/>
        <w:tblInd w:w="0" w:type="dxa"/>
        <w:tblLayout w:type="fixed"/>
        <w:tblCellMar>
          <w:top w:w="28" w:type="dxa"/>
          <w:left w:w="28" w:type="dxa"/>
          <w:bottom w:w="28" w:type="dxa"/>
          <w:right w:w="28" w:type="dxa"/>
        </w:tblCellMar>
      </w:tblPr>
      <w:tblGrid>
        <w:gridCol w:w="1636"/>
        <w:gridCol w:w="109"/>
        <w:gridCol w:w="406"/>
        <w:gridCol w:w="40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mcw-ex32_2.htm"/>
      <w:bookmarkStart w:id="28" w:name="ksmcw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636"/>
        <w:gridCol w:w="109"/>
        <w:gridCol w:w="40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3513/000095017022010967/mcw-ex3_2.htm" TargetMode="External"/><Relationship Id="rId4" Type="http://schemas.openxmlformats.org/officeDocument/2006/relationships/hyperlink" Target="https://www.sec.gov/Archives/edgar/data/1853513/000095017023025696/mcw-ex3_1.htm" TargetMode="External"/><Relationship Id="rId5" Type="http://schemas.openxmlformats.org/officeDocument/2006/relationships/hyperlink" Target="https://www.sec.gov/Archives/edgar/data/1853513/000119312521207571/d197509dex32.htm" TargetMode="External"/><Relationship Id="rId6" Type="http://schemas.openxmlformats.org/officeDocument/2006/relationships/hyperlink" Target="https://www.sec.gov/Archives/edgar/data/1853513/000095017025010183/mcw-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13748</Words>
  <Characters>75006</Characters>
  <CharactersWithSpaces>89427</CharactersWithSpaces>
  <Paragraphs>4774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