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2"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ectPr>
          <w:pgSz w:w="11900" w:h="16838" w:orient="portrait"/>
          <w:cols w:equalWidth="0" w:num="1">
            <w:col w:w="11240"/>
          </w:cols>
          <w:pgMar w:left="320" w:top="686"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26"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00"/>
        <w:spacing w:after="0" w:line="235" w:lineRule="auto"/>
        <w:rPr>
          <w:sz w:val="20"/>
          <w:szCs w:val="20"/>
          <w:color w:val="auto"/>
        </w:rPr>
      </w:pPr>
      <w:r>
        <w:rPr>
          <w:rFonts w:ascii="Times New Roman" w:cs="Times New Roman" w:eastAsia="Times New Roman" w:hAnsi="Times New Roman"/>
          <w:sz w:val="18"/>
          <w:szCs w:val="18"/>
          <w:b w:val="1"/>
          <w:bCs w:val="1"/>
          <w:color w:val="auto"/>
        </w:rPr>
        <w:t>222 E.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85705</w:t>
      </w:r>
    </w:p>
    <w:p>
      <w:pPr>
        <w:spacing w:after="0" w:line="37" w:lineRule="exact"/>
        <w:rPr>
          <w:sz w:val="24"/>
          <w:szCs w:val="24"/>
          <w:color w:val="auto"/>
        </w:rPr>
      </w:pPr>
    </w:p>
    <w:p>
      <w:pPr>
        <w:sectPr>
          <w:pgSz w:w="11900" w:h="16838" w:orient="portrait"/>
          <w:cols w:equalWidth="0" w:num="2">
            <w:col w:w="7600" w:space="340"/>
            <w:col w:w="3300"/>
          </w:cols>
          <w:pgMar w:left="320" w:top="6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right="20" w:firstLine="59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00" w:firstLine="599"/>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8" w:lineRule="exact"/>
        <w:rPr>
          <w:sz w:val="24"/>
          <w:szCs w:val="24"/>
          <w:color w:val="auto"/>
        </w:rPr>
      </w:pPr>
    </w:p>
    <w:p>
      <w:pPr>
        <w:ind w:right="500" w:firstLine="599"/>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2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28, 2023, the registrant had 308,519,147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bottom w:val="single" w:sz="8" w:color="0000FF"/>
            </w:tcBorders>
            <w:gridSpan w:val="9"/>
            <w:vMerge w:val="continue"/>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1980" w:type="dxa"/>
            <w:vAlign w:val="bottom"/>
            <w:tcBorders>
              <w:top w:val="single" w:sz="8" w:color="0000FF"/>
            </w:tcBorders>
            <w:gridSpan w:val="5"/>
          </w:tcPr>
          <w:p>
            <w:pPr>
              <w:spacing w:after="0"/>
              <w:rPr>
                <w:sz w:val="18"/>
                <w:szCs w:val="18"/>
                <w:color w:val="auto"/>
              </w:rPr>
            </w:pPr>
          </w:p>
        </w:tc>
        <w:tc>
          <w:tcPr>
            <w:tcW w:w="35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jc w:val="center"/>
              <w:ind w:right="4760"/>
              <w:spacing w:after="0"/>
              <w:rPr>
                <w:sz w:val="20"/>
                <w:szCs w:val="20"/>
                <w:color w:val="auto"/>
              </w:rPr>
            </w:pPr>
            <w:r>
              <w:rPr>
                <w:rFonts w:ascii="Times New Roman" w:cs="Times New Roman" w:eastAsia="Times New Roman" w:hAnsi="Times New Roman"/>
                <w:sz w:val="18"/>
                <w:szCs w:val="18"/>
                <w:color w:val="auto"/>
                <w:w w:val="7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p>
    <w:p>
      <w:pPr>
        <w:spacing w:after="0" w:line="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2022 (the “2022 10-K”) and in Part I. Item 2. “Management’s Discussion and Analysis of Financial Condition and Results of Operations” of this Quarterly Report on Form 10-Q. These risks and uncertainties include, but are not limited to:</w:t>
      </w:r>
    </w:p>
    <w:p>
      <w:pPr>
        <w:spacing w:after="0" w:line="72" w:lineRule="exact"/>
        <w:rPr>
          <w:sz w:val="20"/>
          <w:szCs w:val="20"/>
          <w:color w:val="auto"/>
        </w:rPr>
      </w:pPr>
    </w:p>
    <w:p>
      <w:pPr>
        <w:ind w:left="520" w:hanging="512"/>
        <w:spacing w:after="0" w:line="25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overall decline in the health of the economy and other factors impacting consumer spending, such as natural disasters, the occurrence of a recession, growing inflation and worsening in economic conditions may affect consumer purchases and reduce demand for our services.</w:t>
      </w:r>
    </w:p>
    <w:p>
      <w:pPr>
        <w:spacing w:after="0" w:line="5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retain existing customers and maintain or grow the number of Unlimited Wash Club ® (“UWC”) Members.</w:t>
      </w:r>
    </w:p>
    <w:p>
      <w:pPr>
        <w:spacing w:after="0" w:line="95" w:lineRule="exact"/>
        <w:rPr>
          <w:rFonts w:ascii="Times New Roman" w:cs="Times New Roman" w:eastAsia="Times New Roman" w:hAnsi="Times New Roman"/>
          <w:sz w:val="14"/>
          <w:szCs w:val="14"/>
          <w:color w:val="auto"/>
        </w:rPr>
      </w:pPr>
    </w:p>
    <w:p>
      <w:pPr>
        <w:ind w:left="520" w:hanging="512"/>
        <w:spacing w:after="0" w:line="249"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acquire, open and operate new locations in a timely and cost-effective manner and enter into new markets our financial performance could be materially and adversely affected.</w:t>
      </w:r>
    </w:p>
    <w:p>
      <w:pPr>
        <w:spacing w:after="0" w:line="23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successfully implement our growth strategies on a timely basis or at all.</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 number of risks and regulations related to credit card and debit card payments we accept.</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 and other increased operating costs could materially and adversely affect our results of operations.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locations may experience difficulty hiring and retaining key or sufficient qualified personnel or increases in labor costs.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or sublease the land and buildings where a number of our locations are situated, which could expose us to possible liabilities and losses.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could adversely affect our financial health and competitive position.</w:t>
      </w:r>
    </w:p>
    <w:p>
      <w:pPr>
        <w:spacing w:after="0" w:line="95" w:lineRule="exact"/>
        <w:rPr>
          <w:rFonts w:ascii="Times New Roman" w:cs="Times New Roman" w:eastAsia="Times New Roman" w:hAnsi="Times New Roman"/>
          <w:sz w:val="14"/>
          <w:szCs w:val="14"/>
          <w:color w:val="auto"/>
        </w:rPr>
      </w:pPr>
    </w:p>
    <w:p>
      <w:pPr>
        <w:ind w:left="520" w:hanging="512"/>
        <w:spacing w:after="0" w:line="25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various laws and regulations and changes in such laws and regulations, or failure to comply with existing or future laws and regulations, could adversely affect our business.</w:t>
      </w:r>
    </w:p>
    <w:p>
      <w:pPr>
        <w:spacing w:after="0" w:line="5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locations are subject to certain environmental laws and regulations.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data security and privacy risks that could negatively impact our results of operations or reputation.</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adequately protect, and we may incur significant costs in enforcing or defending, our intellectual property and other proprietary rights.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be volatile or may decline regardless of our operating performance, resulting in substantial losses for investors purchasing shares of our common stock.</w:t>
      </w:r>
    </w:p>
    <w:p>
      <w:pPr>
        <w:spacing w:after="0" w:line="9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Given these and other risks and uncertainties applicable to us,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65,152</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104,017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7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596,695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560,874</w:t>
            </w:r>
          </w:p>
        </w:tc>
        <w:tc>
          <w:tcPr>
            <w:tcW w:w="100" w:type="dxa"/>
            <w:vAlign w:val="bottom"/>
          </w:tcPr>
          <w:p>
            <w:pPr>
              <w:spacing w:after="0"/>
              <w:rPr>
                <w:sz w:val="24"/>
                <w:szCs w:val="24"/>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776,496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776,689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1,109,815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1,109,815</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2,717,335</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2,686,232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5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17,218</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41,196</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41,279</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40,367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30,509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153,620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154,493</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debt,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896,223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895,830</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758,752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759,775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53,395</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1,888,594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1,885,104</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308,101,847 and 306,626,530 shares outstanding as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2023 and December 31, 2022, respectively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790,041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783,579</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828,741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2,717,335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2,686,232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-5093970</wp:posOffset>
            </wp:positionV>
            <wp:extent cx="685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-5093970</wp:posOffset>
            </wp:positionV>
            <wp:extent cx="6858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-4015105</wp:posOffset>
            </wp:positionV>
            <wp:extent cx="1241425" cy="334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1425" cy="334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-2611120</wp:posOffset>
            </wp:positionV>
            <wp:extent cx="6858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-1532255</wp:posOffset>
            </wp:positionV>
            <wp:extent cx="685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1"/>
                <w:szCs w:val="21"/>
                <w:color w:val="auto"/>
              </w:rPr>
            </w:pPr>
          </w:p>
        </w:tc>
      </w:tr>
      <w:tr>
        <w:trPr>
          <w:trHeight w:val="240"/>
        </w:trPr>
        <w:tc>
          <w:tcPr>
            <w:tcW w:w="7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167,485</w:t>
            </w:r>
          </w:p>
        </w:tc>
        <w:tc>
          <w:tcPr>
            <w:tcW w:w="100" w:type="dxa"/>
            <w:vAlign w:val="bottom"/>
            <w:tcBorders>
              <w:top w:val="single" w:sz="8" w:color="CFF0FC"/>
            </w:tcBorders>
          </w:tcPr>
          <w:p>
            <w:pPr>
              <w:spacing w:after="0"/>
              <w:rPr>
                <w:sz w:val="20"/>
                <w:szCs w:val="20"/>
                <w:color w:val="auto"/>
              </w:rPr>
            </w:pPr>
          </w:p>
        </w:tc>
      </w:tr>
      <w:tr>
        <w:trPr>
          <w:trHeight w:val="23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51,934</w:t>
            </w:r>
          </w:p>
        </w:tc>
        <w:tc>
          <w:tcPr>
            <w:tcW w:w="100" w:type="dxa"/>
            <w:vAlign w:val="bottom"/>
            <w:shd w:val="clear" w:color="auto" w:fill="CFF0FC"/>
          </w:tcPr>
          <w:p>
            <w:pPr>
              <w:spacing w:after="0"/>
              <w:rPr>
                <w:sz w:val="20"/>
                <w:szCs w:val="20"/>
                <w:color w:val="auto"/>
              </w:rPr>
            </w:pPr>
          </w:p>
        </w:tc>
      </w:tr>
      <w:tr>
        <w:trPr>
          <w:trHeight w:val="47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FF0FC"/>
          </w:tcPr>
          <w:p>
            <w:pPr>
              <w:spacing w:after="0"/>
              <w:rPr>
                <w:sz w:val="21"/>
                <w:szCs w:val="21"/>
                <w:color w:val="auto"/>
              </w:rPr>
            </w:pP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20"/>
                <w:szCs w:val="20"/>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43,768</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3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307,291,909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300,931,453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327,608,266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329,172,437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-3235960</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-2460625</wp:posOffset>
            </wp:positionV>
            <wp:extent cx="1275715"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5715" cy="1968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-1805940</wp:posOffset>
            </wp:positionV>
            <wp:extent cx="76835"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316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-1335405</wp:posOffset>
            </wp:positionV>
            <wp:extent cx="76835" cy="342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342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125031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0315"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-170815</wp:posOffset>
            </wp:positionV>
            <wp:extent cx="768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280" w:type="dxa"/>
            <w:vAlign w:val="bottom"/>
          </w:tcPr>
          <w:p>
            <w:pPr>
              <w:spacing w:after="0"/>
              <w:rPr>
                <w:sz w:val="19"/>
                <w:szCs w:val="19"/>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35,488</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10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receivables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Inventory, net</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(665 )</w:t>
            </w:r>
          </w:p>
        </w:tc>
      </w:tr>
      <w:tr>
        <w:trPr>
          <w:trHeight w:val="220"/>
        </w:trPr>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0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(9,696 )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(9,094 )</w:t>
            </w:r>
          </w:p>
        </w:tc>
      </w:tr>
      <w:tr>
        <w:trPr>
          <w:trHeight w:val="232"/>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(1,268 )</w:t>
            </w:r>
          </w:p>
        </w:tc>
      </w:tr>
      <w:tr>
        <w:trPr>
          <w:trHeight w:val="223"/>
        </w:trPr>
        <w:tc>
          <w:tcPr>
            <w:tcW w:w="76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67,017</w:t>
            </w:r>
          </w:p>
        </w:tc>
        <w:tc>
          <w:tcPr>
            <w:tcW w:w="28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00" w:type="dxa"/>
            <w:vAlign w:val="bottom"/>
            <w:tcBorders>
              <w:top w:val="single" w:sz="8" w:color="CFF0FC"/>
            </w:tcBorders>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(72,059 )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(30,015 )</w:t>
            </w:r>
          </w:p>
        </w:tc>
      </w:tr>
      <w:tr>
        <w:trPr>
          <w:trHeight w:val="23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8,899</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(63,160 )</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(30,014 )</w:t>
            </w:r>
          </w:p>
        </w:tc>
      </w:tr>
      <w:tr>
        <w:trPr>
          <w:trHeight w:val="229"/>
        </w:trPr>
        <w:tc>
          <w:tcPr>
            <w:tcW w:w="76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debt borrowings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(161 )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23"/>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102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4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 during period</w:t>
            </w:r>
          </w:p>
        </w:tc>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50,577</w:t>
            </w:r>
          </w:p>
        </w:tc>
        <w:tc>
          <w:tcPr>
            <w:tcW w:w="100" w:type="dxa"/>
            <w:vAlign w:val="bottom"/>
          </w:tcPr>
          <w:p>
            <w:pPr>
              <w:spacing w:after="0"/>
              <w:rPr>
                <w:sz w:val="24"/>
                <w:szCs w:val="24"/>
                <w:color w:val="auto"/>
              </w:rPr>
            </w:pPr>
          </w:p>
        </w:tc>
      </w:tr>
      <w:tr>
        <w:trPr>
          <w:trHeight w:val="23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65,222</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69,973</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70,435</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280" w:type="dxa"/>
            <w:vAlign w:val="bottom"/>
          </w:tcPr>
          <w:p>
            <w:pPr>
              <w:spacing w:after="0"/>
              <w:rPr>
                <w:sz w:val="19"/>
                <w:szCs w:val="19"/>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44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in accounts payable</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18,123</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 other accrued expenses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280" w:type="dxa"/>
            <w:vAlign w:val="bottom"/>
          </w:tcPr>
          <w:p>
            <w:pPr>
              <w:spacing w:after="0"/>
              <w:rPr>
                <w:sz w:val="19"/>
                <w:szCs w:val="19"/>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option exercise proceeds in other receivables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-3724275</wp:posOffset>
            </wp:positionV>
            <wp:extent cx="68580" cy="307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-3724275</wp:posOffset>
            </wp:positionV>
            <wp:extent cx="68580" cy="307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-2978785</wp:posOffset>
            </wp:positionV>
            <wp:extent cx="68580" cy="307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-2978785</wp:posOffset>
            </wp:positionV>
            <wp:extent cx="68580" cy="307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-2101215</wp:posOffset>
            </wp:positionV>
            <wp:extent cx="7145020" cy="466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020" cy="46672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-1489075</wp:posOffset>
            </wp:positionV>
            <wp:extent cx="68580" cy="325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325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4780"/>
        <w:spacing w:after="0"/>
        <w:rPr>
          <w:sz w:val="20"/>
          <w:szCs w:val="20"/>
          <w:color w:val="auto"/>
        </w:rPr>
      </w:pPr>
      <w:r>
        <w:rPr>
          <w:rFonts w:ascii="Times New Roman" w:cs="Times New Roman" w:eastAsia="Times New Roman" w:hAnsi="Times New Roman"/>
          <w:sz w:val="18"/>
          <w:szCs w:val="18"/>
          <w:b w:val="1"/>
          <w:bCs w:val="1"/>
          <w:color w:val="231F20"/>
        </w:rPr>
        <w:t>Mister Car Wash, Inc.</w:t>
      </w:r>
    </w:p>
    <w:p>
      <w:pPr>
        <w:spacing w:after="0" w:line="4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6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306,626,530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783,579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801,128</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308,101,847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-179070</wp:posOffset>
            </wp:positionV>
            <wp:extent cx="7683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-179070</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-179070</wp:posOffset>
            </wp:positionV>
            <wp:extent cx="685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60" w:type="dxa"/>
            <w:vAlign w:val="bottom"/>
          </w:tcPr>
          <w:p>
            <w:pPr>
              <w:spacing w:after="0"/>
              <w:rPr>
                <w:sz w:val="17"/>
                <w:szCs w:val="17"/>
                <w:color w:val="auto"/>
              </w:rPr>
            </w:pPr>
          </w:p>
        </w:tc>
        <w:tc>
          <w:tcPr>
            <w:tcW w:w="128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300,120,451</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(98,423 )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657,152</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FF0FC"/>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1,486,727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Gain on interest rate swap</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FF0FC"/>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35,488</w:t>
            </w:r>
          </w:p>
        </w:tc>
        <w:tc>
          <w:tcPr>
            <w:tcW w:w="100" w:type="dxa"/>
            <w:vAlign w:val="bottom"/>
          </w:tcPr>
          <w:p>
            <w:pPr>
              <w:spacing w:after="0"/>
              <w:rPr>
                <w:sz w:val="19"/>
                <w:szCs w:val="19"/>
                <w:color w:val="auto"/>
              </w:rPr>
            </w:pPr>
          </w:p>
        </w:tc>
      </w:tr>
      <w:tr>
        <w:trPr>
          <w:trHeight w:val="266"/>
        </w:trPr>
        <w:tc>
          <w:tcPr>
            <w:tcW w:w="40" w:type="dxa"/>
            <w:vAlign w:val="bottom"/>
          </w:tcPr>
          <w:p>
            <w:pPr>
              <w:spacing w:after="0"/>
              <w:rPr>
                <w:sz w:val="23"/>
                <w:szCs w:val="23"/>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2022</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301,607,178</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759,173</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(62,935</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701,354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Nature of Business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231F20"/>
        </w:rPr>
        <w:t xml:space="preserve">Mister Car Wash, Inc., a Delaware corporation, together with its subsidiaries (collectively,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is based in Tucson, Arizona and provider of conveyorized car wash services. We primarily operate Express Exterior Locations, which offers express exterior cleaning services along with free vacuum services, and interior cleaning services at select locations. As of March 31, 2023, we operated 439 car washes in 21 states.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as of March 31, 2023 and for the three months ended March 31, 2023 and 2022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our audited consolidated financial statements and the notes thereto for the year ended December 31, 2022 included in the 2022 Form 10-K.</w:t>
      </w:r>
    </w:p>
    <w:p>
      <w:pPr>
        <w:spacing w:after="0" w:line="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our consolidated financial position as of March 31, 2023, consolidated results of operations and comprehensive income for the three months ended March 31, 2023 and 2022, and consolidated cash flows for the three months ended March 31, 2023 and 2022. Such adjustments are of a normal and recurring nature. The consolidated results of operations for the three months ended March 31, 2023 are not necessarily indicative of the consolidated results of operations that may be expected for the year ending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Accounts receivable are presented net of an allowance for doubtful accounts of $47 and $76 as of March 31, 2023 and December 31,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activity in the allowance for doubtful accounts was immaterial for the three months ended March 31, 2023 and 2022.</w:t>
      </w:r>
    </w:p>
    <w:p>
      <w:pPr>
        <w:sectPr>
          <w:pgSz w:w="11900" w:h="16838" w:orient="portrait"/>
          <w:cols w:equalWidth="0" w:num="1">
            <w:col w:w="11240"/>
          </w:cols>
          <w:pgMar w:left="320" w:top="333" w:right="3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receivables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Construction receivable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42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other receivables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 Net</w:t>
      </w:r>
    </w:p>
    <w:p>
      <w:pPr>
        <w:spacing w:after="0" w:line="121"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r>
      <w:tr>
        <w:trPr>
          <w:trHeight w:val="238"/>
        </w:trPr>
        <w:tc>
          <w:tcPr>
            <w:tcW w:w="2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6,199</w:t>
            </w:r>
          </w:p>
        </w:tc>
      </w:tr>
      <w:tr>
        <w:trPr>
          <w:trHeight w:val="243"/>
        </w:trPr>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r>
      <w:tr>
        <w:trPr>
          <w:trHeight w:val="243"/>
        </w:trPr>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2,627</w:t>
            </w:r>
          </w:p>
        </w:tc>
      </w:tr>
      <w:tr>
        <w:trPr>
          <w:trHeight w:val="250"/>
        </w:trPr>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1,696</w:t>
            </w:r>
          </w:p>
        </w:tc>
      </w:tr>
      <w:tr>
        <w:trPr>
          <w:trHeight w:val="238"/>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15,182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20" w:space="720"/>
            <w:col w:w="3900"/>
          </w:cols>
          <w:pgMar w:left="320" w:top="333"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231F20"/>
              </w:rPr>
              <w:t>Inventory consisted of the following for the periods presented:</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4"/>
        </w:trPr>
        <w:tc>
          <w:tcPr>
            <w:tcW w:w="7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r>
      <w:tr>
        <w:trPr>
          <w:trHeight w:val="240"/>
        </w:trPr>
        <w:tc>
          <w:tcPr>
            <w:tcW w:w="7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Pr>
          <w:p>
            <w:pPr>
              <w:spacing w:after="0"/>
              <w:rPr>
                <w:sz w:val="20"/>
                <w:szCs w:val="20"/>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8,391</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9,357</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8,228</w:t>
            </w:r>
          </w:p>
        </w:tc>
        <w:tc>
          <w:tcPr>
            <w:tcW w:w="1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activity in the reserve for obsolescence was immaterial for the three months ended March 31, 2023 and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3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156,891</w:t>
            </w:r>
          </w:p>
        </w:tc>
        <w:tc>
          <w:tcPr>
            <w:tcW w:w="2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140,874</w:t>
            </w:r>
          </w:p>
        </w:tc>
        <w:tc>
          <w:tcPr>
            <w:tcW w:w="100" w:type="dxa"/>
            <w:vAlign w:val="bottom"/>
            <w:shd w:val="clear" w:color="auto" w:fill="CFF0FC"/>
          </w:tcPr>
          <w:p>
            <w:pPr>
              <w:spacing w:after="0"/>
              <w:rPr>
                <w:sz w:val="20"/>
                <w:szCs w:val="20"/>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78,008</w:t>
            </w:r>
          </w:p>
        </w:tc>
        <w:tc>
          <w:tcPr>
            <w:tcW w:w="100" w:type="dxa"/>
            <w:vAlign w:val="bottom"/>
          </w:tcPr>
          <w:p>
            <w:pPr>
              <w:spacing w:after="0"/>
              <w:rPr>
                <w:sz w:val="20"/>
                <w:szCs w:val="20"/>
                <w:color w:val="auto"/>
              </w:rPr>
            </w:pPr>
          </w:p>
        </w:tc>
      </w:tr>
      <w:tr>
        <w:trPr>
          <w:trHeight w:val="247"/>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13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Income Per Share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21,136</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35,488</w:t>
            </w:r>
          </w:p>
        </w:tc>
      </w:tr>
      <w:tr>
        <w:trPr>
          <w:trHeight w:val="20"/>
        </w:trPr>
        <w:tc>
          <w:tcPr>
            <w:tcW w:w="7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8"/>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307,291,909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300,931,453</w:t>
            </w:r>
          </w:p>
        </w:tc>
      </w:tr>
      <w:tr>
        <w:trPr>
          <w:trHeight w:val="247"/>
        </w:trPr>
        <w:tc>
          <w:tcPr>
            <w:tcW w:w="7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8"/>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19,798,577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27,010,017</w:t>
            </w:r>
          </w:p>
        </w:tc>
      </w:tr>
      <w:tr>
        <w:trPr>
          <w:trHeight w:val="247"/>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498,213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1,230,967</w:t>
            </w:r>
          </w:p>
        </w:tc>
      </w:tr>
      <w:tr>
        <w:trPr>
          <w:trHeight w:val="243"/>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19,567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8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327,608,266</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329,172,437</w:t>
            </w:r>
          </w:p>
        </w:tc>
      </w:tr>
      <w:tr>
        <w:trPr>
          <w:trHeight w:val="46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3"/>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-538480</wp:posOffset>
            </wp:positionV>
            <wp:extent cx="68580" cy="3594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The following potentially dilutive shares were excluded from the computation of diluted net income per share for the periods presented because including them would have been antidilutive: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20" w:type="dxa"/>
            <w:vAlign w:val="bottom"/>
          </w:tcPr>
          <w:p>
            <w:pPr>
              <w:spacing w:after="0"/>
              <w:rPr>
                <w:sz w:val="21"/>
                <w:szCs w:val="21"/>
                <w:color w:val="auto"/>
              </w:rPr>
            </w:pPr>
          </w:p>
        </w:tc>
        <w:tc>
          <w:tcPr>
            <w:tcW w:w="35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1"/>
                <w:szCs w:val="21"/>
                <w:color w:val="auto"/>
              </w:rPr>
            </w:pPr>
          </w:p>
        </w:tc>
      </w:tr>
      <w:tr>
        <w:trPr>
          <w:trHeight w:val="240"/>
        </w:trPr>
        <w:tc>
          <w:tcPr>
            <w:tcW w:w="76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2,677,756</w:t>
            </w:r>
          </w:p>
        </w:tc>
        <w:tc>
          <w:tcPr>
            <w:tcW w:w="24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2,041,141</w:t>
            </w:r>
          </w:p>
        </w:tc>
        <w:tc>
          <w:tcPr>
            <w:tcW w:w="100" w:type="dxa"/>
            <w:vAlign w:val="bottom"/>
            <w:shd w:val="clear" w:color="auto" w:fill="CFF0FC"/>
          </w:tcPr>
          <w:p>
            <w:pPr>
              <w:spacing w:after="0"/>
              <w:rPr>
                <w:sz w:val="20"/>
                <w:szCs w:val="20"/>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7"/>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231F20"/>
        </w:rPr>
        <w:t>Financial Instruments—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Credit Losses (Topic 326): Measurement of Credit Losses on Financial Instruments </w:t>
      </w:r>
      <w:r>
        <w:rPr>
          <w:rFonts w:ascii="Times New Roman" w:cs="Times New Roman" w:eastAsia="Times New Roman" w:hAnsi="Times New Roman"/>
          <w:sz w:val="18"/>
          <w:szCs w:val="18"/>
          <w:color w:val="231F20"/>
        </w:rPr>
        <w:t>(“ASU No. 2016-13”), which replaces the existing incurred loss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impairment model with an expected credit loss model and requires a financial asset measured at amortized cost to be presented at the net amount expected to be collected. </w:t>
      </w:r>
      <w:r>
        <w:rPr>
          <w:rFonts w:ascii="Times New Roman" w:cs="Times New Roman" w:eastAsia="Times New Roman" w:hAnsi="Times New Roman"/>
          <w:sz w:val="18"/>
          <w:szCs w:val="18"/>
          <w:color w:val="000000"/>
        </w:rPr>
        <w:t>We adopted the new standard on January 1, 2023 and was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80"/>
        <w:spacing w:after="0" w:line="281" w:lineRule="auto"/>
        <w:rPr>
          <w:sz w:val="20"/>
          <w:szCs w:val="20"/>
          <w:color w:val="auto"/>
        </w:rPr>
      </w:pPr>
      <w:r>
        <w:rPr>
          <w:rFonts w:ascii="Times New Roman" w:cs="Times New Roman" w:eastAsia="Times New Roman" w:hAnsi="Times New Roman"/>
          <w:sz w:val="18"/>
          <w:szCs w:val="18"/>
          <w:color w:val="auto"/>
        </w:rPr>
        <w:t>applied prospectively. We reviewed our business processes and controls to support the recognition and disclosure as required under the new standard. The adoption of this new standard did not have a material impact on our unaudited condensed consolidated financial statements.</w:t>
      </w:r>
    </w:p>
    <w:p>
      <w:pPr>
        <w:spacing w:after="0" w:line="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No. 2021-08”).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The guidance improves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combination by addressing diversity in practice and certain inconsistencies in application. This update requires that an acquirer recognize and measure contract assets and contract liabilities acquired in a business combination in accordance with ASC Topic 606 as if it had originated the contracts. This update was effective for us as of January 1, 2023, and the adoption of this new standard did not have a material impact on our condensed consolidated financial statements and related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for the periods presented</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r>
      <w:tr>
        <w:trPr>
          <w:trHeight w:val="238"/>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100,090</w:t>
            </w: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94,594</w:t>
            </w:r>
          </w:p>
        </w:tc>
        <w:tc>
          <w:tcPr>
            <w:tcW w:w="100" w:type="dxa"/>
            <w:vAlign w:val="bottom"/>
            <w:shd w:val="clear" w:color="auto" w:fill="CFF0FC"/>
          </w:tcPr>
          <w:p>
            <w:pPr>
              <w:spacing w:after="0"/>
              <w:rPr>
                <w:sz w:val="20"/>
                <w:szCs w:val="20"/>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204,617</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189,998</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236,175</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229,453</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90,567</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86,613</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68,061</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835,066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786,446</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FF0FC"/>
          </w:tcPr>
          <w:p>
            <w:pPr>
              <w:spacing w:after="0"/>
              <w:rPr>
                <w:sz w:val="21"/>
                <w:szCs w:val="21"/>
                <w:color w:val="auto"/>
              </w:rPr>
            </w:pPr>
          </w:p>
        </w:tc>
        <w:tc>
          <w:tcPr>
            <w:tcW w:w="24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(235,836 )</w:t>
            </w:r>
          </w:p>
        </w:tc>
        <w:tc>
          <w:tcPr>
            <w:tcW w:w="2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(223,288 )</w:t>
            </w: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320" w:type="dxa"/>
            <w:vAlign w:val="bottom"/>
          </w:tcPr>
          <w:p>
            <w:pPr>
              <w:spacing w:after="0"/>
              <w:rPr>
                <w:sz w:val="20"/>
                <w:szCs w:val="20"/>
                <w:color w:val="auto"/>
              </w:rPr>
            </w:pPr>
          </w:p>
        </w:tc>
        <w:tc>
          <w:tcPr>
            <w:tcW w:w="2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(2,535 )</w:t>
            </w:r>
          </w:p>
        </w:tc>
        <w:tc>
          <w:tcPr>
            <w:tcW w:w="24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(2,284 )</w:t>
            </w:r>
          </w:p>
        </w:tc>
      </w:tr>
      <w:tr>
        <w:trPr>
          <w:trHeight w:val="28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596,695</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-658495</wp:posOffset>
            </wp:positionV>
            <wp:extent cx="7683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three months ended March 31, 2023 and 2022, depreciation expense was $15,379 </w:t>
      </w:r>
      <w:r>
        <w:rPr>
          <w:rFonts w:ascii="Times New Roman" w:cs="Times New Roman" w:eastAsia="Times New Roman" w:hAnsi="Times New Roman"/>
          <w:sz w:val="18"/>
          <w:szCs w:val="18"/>
          <w:color w:val="231F20"/>
        </w:rPr>
        <w:t>and $12,934</w:t>
      </w:r>
      <w:r>
        <w:rPr>
          <w:rFonts w:ascii="Times New Roman" w:cs="Times New Roman" w:eastAsia="Times New Roman" w:hAnsi="Times New Roman"/>
          <w:sz w:val="18"/>
          <w:szCs w:val="18"/>
          <w:color w:val="auto"/>
        </w:rPr>
        <w:t>,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three months ended March 31, 2023 and 2022, amortization expense on finance leases was $251 </w:t>
      </w:r>
      <w:r>
        <w:rPr>
          <w:rFonts w:ascii="Times New Roman" w:cs="Times New Roman" w:eastAsia="Times New Roman" w:hAnsi="Times New Roman"/>
          <w:sz w:val="18"/>
          <w:szCs w:val="18"/>
          <w:color w:val="231F20"/>
        </w:rPr>
        <w:t>and $242</w:t>
      </w:r>
      <w:r>
        <w:rPr>
          <w:rFonts w:ascii="Times New Roman" w:cs="Times New Roman" w:eastAsia="Times New Roman" w:hAnsi="Times New Roman"/>
          <w:sz w:val="18"/>
          <w:szCs w:val="18"/>
          <w:color w:val="auto"/>
        </w:rPr>
        <w:t>,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intangibles assets, net consisted of the following as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r>
      <w:tr>
        <w:trPr>
          <w:trHeight w:val="207"/>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7"/>
                <w:szCs w:val="17"/>
                <w:color w:val="auto"/>
              </w:rPr>
            </w:pPr>
          </w:p>
        </w:tc>
      </w:tr>
      <w:tr>
        <w:trPr>
          <w:trHeight w:val="245"/>
        </w:trPr>
        <w:tc>
          <w:tcPr>
            <w:tcW w:w="3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r>
      <w:tr>
        <w:trPr>
          <w:trHeight w:val="24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1"/>
                <w:szCs w:val="21"/>
                <w:color w:val="auto"/>
              </w:rPr>
            </w:pPr>
          </w:p>
        </w:tc>
      </w:t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100" w:type="dxa"/>
            <w:vAlign w:val="bottom"/>
          </w:tcPr>
          <w:p>
            <w:pPr>
              <w:spacing w:after="0"/>
              <w:rPr>
                <w:sz w:val="20"/>
                <w:szCs w:val="20"/>
                <w:color w:val="auto"/>
              </w:rPr>
            </w:pP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shd w:val="clear" w:color="auto" w:fill="CFF0FC"/>
          </w:tcPr>
          <w:p>
            <w:pPr>
              <w:spacing w:after="0"/>
              <w:rPr>
                <w:sz w:val="21"/>
                <w:szCs w:val="21"/>
                <w:color w:val="auto"/>
              </w:rPr>
            </w:pPr>
          </w:p>
        </w:tc>
      </w:t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20"/>
                <w:szCs w:val="20"/>
                <w:color w:val="auto"/>
              </w:rPr>
            </w:pPr>
          </w:p>
        </w:tc>
      </w:tr>
      <w:tr>
        <w:trPr>
          <w:trHeight w:val="280"/>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172,390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50,268</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2023 and 2022, amortization expense associated with our finite-lived intangible assets was $1,677 and $1,769,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2023, estimated future amortization expense was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5340" w:type="dxa"/>
            <w:vAlign w:val="bottom"/>
            <w:tcBorders>
              <w:top w:val="single" w:sz="8" w:color="auto"/>
            </w:tcBorders>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21"/>
                <w:szCs w:val="2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r>
      <w:tr>
        <w:trPr>
          <w:trHeight w:val="276"/>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4380" w:type="dxa"/>
            <w:vAlign w:val="bottom"/>
          </w:tcPr>
          <w:p>
            <w:pPr>
              <w:spacing w:after="0"/>
              <w:rPr>
                <w:sz w:val="24"/>
                <w:szCs w:val="24"/>
                <w:color w:val="auto"/>
              </w:rPr>
            </w:pPr>
          </w:p>
        </w:tc>
        <w:tc>
          <w:tcPr>
            <w:tcW w:w="432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5.  Goodwill</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231F20"/>
              </w:rPr>
              <w:t>Goodwill consisted of the following for the periods presented: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8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57,856</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provisional adjustments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(8,262 )</w:t>
            </w:r>
          </w:p>
        </w:tc>
      </w:tr>
      <w:tr>
        <w:trPr>
          <w:trHeight w:val="24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6. Other Accrued Expenses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231F20"/>
              </w:rPr>
              <w:t>Other accrued expenses consisted of the following for the periods presented:</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7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0"/>
        </w:trPr>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8"/>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5,806</w:t>
            </w:r>
          </w:p>
        </w:tc>
        <w:tc>
          <w:tcPr>
            <w:tcW w:w="10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5,439</w:t>
            </w: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tc>
        <w:tc>
          <w:tcPr>
            <w:tcW w:w="2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7,168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8,863</w:t>
            </w:r>
          </w:p>
        </w:tc>
      </w:tr>
      <w:tr>
        <w:trPr>
          <w:trHeight w:val="24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2,105</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3,275</w:t>
            </w: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tc>
        <w:tc>
          <w:tcPr>
            <w:tcW w:w="2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5,969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18,772</w:t>
            </w:r>
          </w:p>
        </w:tc>
      </w:tr>
      <w:tr>
        <w:trPr>
          <w:trHeight w:val="247"/>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9,682</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4,847</w:t>
            </w:r>
          </w:p>
        </w:tc>
      </w:tr>
      <w:tr>
        <w:trPr>
          <w:trHeight w:val="23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30,730</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41,196</w:t>
            </w: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property and equipment costs, primarily related to land and buildings and improvements not yet invoiced as of March 31, 2023 and December 31,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Income Taxes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231F20"/>
        </w:rPr>
        <w:t>The effective income tax rates on continuing operations for the three months ended March 31, 2023 and 2022 were 24.1% and 18.9%,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69"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three months ended March 31, 2023 included taxes on earnings at an anticipated annual effective tax rate of 25.3% and a net, favorable tax impact of $340 related primarily to discrete tax benefits originating from stock options exercised during the three months ended March 31, 2023.</w:t>
      </w:r>
    </w:p>
    <w:p>
      <w:pPr>
        <w:spacing w:after="0" w:line="69"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three months ended March 31, 2022 included taxes on earnings at an anticipated annual effective tax rate of 27.0% and a net, favorable tax impact of $3,537 related primarily to discrete tax benefits originating from stock options exercised during the three months ended March 31,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1.7% decrease in the annual effective tax rate relates primarily to an anticipated reduction in state income tax liabilities.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231F20"/>
        </w:rPr>
        <w:t>In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Similar to the prior quarter, we do not currently expect these laws to have a material effect on our consolidated financial statements.</w:t>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2023 and 2022, we did not record any unrecognized tax benefits or interest and penalties related to any uncertain tax positions.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8.  Debt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231F20"/>
              </w:rPr>
              <w:t>Long-term debt consisted of the following as of the periods presented: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80" w:type="dxa"/>
            <w:vAlign w:val="bottom"/>
          </w:tcPr>
          <w:p>
            <w:pPr>
              <w:spacing w:after="0"/>
              <w:rPr>
                <w:sz w:val="20"/>
                <w:szCs w:val="20"/>
                <w:color w:val="auto"/>
              </w:rPr>
            </w:pPr>
          </w:p>
        </w:tc>
        <w:tc>
          <w:tcPr>
            <w:tcW w:w="7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(4,978 )</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(5,371 )</w:t>
            </w:r>
          </w:p>
        </w:tc>
      </w:tr>
      <w:tr>
        <w:trPr>
          <w:trHeight w:val="232"/>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term loan, net</w:t>
            </w:r>
          </w:p>
        </w:tc>
        <w:tc>
          <w:tcPr>
            <w:tcW w:w="1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tcPr>
          <w:p>
            <w:pPr>
              <w:spacing w:after="0"/>
              <w:rPr>
                <w:sz w:val="20"/>
                <w:szCs w:val="20"/>
                <w:color w:val="auto"/>
              </w:rPr>
            </w:pPr>
          </w:p>
        </w:tc>
      </w:tr>
      <w:tr>
        <w:trPr>
          <w:trHeight w:val="240"/>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896,223</w:t>
            </w:r>
          </w:p>
        </w:tc>
        <w:tc>
          <w:tcPr>
            <w:tcW w:w="80" w:type="dxa"/>
            <w:vAlign w:val="bottom"/>
            <w:shd w:val="clear" w:color="auto" w:fill="CFF0FC"/>
          </w:tcPr>
          <w:p>
            <w:pPr>
              <w:spacing w:after="0"/>
              <w:rPr>
                <w:sz w:val="24"/>
                <w:szCs w:val="24"/>
                <w:color w:val="auto"/>
              </w:rPr>
            </w:pP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shd w:val="clear" w:color="auto" w:fill="CFF0FC"/>
          </w:tcPr>
          <w:p>
            <w:pPr>
              <w:spacing w:after="0"/>
              <w:rPr>
                <w:sz w:val="24"/>
                <w:szCs w:val="24"/>
                <w:color w:val="auto"/>
              </w:rPr>
            </w:pPr>
          </w:p>
        </w:tc>
      </w:tr>
      <w:tr>
        <w:trPr>
          <w:trHeight w:val="412"/>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231F20"/>
              </w:rPr>
              <w:t>As of March 31, 2023, annual maturities of debt were as follows:</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7"/>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Pr>
          <w:p>
            <w:pPr>
              <w:spacing w:after="0"/>
              <w:rPr>
                <w:sz w:val="20"/>
                <w:szCs w:val="20"/>
                <w:color w:val="auto"/>
              </w:rPr>
            </w:pPr>
          </w:p>
        </w:tc>
      </w:tr>
      <w:tr>
        <w:trPr>
          <w:trHeight w:val="25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of debt</w:t>
            </w:r>
          </w:p>
        </w:tc>
        <w:tc>
          <w:tcPr>
            <w:tcW w:w="1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-2144395</wp:posOffset>
            </wp:positionV>
            <wp:extent cx="2273300" cy="3378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73300" cy="33782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-1651635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-1634490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231F20"/>
        </w:rPr>
        <w:t>As of March 31, 2023 and December 31, 2022, unamortized discount and debt issuance costs were $5,310 and $5,729, respectively, and accumulated amortization of discount and debt issuance costs was $4,865 and $4,446, respectively.</w:t>
      </w:r>
    </w:p>
    <w:p>
      <w:pPr>
        <w:spacing w:after="0" w:line="55"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2023 and 2022, the amortization of debt issuance costs in interest expense, net in the unaudited condensed consolidated statements of operations and comprehensive income was approximately $419.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Credit Agreement</w:t>
      </w:r>
    </w:p>
    <w:p>
      <w:pPr>
        <w:spacing w:after="0" w:line="12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231F20"/>
        </w:rPr>
        <w:t>Under the Credit Agreement and with respect to the First Lien Term Loan, we had the option of selecting either (i) a Base Rate interest rate plus fixed margin of 2.25% or (ii) a Eurodollar (LIBOR) interest rate for one, two, three or six months plus a fixed margin of 3.25%.</w:t>
      </w:r>
    </w:p>
    <w:p>
      <w:pPr>
        <w:spacing w:after="0" w:line="5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231F20"/>
        </w:rPr>
        <w:t>Under the Credit Agreement and with respect to the Revolving Commitment,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First Lien Term Loan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231F20"/>
        </w:rPr>
        <w:t>In February 2020, we entered into Amendment No. 1 to Amended and Restated First Lien Credit Agreement (“Amended First Lien Credit Agreement”) which amended and restated the Amended and Restated First Lien Credit Agreement entered into in May 2019 (the “First Lien Credit Agreement”). The Amended First Lien Credit Agreement changed the interest rate spreads associated with the First Lien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In December 2021, in connection with the Clean Streak Ventures acquisition, we entered into Amendment No. 3 to the Amended and Restated First Lien Credit Agreement (“Amended First Lien Credit Agreement”) which amended and restated the Amended and Restated First Lien Credit Agreement entered into in May 2019 ("First Lien Credit Agreement"). Under the terms of the Amended First Lien Credit Agreement, the previous First Lien Term Loan was increased by $290,000 to $903,301 with the balance due on May 14, 2026. The incremental increase in aggregate principal of $290,000 resulted in $285,962 of proceeds net of discount and debt issuance costs.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right="60"/>
        <w:spacing w:after="0" w:line="288" w:lineRule="auto"/>
        <w:rPr>
          <w:sz w:val="20"/>
          <w:szCs w:val="20"/>
          <w:color w:val="auto"/>
        </w:rPr>
      </w:pPr>
      <w:r>
        <w:rPr>
          <w:rFonts w:ascii="Times New Roman" w:cs="Times New Roman" w:eastAsia="Times New Roman" w:hAnsi="Times New Roman"/>
          <w:sz w:val="17"/>
          <w:szCs w:val="17"/>
          <w:color w:val="231F20"/>
        </w:rPr>
        <w:t>In December 2022, we entered into Amendment No. 4 to its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As of March 31, 2023 and December 31, 2022, the amount outstanding under the First Lien Term Loan was $901,201. As of March 31, 2023 and December 31, 2022, the interest rate on the First Lien Term Loan was 7.99% and 7.42%, respectively.</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The Amended and Restated First Lien Credit Agreement requires us to maintain compliance with a First Lien Net Leverage Ratio. As of March 31, 2023, we were in compliance with the First Lien Net Leverage Ratio financial covenant of the Amended and Restated First Lien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Commitment</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May 2019, as a part of the Amended and Restated First Lien Credit Agreement, the Revolving Commitment was increased from $50,000 to $75,000 and the expiration date was changed from August 21, 2019 to May 14, 2024. We had the option of selecting either a Base Rate interest rate plus a variable margin based on our First Lien Net Leverage Ratio (ranging from 2.0% to 2.5%) or a Eurodollar Rate interest rate for one, two, three or six months plus a variable margin based on our First Lien Net Leverage Ratio (ranging from 3.0% to 3.5%).</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2021, we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(provided that clause (b) shall not apply if the maturity date for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extended to a date that is at least six months after June 4, 2026,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refinanced having a maturity date at least six months after June 4, 2026, 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our initial public offering in June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As of March 31, 2023 and December 31, 2022, there were no amounts outstanding under </w:t>
      </w:r>
      <w:r>
        <w:rPr>
          <w:rFonts w:ascii="Times New Roman" w:cs="Times New Roman" w:eastAsia="Times New Roman" w:hAnsi="Times New Roman"/>
          <w:sz w:val="18"/>
          <w:szCs w:val="18"/>
          <w:color w:val="000000"/>
        </w:rPr>
        <w:t>the Revolving Commitment.</w:t>
      </w:r>
    </w:p>
    <w:p>
      <w:pPr>
        <w:spacing w:after="0" w:line="117"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 is reduced by outstanding letters of credit under the Revolving Commitment. As of March 31, 2023 and December 31, 2022, the available borrowing capacity under the Revolving Commitment was $148,808 and $148,581, respectively.</w:t>
      </w:r>
    </w:p>
    <w:p>
      <w:pPr>
        <w:spacing w:after="0" w:line="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In addition, an unused commitment fee based on our First Lien Net Leverage Ratio is payable on the average of the unused borrowing capacity under the Revolving Commitment. As of March 31, 2023 and December 31, 2022, the unused commitment fee was 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Standby Letters of Credit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 xml:space="preserve">As of March 31, 2023, we have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Times New Roman" w:cs="Times New Roman" w:eastAsia="Times New Roman" w:hAnsi="Times New Roman"/>
          <w:sz w:val="18"/>
          <w:szCs w:val="18"/>
          <w:color w:val="000000"/>
        </w:rPr>
        <w:t>Amendment No. 2 to Amended and Restated First Lien Credit Agreement</w:t>
      </w:r>
      <w:r>
        <w:rPr>
          <w:rFonts w:ascii="Times New Roman" w:cs="Times New Roman" w:eastAsia="Times New Roman" w:hAnsi="Times New Roman"/>
          <w:sz w:val="18"/>
          <w:szCs w:val="18"/>
          <w:color w:val="231F20"/>
        </w:rPr>
        <w:t>. Letters of credit under the Revolving Commitment reduce the maximum available borrowing capacity under the Revolving Commitment. As of March 31, 2023 and December 31, 2022, the amounts associated with outstanding letters of credit were $1,192 and $1,419, respectively, and unused letters of credit under the Revolving Commitment were $8,808 and $8,581, respectively.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March 31, 2023:</w:t>
      </w:r>
    </w:p>
    <w:p>
      <w:pPr>
        <w:spacing w:after="0" w:line="140"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28575</wp:posOffset>
            </wp:positionV>
            <wp:extent cx="44354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35475" cy="8255"/>
                    </a:xfrm>
                    <a:prstGeom prst="rect">
                      <a:avLst/>
                    </a:prstGeom>
                    <a:noFill/>
                  </pic:spPr>
                </pic:pic>
              </a:graphicData>
            </a:graphic>
          </wp:anchor>
        </w:drawing>
      </w:r>
    </w:p>
    <w:p>
      <w:pPr>
        <w:spacing w:after="0" w:line="29" w:lineRule="exact"/>
        <w:rPr>
          <w:sz w:val="20"/>
          <w:szCs w:val="20"/>
          <w:color w:val="auto"/>
        </w:rPr>
      </w:pPr>
    </w:p>
    <w:p>
      <w:pPr>
        <w:ind w:left="4820"/>
        <w:spacing w:after="0"/>
        <w:tabs>
          <w:tab w:leader="none" w:pos="6540" w:val="left"/>
          <w:tab w:leader="none" w:pos="8320" w:val="left"/>
          <w:tab w:leader="none" w:pos="10080" w:val="left"/>
        </w:tabs>
        <w:rPr>
          <w:sz w:val="20"/>
          <w:szCs w:val="20"/>
          <w:color w:val="auto"/>
        </w:rPr>
      </w:pP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28575</wp:posOffset>
            </wp:positionV>
            <wp:extent cx="44354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3547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240" w:val="left"/>
          <w:tab w:leader="none" w:pos="5340" w:val="left"/>
          <w:tab w:leader="none" w:pos="6060" w:val="left"/>
          <w:tab w:leader="none" w:pos="7500" w:val="left"/>
          <w:tab w:leader="none" w:pos="7860" w:val="left"/>
          <w:tab w:leader="none" w:pos="9280" w:val="left"/>
          <w:tab w:leader="none" w:pos="9620" w:val="left"/>
          <w:tab w:leader="none" w:pos="1070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4,750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2022:</w:t>
      </w:r>
    </w:p>
    <w:p>
      <w:pPr>
        <w:spacing w:after="0" w:line="140"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28575</wp:posOffset>
            </wp:positionV>
            <wp:extent cx="4366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6895" cy="8255"/>
                    </a:xfrm>
                    <a:prstGeom prst="rect">
                      <a:avLst/>
                    </a:prstGeom>
                    <a:noFill/>
                  </pic:spPr>
                </pic:pic>
              </a:graphicData>
            </a:graphic>
          </wp:anchor>
        </w:drawing>
      </w:r>
    </w:p>
    <w:p>
      <w:pPr>
        <w:spacing w:after="0" w:line="29" w:lineRule="exact"/>
        <w:rPr>
          <w:sz w:val="20"/>
          <w:szCs w:val="20"/>
          <w:color w:val="auto"/>
        </w:rPr>
      </w:pPr>
    </w:p>
    <w:p>
      <w:pPr>
        <w:ind w:left="4820"/>
        <w:spacing w:after="0"/>
        <w:tabs>
          <w:tab w:leader="none" w:pos="6540" w:val="left"/>
          <w:tab w:leader="none" w:pos="8320" w:val="left"/>
          <w:tab w:leader="none" w:pos="10080" w:val="left"/>
        </w:tabs>
        <w:rPr>
          <w:sz w:val="20"/>
          <w:szCs w:val="20"/>
          <w:color w:val="auto"/>
        </w:rPr>
      </w:pP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28575</wp:posOffset>
            </wp:positionV>
            <wp:extent cx="4366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6689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240" w:val="left"/>
          <w:tab w:leader="none" w:pos="5340" w:val="left"/>
          <w:tab w:leader="none" w:pos="6060" w:val="left"/>
          <w:tab w:leader="none" w:pos="7500" w:val="left"/>
          <w:tab w:leader="none" w:pos="7860" w:val="left"/>
          <w:tab w:leader="none" w:pos="9280" w:val="left"/>
          <w:tab w:leader="none" w:pos="9620" w:val="left"/>
          <w:tab w:leader="none" w:pos="1070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5,250</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100"/>
        <w:spacing w:after="0" w:line="265" w:lineRule="auto"/>
        <w:rPr>
          <w:sz w:val="20"/>
          <w:szCs w:val="20"/>
          <w:color w:val="auto"/>
        </w:rPr>
      </w:pPr>
      <w:r>
        <w:rPr>
          <w:rFonts w:ascii="Times New Roman" w:cs="Times New Roman" w:eastAsia="Times New Roman" w:hAnsi="Times New Roman"/>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10 Interest Rate Swap for additional information on the interest rate swap.</w:t>
      </w:r>
    </w:p>
    <w:p>
      <w:pPr>
        <w:spacing w:after="0" w:line="6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2023 and December 31, 2022, the fair value of our First Lien Term Loan approximated its carrying value </w:t>
      </w:r>
      <w:r>
        <w:rPr>
          <w:rFonts w:ascii="Times New Roman" w:cs="Times New Roman" w:eastAsia="Times New Roman" w:hAnsi="Times New Roman"/>
          <w:sz w:val="18"/>
          <w:szCs w:val="18"/>
          <w:color w:val="000000"/>
        </w:rPr>
        <w:t>due to the debt’s variable interest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rate terms</w:t>
      </w:r>
      <w:r>
        <w:rPr>
          <w:rFonts w:ascii="Times New Roman" w:cs="Times New Roman" w:eastAsia="Times New Roman" w:hAnsi="Times New Roman"/>
          <w:sz w:val="18"/>
          <w:szCs w:val="18"/>
          <w:color w:val="231F20"/>
        </w:rPr>
        <w:t>.</w:t>
      </w:r>
    </w:p>
    <w:p>
      <w:pPr>
        <w:spacing w:after="0" w:line="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As of March 31, 2023 we held no assets in cash investments. As of December 31, 2022, the Company also recognized assets in cash investments of $5,032, of which $4,992 are held in commercial paper and categorized as Level 2 assets and $40 held in money market funds, which are categorized as Level 1 assets. These investments have maturities of less than 90 days and are recorded within Cash and cash equivalents on the consolidated balance sheet. During the three months ended March 31, 2023, all cash investments matured and $57 of interest income is included in Interest expense, net, in the accompanying unaudited condensed consolidated statements of operations and comprehensive income.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 the certificate of occupancy for the car wash and opens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March 31, 2023. During the three months ended March 31, 2023, a payment of $500 was made upon receipt of certificate of occupancy.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and 2022, there were no transfers between fair value measurement levels.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Interest Rate Swap</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231F20"/>
        </w:rPr>
        <w:t>In May 2020, we entered into a pay-fixed, receive-floating interest rate swap (the “Swap”) to mitigate variability in forecasted interest payments on an amortizing notional of $550,000 of our variable-rate First Lien Term Loan. We designated the Swap as a cash flow hedge. In October 2022, the interest rate swap expired and was not replaced by a new interest rate swap.</w:t>
      </w:r>
    </w:p>
    <w:p>
      <w:pPr>
        <w:spacing w:after="0" w:line="69"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2023 and 2022, amounts reported in other comprehensive income in the accompanying unaudited condensed consolidated statements of operations and comprehensive income are net of tax of $0 and $625,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Balance sheet information related to leases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60" w:type="dxa"/>
            <w:vAlign w:val="bottom"/>
          </w:tcPr>
          <w:p>
            <w:pPr>
              <w:spacing w:after="0"/>
              <w:rPr>
                <w:sz w:val="20"/>
                <w:szCs w:val="20"/>
                <w:color w:val="auto"/>
              </w:rPr>
            </w:pPr>
          </w:p>
        </w:tc>
        <w:tc>
          <w:tcPr>
            <w:tcW w:w="33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9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776,496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6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790,565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758,752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9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6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815,317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-1960245</wp:posOffset>
            </wp:positionV>
            <wp:extent cx="68580" cy="3422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342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-538480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80" w:type="dxa"/>
            <w:vAlign w:val="bottom"/>
          </w:tcPr>
          <w:p>
            <w:pPr>
              <w:spacing w:after="0"/>
              <w:rPr>
                <w:sz w:val="21"/>
                <w:szCs w:val="21"/>
                <w:color w:val="auto"/>
              </w:rPr>
            </w:pPr>
          </w:p>
        </w:tc>
        <w:tc>
          <w:tcPr>
            <w:tcW w:w="40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38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3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4"/>
                <w:szCs w:val="24"/>
                <w:color w:val="auto"/>
                <w:vertAlign w:val="superscript"/>
              </w:rPr>
              <w:t>(1)</w:t>
            </w: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84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shd w:val="clear" w:color="auto" w:fill="CFF0FC"/>
          </w:tcPr>
          <w:p>
            <w:pPr>
              <w:spacing w:after="0"/>
              <w:rPr>
                <w:sz w:val="21"/>
                <w:szCs w:val="2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r>
      <w:tr>
        <w:trPr>
          <w:trHeight w:val="247"/>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43"/>
        </w:trPr>
        <w:tc>
          <w:tcPr>
            <w:tcW w:w="63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Variable lease expense</w:t>
            </w:r>
            <w:r>
              <w:rPr>
                <w:rFonts w:ascii="Times New Roman" w:cs="Times New Roman" w:eastAsia="Times New Roman" w:hAnsi="Times New Roman"/>
                <w:sz w:val="24"/>
                <w:szCs w:val="24"/>
                <w:color w:val="auto"/>
                <w:vertAlign w:val="superscript"/>
              </w:rPr>
              <w:t>(2)</w:t>
            </w:r>
          </w:p>
        </w:tc>
        <w:tc>
          <w:tcPr>
            <w:tcW w:w="1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6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21"/>
                <w:szCs w:val="21"/>
                <w:color w:val="auto"/>
              </w:rPr>
            </w:pPr>
          </w:p>
        </w:tc>
      </w:tr>
      <w:tr>
        <w:trPr>
          <w:trHeight w:val="276"/>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880" w:hanging="512"/>
        <w:spacing w:after="0" w:line="258" w:lineRule="auto"/>
        <w:tabs>
          <w:tab w:leader="none" w:pos="520"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w:t>
      </w:r>
    </w:p>
    <w:p>
      <w:pPr>
        <w:spacing w:after="0" w:line="58" w:lineRule="exact"/>
        <w:rPr>
          <w:rFonts w:ascii="Times New Roman" w:cs="Times New Roman" w:eastAsia="Times New Roman" w:hAnsi="Times New Roman"/>
          <w:sz w:val="14"/>
          <w:szCs w:val="14"/>
          <w:color w:val="231F20"/>
        </w:rPr>
      </w:pPr>
    </w:p>
    <w:p>
      <w:pPr>
        <w:ind w:left="520" w:right="60" w:hanging="512"/>
        <w:spacing w:after="0" w:line="258" w:lineRule="auto"/>
        <w:tabs>
          <w:tab w:leader="none" w:pos="520"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Variable lease costs consist of property taxes, property insurance, and common area or other maintenance costs for our leases of land and buildings and is included in other store operating expenses in the accompanying unaudited condensed consolidated statements of operations and comprehensive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0" w:type="dxa"/>
            <w:vAlign w:val="bottom"/>
            <w:gridSpan w:val="8"/>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5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9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6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7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13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280" w:type="dxa"/>
            <w:vAlign w:val="bottom"/>
          </w:tcPr>
          <w:p>
            <w:pPr>
              <w:spacing w:after="0"/>
              <w:rPr>
                <w:sz w:val="24"/>
                <w:szCs w:val="24"/>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136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7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16.17</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72"/>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7.43 %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6.66 %</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7.33 %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351"/>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231F20"/>
              </w:rPr>
              <w:t>As of March 31, 2023, lease obligation maturities were as follows: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43"/>
        </w:trPr>
        <w:tc>
          <w:tcPr>
            <w:tcW w:w="55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44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96,438</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861,091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4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1,313,533</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(513,502 )</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(13,480 )</w:t>
            </w:r>
          </w:p>
        </w:tc>
        <w:tc>
          <w:tcPr>
            <w:tcW w:w="6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4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800,031</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(41,279 )</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(687 )</w:t>
            </w:r>
          </w:p>
        </w:tc>
        <w:tc>
          <w:tcPr>
            <w:tcW w:w="60" w:type="dxa"/>
            <w:vAlign w:val="bottom"/>
          </w:tcPr>
          <w:p>
            <w:pPr>
              <w:spacing w:after="0"/>
              <w:rPr>
                <w:sz w:val="20"/>
                <w:szCs w:val="20"/>
                <w:color w:val="auto"/>
              </w:rPr>
            </w:pPr>
          </w:p>
        </w:tc>
      </w:tr>
      <w:tr>
        <w:trPr>
          <w:trHeight w:val="280"/>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4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spacing w:after="0"/>
              <w:rPr>
                <w:sz w:val="24"/>
                <w:szCs w:val="2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758,752</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-2353945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Forward-Starting Leases</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231F20"/>
        </w:rPr>
        <w:t>As of March 31, 2023, we entered into nine leases that had not yet commenced related to build-to-suit arrangements for car wash locations. These leases will commence in years 2023 through 2025 with initial lease terms of 15 to 20 years.</w:t>
      </w:r>
    </w:p>
    <w:p>
      <w:pPr>
        <w:spacing w:after="0" w:line="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231F20"/>
        </w:rPr>
        <w:t>As of December 31, 2022, we entered into seven leases that had not yet commenced related to build-to-suit arrangements for car wash locations. These leases will commence in the remainder of 2023, or 2024 or 2025 with initial lease terms of 15 to 20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Sale-Leaseback Transactions</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231F20"/>
        </w:rPr>
        <w:t>During the three months ended March 31, 2023, we completed two sale-leaseback transactions related to car wash locations with aggregate consideration of $9,213, resulting in a net gain of $370, which are included in (Gain) loss on sale of assets in the accompanying unaudited condensed consolidated statements of operations and comprehensive income. Contemporaneously with the closing of the sales, we entered into lease agreements for the properties for initial 20-year terms. For the sale-leaseback transactions</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58" w:right="279" w:bottom="1440" w:gutter="0" w:footer="0" w:header="0"/>
        </w:sectPr>
      </w:pPr>
    </w:p>
    <w:bookmarkStart w:id="15" w:name="page16"/>
    <w:bookmarkEnd w:id="15"/>
    <w:p>
      <w:pPr>
        <w:ind w:right="280"/>
        <w:spacing w:after="0" w:line="281" w:lineRule="auto"/>
        <w:rPr>
          <w:sz w:val="20"/>
          <w:szCs w:val="20"/>
          <w:color w:val="auto"/>
        </w:rPr>
      </w:pPr>
      <w:r>
        <w:rPr>
          <w:rFonts w:ascii="Times New Roman" w:cs="Times New Roman" w:eastAsia="Times New Roman" w:hAnsi="Times New Roman"/>
          <w:sz w:val="18"/>
          <w:szCs w:val="18"/>
          <w:color w:val="231F20"/>
        </w:rPr>
        <w:t>consummated in the three months ended March 31, 2023, the cumulative initial annual rent for the properties was approximately $559, subject to annual escalations. These leases are accounted for as operating leases.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During the three months ended March 31, 2022, we did not complete any sale-leaseback transactions.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Stockholders’ Equity</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As of March 31, 2023, there were 1,000,000,000 shares of common stock authorized, 311,276,074 shares of common stock issued, and 308,101,847 shares of common stock outstanding.</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As of December 31, 2022, there were 1,000,000,000 shares of common stock authorized, 309,800,757 shares of common stock issued, and 306,626,530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2023 and December 31, 2022, there were 5,000,000 shares of preferred stock authorized and none were issued or outstanding.</w:t>
      </w:r>
    </w:p>
    <w:p>
      <w:pPr>
        <w:spacing w:after="0" w:line="117"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231F20"/>
        </w:rPr>
        <w:t xml:space="preserve">We use the cost method to account for treasury stock. As of March 31, 2023, and December 31, 2022, we had 3,174,227 shares of treasury stock. As of March 31, 2023 and December 31, 2022, the cost of treasury stock included in additional paid-in capital in </w:t>
      </w:r>
      <w:r>
        <w:rPr>
          <w:rFonts w:ascii="Times New Roman" w:cs="Times New Roman" w:eastAsia="Times New Roman" w:hAnsi="Times New Roman"/>
          <w:sz w:val="18"/>
          <w:szCs w:val="18"/>
          <w:color w:val="000000"/>
        </w:rPr>
        <w:t>the accompanying unaudited condensed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consolidated balance sheets was $6,091.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2014 Plan</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we may grant incentive stock options or nonqualified stock options to purchase shares of our common stock to our employees, directors, officers, outside advisors and non-employee consultants.</w:t>
      </w:r>
    </w:p>
    <w:p>
      <w:pPr>
        <w:spacing w:after="0" w:line="5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1" w:lineRule="exact"/>
        <w:rPr>
          <w:sz w:val="20"/>
          <w:szCs w:val="20"/>
          <w:color w:val="auto"/>
        </w:rPr>
      </w:pPr>
    </w:p>
    <w:p>
      <w:pPr>
        <w:ind w:firstLine="8"/>
        <w:spacing w:after="0" w:line="251" w:lineRule="auto"/>
        <w:tabs>
          <w:tab w:leader="none" w:pos="21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In June 2021, we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2021, the Board adopted the 2021 Incentive Award Plan (the “2021 Plan”), which was subsequently approved by our stockholders and became effective on June 25, 2021. Under the 2021 Plan, we </w:t>
      </w:r>
      <w:r>
        <w:rPr>
          <w:rFonts w:ascii="Times New Roman" w:cs="Times New Roman" w:eastAsia="Times New Roman" w:hAnsi="Times New Roman"/>
          <w:sz w:val="18"/>
          <w:szCs w:val="18"/>
          <w:color w:val="231F20"/>
        </w:rPr>
        <w:t>may grant incentive stock options, nonqualified stock options, restricted stock units ("RSUs"),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restricted stock, and other stock- or cash-based awards to its employees, directors, officers, and non-employee consultants. </w:t>
      </w:r>
      <w:r>
        <w:rPr>
          <w:rFonts w:ascii="Times New Roman" w:cs="Times New Roman" w:eastAsia="Times New Roman" w:hAnsi="Times New Roman"/>
          <w:sz w:val="18"/>
          <w:szCs w:val="18"/>
          <w:color w:val="000000"/>
        </w:rPr>
        <w:t>Initially, the maximum number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shares of our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7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 xml:space="preserve">RSUs granted under the 2021 Plan </w:t>
      </w:r>
      <w:r>
        <w:rPr>
          <w:rFonts w:ascii="Times New Roman" w:cs="Times New Roman" w:eastAsia="Times New Roman" w:hAnsi="Times New Roman"/>
          <w:sz w:val="18"/>
          <w:szCs w:val="18"/>
          <w:color w:val="231F20"/>
        </w:rPr>
        <w:t>are equity-classified and</w:t>
      </w:r>
      <w:r>
        <w:rPr>
          <w:rFonts w:ascii="Times New Roman" w:cs="Times New Roman" w:eastAsia="Times New Roman" w:hAnsi="Times New Roman"/>
          <w:sz w:val="18"/>
          <w:szCs w:val="18"/>
          <w:color w:val="auto"/>
        </w:rPr>
        <w:t xml:space="preserve"> contain service-based conditions and generally vest ratably over one- to five-year periods. Each RSU represents the right to receive one share of our common stock upon vesting. The fair value is calculated based upon our closing stock price on the date of grant, and the stock-based compensation expense is recognized over the requisite service period, which is generally the vesting period.</w:t>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t>In June 2021, the Board adopted the 2021 Employee Stock Purchase Plan (“2021 ESPP”), which was subsequently approved by our stockholders and became effective in June 2021. The 2021 ESPP authorizes the initial issuance of up to 5,000,000 shares of our common stock to eligible employees of the Company or, as designated by the Board, employees of a related company. The 2021 ESPP provides for offering periods not to exceed 27 months, and each offering period will include purchase periods. We determined that offering periods would commence at approximately the six-month period beginning with an enrollment date and ending with the next exercise date, except that the first offering period commenced on the effective date of our registration statement and ended on November 9, 2021.</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2023 is 7,322,350.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during the periods presented: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622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62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31,</w:t>
            </w:r>
          </w:p>
        </w:tc>
      </w:tr>
      <w:tr>
        <w:trPr>
          <w:trHeight w:val="240"/>
        </w:trPr>
        <w:tc>
          <w:tcPr>
            <w:tcW w:w="62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53.90%</w:t>
            </w:r>
          </w:p>
        </w:tc>
        <w:tc>
          <w:tcPr>
            <w:tcW w:w="240" w:type="dxa"/>
            <w:vAlign w:val="bottom"/>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34.33%</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4.53%</w:t>
            </w:r>
          </w:p>
        </w:tc>
        <w:tc>
          <w:tcPr>
            <w:tcW w:w="2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0.49</w:t>
            </w:r>
          </w:p>
        </w:tc>
        <w:tc>
          <w:tcPr>
            <w:tcW w:w="26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0.49</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Time Vesting Options granted under the 2014 Plan and 2021 Plan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20" w:type="dxa"/>
            <w:vAlign w:val="bottom"/>
            <w:tcBorders>
              <w:bottom w:val="single" w:sz="8" w:color="auto"/>
            </w:tcBorders>
            <w:gridSpan w:val="9"/>
          </w:tcPr>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4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r>
      <w:tr>
        <w:trPr>
          <w:trHeight w:val="23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43.74%</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center"/>
              <w:ind w:righ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4.21%</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center"/>
              <w:ind w:righ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None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54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A summary of our stock option activity during the period presented is as follows: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418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20" w:type="dxa"/>
            <w:vAlign w:val="bottom"/>
          </w:tcPr>
          <w:p>
            <w:pPr>
              <w:spacing w:after="0"/>
              <w:rPr>
                <w:sz w:val="24"/>
                <w:szCs w:val="24"/>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418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Vesting Options</w:t>
            </w:r>
          </w:p>
        </w:tc>
        <w:tc>
          <w:tcPr>
            <w:tcW w:w="18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15,651,622</w:t>
            </w:r>
          </w:p>
        </w:tc>
        <w:tc>
          <w:tcPr>
            <w:tcW w:w="240" w:type="dxa"/>
            <w:vAlign w:val="bottom"/>
            <w:shd w:val="clear" w:color="auto" w:fill="CFF0FC"/>
          </w:tcPr>
          <w:p>
            <w:pPr>
              <w:spacing w:after="0"/>
              <w:rPr>
                <w:sz w:val="21"/>
                <w:szCs w:val="21"/>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9,882,278</w:t>
            </w:r>
          </w:p>
        </w:tc>
        <w:tc>
          <w:tcPr>
            <w:tcW w:w="240" w:type="dxa"/>
            <w:vAlign w:val="bottom"/>
            <w:shd w:val="clear" w:color="auto" w:fill="CFF0FC"/>
          </w:tcPr>
          <w:p>
            <w:pPr>
              <w:spacing w:after="0"/>
              <w:rPr>
                <w:sz w:val="21"/>
                <w:szCs w:val="21"/>
                <w:color w:val="auto"/>
              </w:rPr>
            </w:pPr>
          </w:p>
        </w:tc>
        <w:tc>
          <w:tcPr>
            <w:tcW w:w="15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25,533,900</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1,167,755</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1,167,755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(735,682 )</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(698,822 )</w:t>
            </w:r>
          </w:p>
        </w:tc>
        <w:tc>
          <w:tcPr>
            <w:tcW w:w="18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(1,434,504 )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(102,398 )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(102,398 )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r>
      <w:tr>
        <w:trPr>
          <w:trHeight w:val="28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15,981,297</w:t>
            </w:r>
          </w:p>
        </w:tc>
        <w:tc>
          <w:tcPr>
            <w:tcW w:w="2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9,183,456</w:t>
            </w:r>
          </w:p>
        </w:tc>
        <w:tc>
          <w:tcPr>
            <w:tcW w:w="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25,164,753</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as of March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15,461,613</w:t>
            </w:r>
          </w:p>
        </w:tc>
        <w:tc>
          <w:tcPr>
            <w:tcW w:w="24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9,183,456</w:t>
            </w:r>
          </w:p>
        </w:tc>
        <w:tc>
          <w:tcPr>
            <w:tcW w:w="240" w:type="dxa"/>
            <w:vAlign w:val="bottom"/>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24,645,069</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2023</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11,562,966</w:t>
            </w:r>
          </w:p>
        </w:tc>
        <w:tc>
          <w:tcPr>
            <w:tcW w:w="2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9,183,456</w:t>
            </w: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20,746,422</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2"/>
        </w:trPr>
        <w:tc>
          <w:tcPr>
            <w:tcW w:w="4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-735965</wp:posOffset>
            </wp:positionV>
            <wp:extent cx="235458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54580" cy="20574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-375920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-358775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-375920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-358775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-375920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-358775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period presented are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00" w:type="dxa"/>
            <w:vAlign w:val="bottom"/>
          </w:tcPr>
          <w:p>
            <w:pPr>
              <w:spacing w:after="0"/>
              <w:rPr>
                <w:sz w:val="18"/>
                <w:szCs w:val="18"/>
                <w:color w:val="auto"/>
              </w:rPr>
            </w:pPr>
          </w:p>
        </w:tc>
      </w:tr>
      <w:tr>
        <w:trPr>
          <w:trHeight w:val="245"/>
        </w:trPr>
        <w:tc>
          <w:tcPr>
            <w:tcW w:w="4140" w:type="dxa"/>
            <w:vAlign w:val="bottom"/>
          </w:tcPr>
          <w:p>
            <w:pPr>
              <w:spacing w:after="0"/>
              <w:rPr>
                <w:sz w:val="21"/>
                <w:szCs w:val="21"/>
                <w:color w:val="auto"/>
              </w:rPr>
            </w:pPr>
          </w:p>
        </w:tc>
        <w:tc>
          <w:tcPr>
            <w:tcW w:w="3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00" w:type="dxa"/>
            <w:vAlign w:val="bottom"/>
          </w:tcPr>
          <w:p>
            <w:pPr>
              <w:spacing w:after="0"/>
              <w:rPr>
                <w:sz w:val="21"/>
                <w:szCs w:val="21"/>
                <w:color w:val="auto"/>
              </w:rPr>
            </w:pPr>
          </w:p>
        </w:tc>
      </w:tr>
      <w:tr>
        <w:trPr>
          <w:trHeight w:val="207"/>
        </w:trPr>
        <w:tc>
          <w:tcPr>
            <w:tcW w:w="4140" w:type="dxa"/>
            <w:vAlign w:val="bottom"/>
          </w:tcPr>
          <w:p>
            <w:pPr>
              <w:spacing w:after="0"/>
              <w:rPr>
                <w:sz w:val="17"/>
                <w:szCs w:val="17"/>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7"/>
                <w:szCs w:val="17"/>
                <w:color w:val="auto"/>
              </w:rPr>
            </w:pPr>
          </w:p>
        </w:tc>
      </w:tr>
      <w:tr>
        <w:trPr>
          <w:trHeight w:val="245"/>
        </w:trPr>
        <w:tc>
          <w:tcPr>
            <w:tcW w:w="4140" w:type="dxa"/>
            <w:vAlign w:val="bottom"/>
          </w:tcPr>
          <w:p>
            <w:pPr>
              <w:spacing w:after="0"/>
              <w:rPr>
                <w:sz w:val="21"/>
                <w:szCs w:val="21"/>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1"/>
                <w:szCs w:val="21"/>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00" w:type="dxa"/>
            <w:vAlign w:val="bottom"/>
          </w:tcPr>
          <w:p>
            <w:pPr>
              <w:spacing w:after="0"/>
              <w:rPr>
                <w:sz w:val="21"/>
                <w:szCs w:val="21"/>
                <w:color w:val="auto"/>
              </w:rPr>
            </w:pP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3,704,919</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4,396,028</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1,167,755</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377,684</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98,962</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03"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231F20"/>
        </w:rPr>
        <w:t>We granted 1,167,755 Time Vesting Options with a grant date fair value of $5,325 during the three months ended March 31, 2023. There were no Performance Vesting Options granted during the three months ended March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stock options that vested during the three months ended March 31, 2023 was </w:t>
      </w:r>
      <w:r>
        <w:rPr>
          <w:rFonts w:ascii="Times New Roman" w:cs="Times New Roman" w:eastAsia="Times New Roman" w:hAnsi="Times New Roman"/>
          <w:sz w:val="18"/>
          <w:szCs w:val="18"/>
          <w:color w:val="000000"/>
        </w:rPr>
        <w:t>$3,460</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2023, the weighted-average remaining contractual life of outstanding stock options was approximately 3.99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table summarizes our RSU activity since December 31, 2022:</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 Grant</w:t>
            </w: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0" w:type="dxa"/>
            <w:vAlign w:val="bottom"/>
          </w:tcPr>
          <w:p>
            <w:pPr>
              <w:spacing w:after="0"/>
              <w:rPr>
                <w:sz w:val="21"/>
                <w:szCs w:val="21"/>
                <w:color w:val="auto"/>
              </w:rPr>
            </w:pPr>
          </w:p>
        </w:tc>
        <w:tc>
          <w:tcPr>
            <w:tcW w:w="2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2,075,859</w:t>
            </w: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575,672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(4,296 )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(104,288 )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20"/>
                <w:szCs w:val="20"/>
                <w:color w:val="auto"/>
              </w:rPr>
            </w:pPr>
          </w:p>
        </w:tc>
      </w:tr>
      <w:tr>
        <w:trPr>
          <w:trHeight w:val="280"/>
        </w:trPr>
        <w:tc>
          <w:tcPr>
            <w:tcW w:w="20" w:type="dxa"/>
            <w:vAlign w:val="bottom"/>
          </w:tcPr>
          <w:p>
            <w:pPr>
              <w:spacing w:after="0"/>
              <w:rPr>
                <w:sz w:val="24"/>
                <w:szCs w:val="24"/>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2023</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2,542,947</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granted 575,672 RSUs with a grant date fair value of $5,325 during the three months ended March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RSUs that vested during the </w:t>
      </w:r>
      <w:r>
        <w:rPr>
          <w:rFonts w:ascii="Times New Roman" w:cs="Times New Roman" w:eastAsia="Times New Roman" w:hAnsi="Times New Roman"/>
          <w:sz w:val="18"/>
          <w:szCs w:val="18"/>
          <w:color w:val="000000"/>
        </w:rPr>
        <w:t>three months ended March 31, 2023 was $45.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the weighted-average remaining contractual life of outstanding RSUs was approximately 9.02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231F20"/>
        </w:rPr>
        <w:t>We estimated a forfeiture rate of 6.96%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unaudited condensed consolidated statements of operations and comprehensive income for the periods presented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4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20"/>
                <w:szCs w:val="20"/>
                <w:color w:val="auto"/>
              </w:rPr>
            </w:pP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600" w:type="dxa"/>
            <w:vAlign w:val="bottom"/>
            <w:tcBorders>
              <w:top w:val="single" w:sz="8" w:color="auto"/>
            </w:tcBorders>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34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FF0FC"/>
          </w:tcPr>
          <w:p>
            <w:pPr>
              <w:spacing w:after="0"/>
              <w:rPr>
                <w:sz w:val="20"/>
                <w:szCs w:val="20"/>
                <w:color w:val="auto"/>
              </w:rPr>
            </w:pP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3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0"/>
                <w:szCs w:val="20"/>
                <w:color w:val="auto"/>
              </w:rPr>
            </w:pPr>
          </w:p>
        </w:tc>
      </w:tr>
      <w:tr>
        <w:trPr>
          <w:trHeight w:val="280"/>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tcBorders>
              <w:bottom w:val="single" w:sz="8" w:color="auto"/>
            </w:tcBorders>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unaudited condensed consolidated statements of operations and comprehensive income for the periods presented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4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20"/>
                <w:szCs w:val="20"/>
                <w:color w:val="auto"/>
              </w:rPr>
            </w:pPr>
          </w:p>
        </w:tc>
        <w:tc>
          <w:tcPr>
            <w:tcW w:w="1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Pr>
          <w:p>
            <w:pPr>
              <w:spacing w:after="0"/>
              <w:rPr>
                <w:sz w:val="20"/>
                <w:szCs w:val="20"/>
                <w:color w:val="auto"/>
              </w:rPr>
            </w:pP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1600" w:type="dxa"/>
            <w:vAlign w:val="bottom"/>
            <w:tcBorders>
              <w:top w:val="single" w:sz="8" w:color="auto"/>
            </w:tcBorders>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1,596</w:t>
            </w:r>
          </w:p>
        </w:tc>
        <w:tc>
          <w:tcPr>
            <w:tcW w:w="24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1,920</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3,479</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3,226</w:t>
            </w:r>
          </w:p>
        </w:tc>
      </w:tr>
      <w:tr>
        <w:trPr>
          <w:trHeight w:val="243"/>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16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286</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373</w:t>
            </w:r>
          </w:p>
        </w:tc>
      </w:tr>
      <w:tr>
        <w:trPr>
          <w:trHeight w:val="24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5,361</w:t>
            </w:r>
          </w:p>
        </w:tc>
        <w:tc>
          <w:tcPr>
            <w:tcW w:w="182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5,519</w:t>
            </w:r>
          </w:p>
        </w:tc>
      </w:tr>
      <w:tr>
        <w:trPr>
          <w:trHeight w:val="20"/>
        </w:trPr>
        <w:tc>
          <w:tcPr>
            <w:tcW w:w="6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-187960</wp:posOffset>
            </wp:positionV>
            <wp:extent cx="15430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188595"/>
                    </a:xfrm>
                    <a:prstGeom prst="rect">
                      <a:avLst/>
                    </a:prstGeom>
                    <a:noFill/>
                  </pic:spPr>
                </pic:pic>
              </a:graphicData>
            </a:graphic>
          </wp:anchor>
        </w:drawing>
      </w:r>
    </w:p>
    <w:p>
      <w:pPr>
        <w:spacing w:after="0" w:line="70"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2023, total </w:t>
      </w:r>
      <w:r>
        <w:rPr>
          <w:rFonts w:ascii="Times New Roman" w:cs="Times New Roman" w:eastAsia="Times New Roman" w:hAnsi="Times New Roman"/>
          <w:sz w:val="18"/>
          <w:szCs w:val="18"/>
          <w:color w:val="000000"/>
        </w:rPr>
        <w:t>unrecognized</w:t>
      </w:r>
      <w:r>
        <w:rPr>
          <w:rFonts w:ascii="Times New Roman" w:cs="Times New Roman" w:eastAsia="Times New Roman" w:hAnsi="Times New Roman"/>
          <w:sz w:val="18"/>
          <w:szCs w:val="18"/>
          <w:color w:val="231F20"/>
        </w:rPr>
        <w:t xml:space="preserve"> compensation expense related to unvested Time Vesting Options was </w:t>
      </w:r>
      <w:r>
        <w:rPr>
          <w:rFonts w:ascii="Times New Roman" w:cs="Times New Roman" w:eastAsia="Times New Roman" w:hAnsi="Times New Roman"/>
          <w:sz w:val="18"/>
          <w:szCs w:val="18"/>
          <w:color w:val="000000"/>
        </w:rPr>
        <w:t>$10,928</w:t>
      </w:r>
      <w:r>
        <w:rPr>
          <w:rFonts w:ascii="Times New Roman" w:cs="Times New Roman" w:eastAsia="Times New Roman" w:hAnsi="Times New Roman"/>
          <w:sz w:val="18"/>
          <w:szCs w:val="18"/>
          <w:color w:val="231F20"/>
        </w:rPr>
        <w:t>, which is expected to be recognized over a weighted-average period of 4.02 years.</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2023, </w:t>
      </w:r>
      <w:r>
        <w:rPr>
          <w:rFonts w:ascii="Times New Roman" w:cs="Times New Roman" w:eastAsia="Times New Roman" w:hAnsi="Times New Roman"/>
          <w:sz w:val="18"/>
          <w:szCs w:val="18"/>
          <w:color w:val="000000"/>
        </w:rPr>
        <w:t>there was no unrecognized compensation expense related to unvested</w:t>
      </w:r>
      <w:r>
        <w:rPr>
          <w:rFonts w:ascii="Times New Roman" w:cs="Times New Roman" w:eastAsia="Times New Roman" w:hAnsi="Times New Roman"/>
          <w:sz w:val="18"/>
          <w:szCs w:val="18"/>
          <w:color w:val="231F20"/>
        </w:rPr>
        <w:t xml:space="preserve"> Performance Vesting Options </w:t>
      </w:r>
      <w:r>
        <w:rPr>
          <w:rFonts w:ascii="Times New Roman" w:cs="Times New Roman" w:eastAsia="Times New Roman" w:hAnsi="Times New Roman"/>
          <w:sz w:val="18"/>
          <w:szCs w:val="18"/>
          <w:color w:val="000000"/>
        </w:rPr>
        <w:t>as the completion of the IPO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64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2023, total unrecognized compensation expense related to unvested RSUs was </w:t>
      </w:r>
      <w:r>
        <w:rPr>
          <w:rFonts w:ascii="Times New Roman" w:cs="Times New Roman" w:eastAsia="Times New Roman" w:hAnsi="Times New Roman"/>
          <w:sz w:val="18"/>
          <w:szCs w:val="18"/>
          <w:color w:val="000000"/>
        </w:rPr>
        <w:t>$17,507</w:t>
      </w:r>
      <w:r>
        <w:rPr>
          <w:rFonts w:ascii="Times New Roman" w:cs="Times New Roman" w:eastAsia="Times New Roman" w:hAnsi="Times New Roman"/>
          <w:sz w:val="18"/>
          <w:szCs w:val="18"/>
          <w:color w:val="231F20"/>
        </w:rPr>
        <w:t>, which is expected to be recognized over a weighted-average period of 2.42 years.</w:t>
      </w:r>
    </w:p>
    <w:p>
      <w:pPr>
        <w:spacing w:after="0" w:line="5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2023, total unrecognized compensation expense related to unvested stock purchase rights under the 2021 ESPP was </w:t>
      </w:r>
      <w:r>
        <w:rPr>
          <w:rFonts w:ascii="Times New Roman" w:cs="Times New Roman" w:eastAsia="Times New Roman" w:hAnsi="Times New Roman"/>
          <w:sz w:val="18"/>
          <w:szCs w:val="18"/>
          <w:color w:val="000000"/>
        </w:rPr>
        <w:t>$143</w:t>
      </w:r>
      <w:r>
        <w:rPr>
          <w:rFonts w:ascii="Times New Roman" w:cs="Times New Roman" w:eastAsia="Times New Roman" w:hAnsi="Times New Roman"/>
          <w:sz w:val="18"/>
          <w:szCs w:val="18"/>
          <w:color w:val="231F20"/>
        </w:rPr>
        <w:t>, which is expected to be recognized over a weighted-average period of 0.12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Business Combinations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From time to time, we may pursue acquisitions of conveyorized car washes that either strategically fit with the business or expand our presence in new and attractive markets.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231F20"/>
        </w:rPr>
        <w:t xml:space="preserve">The unaudited condensed consolidated financial statements reflect the operations of an acquired business starting from the effective date of the acquisition. No acquisition-related costs were expensed during the three months ended March 31, 2023 and </w:t>
      </w:r>
      <w:r>
        <w:rPr>
          <w:rFonts w:ascii="Times New Roman" w:cs="Times New Roman" w:eastAsia="Times New Roman" w:hAnsi="Times New Roman"/>
          <w:sz w:val="18"/>
          <w:szCs w:val="18"/>
          <w:color w:val="000000"/>
        </w:rPr>
        <w:t>$129</w:t>
      </w:r>
      <w:r>
        <w:rPr>
          <w:rFonts w:ascii="Times New Roman" w:cs="Times New Roman" w:eastAsia="Times New Roman" w:hAnsi="Times New Roman"/>
          <w:sz w:val="18"/>
          <w:szCs w:val="18"/>
          <w:color w:val="231F20"/>
        </w:rPr>
        <w:t xml:space="preserve"> of acquisition-related costs were expensed for the three months ended March 31, 2022, respectively. These acquisition-related costs are expensed as incurred and are included in general and administrative expenses in the accompanying unaudited condensed consolidated statements of operations and comprehensive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the three months ended March 31, 2022, the amount of acquired goodwill not deductible for income tax purposes was not material.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did not consummate any acquisitions during the three months ended March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31F20"/>
        </w:rPr>
        <w:t>For the year ended December 31, 2022, we acquired the assets and liabilities of 11 conveyorized car washes in four acquisitions for total consideration of approximately $98,548, which was paid in cash. These acquisitions resulted in the preliminary recognition of $57,856 of goodwill, $37,174 of property and equipment, $1,540 of intangible assets related to covenant not to compete, $1,978 of other assets and liabilities. There were no adjustments related to 2022 acquisitions in the current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 for the acquired covenants not to compete is 5.0 years.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6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Georgia (Bamboo Carwash)</w:t>
            </w:r>
          </w:p>
        </w:tc>
        <w:tc>
          <w:tcPr>
            <w:tcW w:w="348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(Speedwash)</w:t>
            </w:r>
          </w:p>
        </w:tc>
        <w:tc>
          <w:tcPr>
            <w:tcW w:w="34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Minnesota (Top Wash)</w:t>
            </w:r>
          </w:p>
        </w:tc>
        <w:tc>
          <w:tcPr>
            <w:tcW w:w="348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(Rapid Xpress)</w:t>
            </w:r>
          </w:p>
        </w:tc>
        <w:tc>
          <w:tcPr>
            <w:tcW w:w="34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310" w:lineRule="exact"/>
        <w:rPr>
          <w:sz w:val="20"/>
          <w:szCs w:val="20"/>
          <w:color w:val="auto"/>
        </w:rPr>
      </w:pPr>
    </w:p>
    <w:p>
      <w:pPr>
        <w:ind w:right="8320" w:firstLine="8"/>
        <w:spacing w:after="0" w:line="377" w:lineRule="auto"/>
        <w:tabs>
          <w:tab w:leader="none" w:pos="36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Commitments and Contingencies Litigation</w:t>
      </w:r>
    </w:p>
    <w:p>
      <w:pPr>
        <w:spacing w:after="0" w:line="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and general umbrella policies. As of March 31, 2023 and December 31, 2022, we accrued </w:t>
      </w:r>
      <w:r>
        <w:rPr>
          <w:rFonts w:ascii="Times New Roman" w:cs="Times New Roman" w:eastAsia="Times New Roman" w:hAnsi="Times New Roman"/>
          <w:sz w:val="18"/>
          <w:szCs w:val="18"/>
          <w:color w:val="000000"/>
        </w:rPr>
        <w:t>$2,033 and</w:t>
      </w:r>
      <w:r>
        <w:rPr>
          <w:rFonts w:ascii="Times New Roman" w:cs="Times New Roman" w:eastAsia="Times New Roman" w:hAnsi="Times New Roman"/>
          <w:sz w:val="18"/>
          <w:szCs w:val="18"/>
          <w:color w:val="231F20"/>
        </w:rPr>
        <w:t xml:space="preserve"> $3,230, respectively, for assessments on insurance claims filed, which are included in other accrued expenses in the accompanying unaudited condensed consolidated balance sheets. As of March 31, 2023 and December 31, 2022, we recorded </w:t>
      </w:r>
      <w:r>
        <w:rPr>
          <w:rFonts w:ascii="Times New Roman" w:cs="Times New Roman" w:eastAsia="Times New Roman" w:hAnsi="Times New Roman"/>
          <w:sz w:val="18"/>
          <w:szCs w:val="18"/>
          <w:color w:val="000000"/>
        </w:rPr>
        <w:t>$1,759 and</w:t>
      </w:r>
      <w:r>
        <w:rPr>
          <w:rFonts w:ascii="Times New Roman" w:cs="Times New Roman" w:eastAsia="Times New Roman" w:hAnsi="Times New Roman"/>
          <w:sz w:val="18"/>
          <w:szCs w:val="18"/>
          <w:color w:val="231F20"/>
        </w:rPr>
        <w:t xml:space="preserve"> $2,627, respectively, in receivables from its non-healthcare insurance carriers related to these insurance claims, which are included in other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220"/>
        <w:spacing w:after="0" w:line="281" w:lineRule="auto"/>
        <w:rPr>
          <w:sz w:val="20"/>
          <w:szCs w:val="20"/>
          <w:color w:val="auto"/>
        </w:rPr>
      </w:pPr>
      <w:r>
        <w:rPr>
          <w:rFonts w:ascii="Times New Roman" w:cs="Times New Roman" w:eastAsia="Times New Roman" w:hAnsi="Times New Roman"/>
          <w:sz w:val="18"/>
          <w:szCs w:val="18"/>
          <w:color w:val="231F20"/>
        </w:rPr>
        <w:t>receivables in the accompanying unaudited condensed consolidated balance sheets. The receivables are paid when the claim is finalized and the reserved amounts on these claims are expected to be paid within one year.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it has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March 31, 2023.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its unaudited condensed consolidated financial statements.</w:t>
      </w:r>
    </w:p>
    <w:p>
      <w:pPr>
        <w:spacing w:after="0" w:line="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March 31, 2023 and December 31, 2022, we recorded an environmental remediation accrual of $10 and $12, which is included in other accrued expenses in the accompanying unaudited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16.  Subsequent Events</w:t>
      </w:r>
    </w:p>
    <w:p>
      <w:pPr>
        <w:spacing w:after="0" w:line="12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231F20"/>
        </w:rPr>
        <w:t>Subsequent to March 31, 2023, we completed five sale-leaseback transactions related to our car wash locations with aggregate consideration of $59.2 million.</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2022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2022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439 car washes in 21 states as of March 31, 2023.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pose risks and challenges, including those discussed below and in Part I, Item 1A. “Risk Factors” of our 2022 Form 10-K.</w:t>
      </w:r>
    </w:p>
    <w:p>
      <w:pPr>
        <w:spacing w:after="0" w:line="80" w:lineRule="exact"/>
        <w:rPr>
          <w:sz w:val="20"/>
          <w:szCs w:val="20"/>
          <w:color w:val="auto"/>
        </w:rPr>
      </w:pPr>
    </w:p>
    <w:p>
      <w:pPr>
        <w:ind w:left="480" w:right="80" w:hanging="337"/>
        <w:spacing w:after="0" w:line="261"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10" w:lineRule="exact"/>
        <w:rPr>
          <w:rFonts w:ascii="Times New Roman" w:cs="Times New Roman" w:eastAsia="Times New Roman" w:hAnsi="Times New Roman"/>
          <w:sz w:val="18"/>
          <w:szCs w:val="18"/>
          <w:color w:val="auto"/>
        </w:rPr>
      </w:pPr>
    </w:p>
    <w:p>
      <w:pPr>
        <w:ind w:left="480" w:right="220" w:hanging="337"/>
        <w:spacing w:after="0" w:line="283"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91" w:lineRule="exact"/>
        <w:rPr>
          <w:rFonts w:ascii="Times New Roman" w:cs="Times New Roman" w:eastAsia="Times New Roman" w:hAnsi="Times New Roman"/>
          <w:sz w:val="18"/>
          <w:szCs w:val="18"/>
          <w:color w:val="auto"/>
        </w:rPr>
      </w:pPr>
    </w:p>
    <w:p>
      <w:pPr>
        <w:ind w:left="480" w:right="120" w:hanging="337"/>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More recently, a component of our growth strategy has been to grow through greenfield development of Mister Car Wash locations, with particular focus on Express Exterior Locations, and anticipate further pursuit of this strategy in the future. In the three months ended March 31, 2023, we successfully opened four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the three months ended March 31, 2023, we did not consummate any acquisitions.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See Note 14 Business Combinations to our unaudited condensed consolidated financial statements included elsewhere in this Quarterly Report on Form 10-Q for additional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months ended March 31, 2023 and 2022.</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6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61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46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46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69 %</w:t>
            </w:r>
          </w:p>
        </w:tc>
        <w:tc>
          <w:tcPr>
            <w:tcW w:w="5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3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46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9.4 %</w:t>
            </w:r>
          </w:p>
        </w:tc>
        <w:tc>
          <w:tcPr>
            <w:tcW w:w="5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3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6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31.4 %</w:t>
            </w:r>
          </w:p>
        </w:tc>
        <w:tc>
          <w:tcPr>
            <w:tcW w:w="5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-1069975</wp:posOffset>
            </wp:positionV>
            <wp:extent cx="684149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-761365</wp:posOffset>
            </wp:positionV>
            <wp:extent cx="684149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-453390</wp:posOffset>
            </wp:positionV>
            <wp:extent cx="684149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-144780</wp:posOffset>
            </wp:positionV>
            <wp:extent cx="684149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41490" cy="15430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months ended March 31, 2023, we increased our location count by the four greenfield locations noted above, offset by one location that was closed.</w:t>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365 of our current locations and our Interior Cleaning Locations, which offer both express exterior cleaning services and interior cleaning services, comprise 74 of our current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consider a location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Opening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For the three months ended March 31, 2023, comparable store sales decreased to (2)% compared to an increase of 11% in the three months ended March 31,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500"/>
        <w:spacing w:after="0" w:line="281" w:lineRule="auto"/>
        <w:rPr>
          <w:sz w:val="20"/>
          <w:szCs w:val="20"/>
          <w:color w:val="auto"/>
        </w:rPr>
      </w:pPr>
      <w:r>
        <w:rPr>
          <w:rFonts w:ascii="Times New Roman" w:cs="Times New Roman" w:eastAsia="Times New Roman" w:hAnsi="Times New Roman"/>
          <w:sz w:val="18"/>
          <w:szCs w:val="18"/>
          <w:color w:val="auto"/>
        </w:rPr>
        <w:t>acquired customers. There were approximately 2.0 million and approximately 1.8 million UWC Members as of March 31, 2023 and March 31, 2022, respectively. There were approximately 1.9 million UWC Members as of December 31, 2022.</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Our UWC Members grew by approximately 13% from March 31, 2022 through March 31, 2023 and approximately 6% from December 31, 2022 through March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subscription offering. UWC sales were 69% and 64% of our total wash sales for the three months ended March 31,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expenses associated with the completion of our initial public offering in June 2021 ("the IPO"), and other nonrecurring charges. Adjusted EBITDA margin is defined as Adjusted EBITDA divided by net revenues for a given period.</w:t>
      </w:r>
    </w:p>
    <w:p>
      <w:pPr>
        <w:spacing w:after="0" w:line="7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First Lien Credit Agreement uses measures similar to Adjusted EBITDA to measure our compliance with certain covenants.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68" w:lineRule="exact"/>
        <w:rPr>
          <w:sz w:val="20"/>
          <w:szCs w:val="20"/>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70"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43" w:lineRule="exact"/>
        <w:rPr>
          <w:rFonts w:ascii="Times New Roman" w:cs="Times New Roman" w:eastAsia="Times New Roman" w:hAnsi="Times New Roman"/>
          <w:sz w:val="18"/>
          <w:szCs w:val="18"/>
          <w:color w:val="auto"/>
        </w:rPr>
      </w:pPr>
    </w:p>
    <w:p>
      <w:pPr>
        <w:ind w:left="480" w:right="20" w:hanging="337"/>
        <w:spacing w:after="0" w:line="28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81"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30"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Adjusted EBITDA was approximately $71.0 million and $74.8 million in the three months ended March 31, 2023 and 2022, respectively. Our Adjusted EBITDA margin was 31.4% and 34.1% in the three months ended March 31, 2023 and 2022, respectively. The Adjusted EBITDA and Adjusted EBITDA margin results in the three months ended March 31, 2023 compared to the prior year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900"/>
        <w:spacing w:after="0" w:line="281" w:lineRule="auto"/>
        <w:rPr>
          <w:sz w:val="20"/>
          <w:szCs w:val="20"/>
          <w:color w:val="auto"/>
        </w:rPr>
      </w:pPr>
      <w:r>
        <w:rPr>
          <w:rFonts w:ascii="Times New Roman" w:cs="Times New Roman" w:eastAsia="Times New Roman" w:hAnsi="Times New Roman"/>
          <w:sz w:val="18"/>
          <w:szCs w:val="18"/>
          <w:color w:val="auto"/>
        </w:rPr>
        <w:t>period are primarily attributable to the increase in Other store operating expenses during three months ended March 31, 2023. The following is a reconciliation of our net income to Adjusted EBITDA for the periods presented.</w:t>
      </w:r>
    </w:p>
    <w:p>
      <w:pPr>
        <w:spacing w:after="0" w:line="19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3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(a)</w:t>
            </w:r>
          </w:p>
        </w:tc>
        <w:tc>
          <w:tcPr>
            <w:tcW w:w="42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(63 )</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expenses (c)</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rent expense (d)</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associated with initial public offering (e)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w:t>
            </w:r>
          </w:p>
        </w:tc>
        <w:tc>
          <w:tcPr>
            <w:tcW w:w="4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3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3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2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31.4 %</w:t>
            </w:r>
          </w:p>
        </w:tc>
        <w:tc>
          <w:tcPr>
            <w:tcW w:w="4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-490855</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8" w:lineRule="exact"/>
        <w:rPr>
          <w:sz w:val="20"/>
          <w:szCs w:val="20"/>
          <w:color w:val="auto"/>
        </w:rPr>
      </w:pPr>
    </w:p>
    <w:p>
      <w:pPr>
        <w:ind w:left="1020" w:right="3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sale-leaseback transactions, store closures or the sale of property and equipment.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share-based payments.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expenses associated with the consummation of our IPO in June 2021.</w:t>
      </w:r>
    </w:p>
    <w:p>
      <w:pPr>
        <w:spacing w:after="0" w:line="116"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2023 and 2022 (Unaudited)</w:t>
      </w:r>
    </w:p>
    <w:p>
      <w:pPr>
        <w:spacing w:after="0" w:line="121"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18"/>
          <w:szCs w:val="18"/>
          <w:color w:val="auto"/>
        </w:rPr>
        <w:t>The unaudited results of operations data for the three months ended March 31, 2023 and 2022 have been derived from the unaudited condensed consolidated financial statements included elsewhere in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48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21"/>
                <w:szCs w:val="21"/>
                <w:color w:val="auto"/>
              </w:rPr>
            </w:pPr>
          </w:p>
        </w:tc>
        <w:tc>
          <w:tcPr>
            <w:tcW w:w="15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8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3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8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65,538</w:t>
            </w:r>
          </w:p>
        </w:tc>
        <w:tc>
          <w:tcPr>
            <w:tcW w:w="3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77,801</w:t>
            </w:r>
          </w:p>
        </w:tc>
        <w:tc>
          <w:tcPr>
            <w:tcW w:w="3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3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(63 )</w:t>
            </w:r>
          </w:p>
        </w:tc>
        <w:tc>
          <w:tcPr>
            <w:tcW w:w="280" w:type="dxa"/>
            <w:vAlign w:val="bottom"/>
          </w:tcPr>
          <w:p>
            <w:pPr>
              <w:spacing w:after="0"/>
              <w:rPr>
                <w:sz w:val="22"/>
                <w:szCs w:val="22"/>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167,485</w:t>
            </w:r>
          </w:p>
        </w:tc>
        <w:tc>
          <w:tcPr>
            <w:tcW w:w="3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51,934</w:t>
            </w:r>
          </w:p>
        </w:tc>
        <w:tc>
          <w:tcPr>
            <w:tcW w:w="3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color w:val="auto"/>
                <w:highlight w:val="white"/>
              </w:rPr>
              <w:t>%</w:t>
            </w: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3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0"/>
        </w:trPr>
        <w:tc>
          <w:tcPr>
            <w:tcW w:w="4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3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43,768</w:t>
            </w:r>
          </w:p>
        </w:tc>
        <w:tc>
          <w:tcPr>
            <w:tcW w:w="3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5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3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3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-2285365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-1977390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3251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-1039495</wp:posOffset>
            </wp:positionV>
            <wp:extent cx="7145020" cy="6807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020" cy="68072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860" w:type="dxa"/>
            <w:vAlign w:val="bottom"/>
          </w:tcPr>
          <w:p>
            <w:pPr>
              <w:spacing w:after="0"/>
              <w:rPr>
                <w:sz w:val="24"/>
                <w:szCs w:val="24"/>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8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20" w:type="dxa"/>
            <w:vAlign w:val="bottom"/>
          </w:tcPr>
          <w:p>
            <w:pPr>
              <w:spacing w:after="0"/>
              <w:rPr>
                <w:sz w:val="21"/>
                <w:szCs w:val="21"/>
                <w:color w:val="auto"/>
              </w:rPr>
            </w:pPr>
          </w:p>
        </w:tc>
        <w:tc>
          <w:tcPr>
            <w:tcW w:w="15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340" w:type="dxa"/>
            <w:vAlign w:val="bottom"/>
          </w:tcPr>
          <w:p>
            <w:pPr>
              <w:spacing w:after="0"/>
              <w:rPr>
                <w:sz w:val="19"/>
                <w:szCs w:val="19"/>
                <w:color w:val="auto"/>
              </w:rPr>
            </w:pP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4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4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40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1"/>
                <w:szCs w:val="21"/>
                <w:color w:val="auto"/>
              </w:rPr>
            </w:pPr>
          </w:p>
        </w:tc>
        <w:tc>
          <w:tcPr>
            <w:tcW w:w="15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440" w:type="dxa"/>
            <w:vAlign w:val="bottom"/>
          </w:tcPr>
          <w:p>
            <w:pPr>
              <w:spacing w:after="0"/>
              <w:rPr>
                <w:sz w:val="19"/>
                <w:szCs w:val="19"/>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65,538</w:t>
            </w: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30 %</w:t>
            </w:r>
          </w:p>
        </w:tc>
        <w:tc>
          <w:tcPr>
            <w:tcW w:w="1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800" w:firstLine="509"/>
        <w:spacing w:after="0" w:line="288" w:lineRule="auto"/>
        <w:rPr>
          <w:sz w:val="20"/>
          <w:szCs w:val="20"/>
          <w:color w:val="auto"/>
        </w:rPr>
      </w:pPr>
      <w:r>
        <w:rPr>
          <w:rFonts w:ascii="Times New Roman" w:cs="Times New Roman" w:eastAsia="Times New Roman" w:hAnsi="Times New Roman"/>
          <w:sz w:val="17"/>
          <w:szCs w:val="17"/>
          <w:color w:val="auto"/>
        </w:rPr>
        <w:t>The increase in the cost of labor and chemicals is primarily attributable to the year-over-year addition of 40 locations and some inflationary pressures on our wash chemicals and supplies. The increase from additional stores and inflationary pressures were partially offset by a decrease of approximately $2.9 million in store labor costs from optimized scheduling guidelines implemented in the second half of fiscal year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72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7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Pr>
          <w:p>
            <w:pPr>
              <w:spacing w:after="0"/>
              <w:rPr>
                <w:sz w:val="21"/>
                <w:szCs w:val="21"/>
                <w:color w:val="auto"/>
              </w:rPr>
            </w:pPr>
          </w:p>
        </w:tc>
        <w:tc>
          <w:tcPr>
            <w:tcW w:w="1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77,801</w:t>
            </w:r>
          </w:p>
        </w:tc>
        <w:tc>
          <w:tcPr>
            <w:tcW w:w="3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36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9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1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35 %</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increase in other store operating expenses was attributable to the year-over-year addition of 40 locations and some inflationary pressures on our utilities and maintenance expenses. Rent expense increased approximately $3.2 million with the addition of 45 new land and building leases.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70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7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23,687</w:t>
            </w:r>
          </w:p>
        </w:tc>
        <w:tc>
          <w:tcPr>
            <w:tcW w:w="3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9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1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driven by an increase of approximately $0.9 million in salaries and benefits, offset by a decrease of approximately $0.3 million in stock-based compensation costs. As a percentage of net revenues, general and administrative expenses for the three months ended March 31, 2023 remained consistent to the prior year period.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9"/>
        </w:trPr>
        <w:tc>
          <w:tcPr>
            <w:tcW w:w="376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4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w:t>
            </w:r>
          </w:p>
        </w:tc>
        <w:tc>
          <w:tcPr>
            <w:tcW w:w="11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center"/>
        <w:ind w:right="280"/>
        <w:spacing w:after="0" w:line="281" w:lineRule="auto"/>
        <w:rPr>
          <w:sz w:val="20"/>
          <w:szCs w:val="20"/>
          <w:color w:val="auto"/>
        </w:rPr>
      </w:pPr>
      <w:r>
        <w:rPr>
          <w:rFonts w:ascii="Times New Roman" w:cs="Times New Roman" w:eastAsia="Times New Roman" w:hAnsi="Times New Roman"/>
          <w:sz w:val="18"/>
          <w:szCs w:val="18"/>
          <w:color w:val="auto"/>
        </w:rPr>
        <w:t>The change in (gain) loss on sale of assets was primarily driven by gains associated with our sale-leaseback transactions in the current year.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83"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4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9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360" w:type="dxa"/>
            <w:vAlign w:val="bottom"/>
          </w:tcPr>
          <w:p>
            <w:pPr>
              <w:spacing w:after="0"/>
              <w:rPr>
                <w:sz w:val="19"/>
                <w:szCs w:val="19"/>
                <w:color w:val="auto"/>
              </w:rPr>
            </w:pP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3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3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9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1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The increase in other expense was primarily driven by an increase in interest expense due to higher average interest rates as compared to the prior year period and the expiration of our interest rate hedge in October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9"/>
        </w:trPr>
        <w:tc>
          <w:tcPr>
            <w:tcW w:w="3720" w:type="dxa"/>
            <w:vAlign w:val="bottom"/>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7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380" w:type="dxa"/>
            <w:vAlign w:val="bottom"/>
          </w:tcPr>
          <w:p>
            <w:pPr>
              <w:spacing w:after="0"/>
              <w:rPr>
                <w:sz w:val="19"/>
                <w:szCs w:val="19"/>
                <w:color w:val="auto"/>
              </w:rPr>
            </w:pP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3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1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decrease in income tax provision was primarily driven by reduced pre-tax income, net of the reduced impact of income tax benefits from equity awards in the current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expansion, acquisitions of new locations and to service our indebtedness. Historically, these cash requirements have been met through funds raised by the sale of our common stock, utilization of our Revolving Commitment, First Lien Term Loan, Second Lien Term Loan, sale-leaseback transactions, and cash provided by operations.</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As of March 31, 2023 and December 31, 2022, we had cash and cash equivalents of $69.9 million and $65.2 million, respectively, and $148.8 million and $148.6 million, respectivel</w:t>
      </w:r>
      <w:r>
        <w:rPr>
          <w:rFonts w:ascii="Times New Roman" w:cs="Times New Roman" w:eastAsia="Times New Roman" w:hAnsi="Times New Roman"/>
          <w:sz w:val="18"/>
          <w:szCs w:val="18"/>
          <w:color w:val="231F20"/>
        </w:rPr>
        <w:t>y,</w:t>
      </w:r>
      <w:r>
        <w:rPr>
          <w:rFonts w:ascii="Times New Roman" w:cs="Times New Roman" w:eastAsia="Times New Roman" w:hAnsi="Times New Roman"/>
          <w:sz w:val="18"/>
          <w:szCs w:val="18"/>
          <w:color w:val="auto"/>
        </w:rPr>
        <w:t xml:space="preserve"> of available borrowing capacity under our Revolving Commitment.</w:t>
      </w:r>
    </w:p>
    <w:p>
      <w:pPr>
        <w:spacing w:after="0" w:line="5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For a description of our Credit Facilities, please see Note 8 Debt in the consolidated financial statements included elsewhere in this Quarterly Report on Form 10-Q. As of March 31, 2023, we were in compliance with the covenants under the Amended and Restated First Lien Credit Agreement.</w:t>
      </w:r>
    </w:p>
    <w:p>
      <w:pPr>
        <w:spacing w:after="0" w:line="5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resulting operations, as well as planned capital expenditures,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2023 and 2022 (Unaudited)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cash flow information for the three months ended March 31,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8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67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100" w:type="dxa"/>
            <w:vAlign w:val="bottom"/>
            <w:shd w:val="clear" w:color="auto" w:fill="CFF0FC"/>
          </w:tcPr>
          <w:p>
            <w:pPr>
              <w:spacing w:after="0"/>
              <w:rPr>
                <w:sz w:val="20"/>
                <w:szCs w:val="20"/>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(63,160 )</w:t>
            </w:r>
          </w:p>
        </w:tc>
        <w:tc>
          <w:tcPr>
            <w:tcW w:w="4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(30,014 )</w:t>
            </w: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4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(953 )</w:t>
            </w:r>
          </w:p>
        </w:tc>
      </w:tr>
      <w:tr>
        <w:trPr>
          <w:trHeight w:val="236"/>
        </w:trPr>
        <w:tc>
          <w:tcPr>
            <w:tcW w:w="6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46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tcBorders>
              <w:top w:val="single" w:sz="8" w:color="CFF0FC"/>
            </w:tcBorders>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depreciation of property and equipment, gains on disposal of property and equipment, amortization of leased assets and deferred income taxes, as well as the effect of changes in other working capital amounts.</w:t>
      </w: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57" w:right="239" w:bottom="1440" w:gutter="0" w:footer="0" w:header="0"/>
        </w:sectPr>
      </w:pPr>
    </w:p>
    <w:bookmarkStart w:id="26" w:name="page27"/>
    <w:bookmarkEnd w:id="26"/>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operating activities was $67.0 million and was comprised of net income of $21.1 million, increased by $39.2 million as a result of non-cash adjustments comprised primarily of depreciation and amortization expense, stock-based compensation expense, non-cash lease expense, deferred income taxes, a gain on disposal of property and equipment, and amortization of debt issuance costs. Changes in working capital balances increased cash provided by operating activities by $6.7 million and were primarily driven by decreases in current assets and increases in current liabilities, partially offset by the decrease in operating lease liability.</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operating activities was $81.5 million and was comprised of net income of $35.5 million, increased by $36.0 million as a result of non-cash adjustments comprised primarily of stock-based compensation expense, depreciation and amortization expense, non-cash lease expense, and a gain on disposal of property and equipment. Changes in working capital balances decreased cash provided by operating activities by $10.1 million and were primarily driven by increases in the operating lease liability, other noncurrent assets and liabilities and accounts payable, offset by a decrease in other receivables, prepaid expenses and other accrued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w:t>
      </w:r>
    </w:p>
    <w:p>
      <w:pPr>
        <w:spacing w:after="0" w:line="22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net cash used in investing activities was $63.2 million and was primarily comprised of investments in property and equipment to support our greenfield development and other initiatives, offset by the sale of property and equipment.</w:t>
      </w:r>
    </w:p>
    <w:p>
      <w:pPr>
        <w:spacing w:after="0" w:line="163"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$30.0 million and was primarily comprised of investment in property and equipment primarily to support our greenfield and other initiatives, partially offset by the sale of property and equipment.</w:t>
      </w:r>
    </w:p>
    <w:p>
      <w:pPr>
        <w:spacing w:after="0" w:line="188" w:lineRule="exact"/>
        <w:rPr>
          <w:sz w:val="20"/>
          <w:szCs w:val="20"/>
          <w:color w:val="auto"/>
        </w:rPr>
      </w:pPr>
    </w:p>
    <w:p>
      <w:pPr>
        <w:ind w:right="16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primarily consists of proceeds and payments on our First Lien Term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Commitment, payments on finance lease obligations, as well as issuance of common stock under employee plans.</w:t>
      </w:r>
    </w:p>
    <w:p>
      <w:pPr>
        <w:spacing w:after="0" w:line="16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financing activities was $0.9 million and was primarily comprised of proceeds from exercise of stock options, partially offset by payments on finance lease obligations.</w:t>
      </w:r>
    </w:p>
    <w:p>
      <w:pPr>
        <w:spacing w:after="0" w:line="163"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2022, net cash used by financing activities was $1.0 million and was primarily comprised of repayments of our First Lien Term Loan and principal payments on finance lease obligations, partially offset by proceeds from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7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unaudited condensed consolidated financial statements are described in our 2022 Form 10-K. There have been no material changes to our significant accounting policies during the three months ended March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20"/>
        <w:spacing w:after="0" w:line="25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Policies—Recently Adopted Accounting Pronouncements” in Note 2 to our unaudited condensed consolidated financial statements included elsewhere in this Quarterly Report on Form 10-Q for a discussion of recent accounting pronouncements.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March 31, 2023 and December 31, 2022, we had $901.2 million of variable rate debt outstanding under our First Lien Term Loan. Based on the balance outstanding under our First Lien Term Loan as of March 31, 2023, an increase or decrease of 100 basis points in the effective interest rate on the First Lien Term Loan would cause an increase or decrease in interest expense of approximately $9 million over the next 12 months.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March 31, 2023. Based on that evaluation, our management, including the President and Chief Executive Officer and Chief Financial Officer, has concluded that our disclosure controls and procedures were effective as of March 31, 2023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186"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2023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2022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2022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8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tcPr>
          <w:p>
            <w:pPr>
              <w:jc w:val="right"/>
              <w:ind w:right="325"/>
              <w:spacing w:after="0" w:line="155" w:lineRule="exact"/>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3"/>
                <w:szCs w:val="13"/>
                <w:color w:val="auto"/>
              </w:rPr>
            </w:pPr>
          </w:p>
        </w:tc>
        <w:tc>
          <w:tcPr>
            <w:tcW w:w="4520" w:type="dxa"/>
            <w:vAlign w:val="bottom"/>
            <w:tcBorders>
              <w:bottom w:val="single" w:sz="8" w:color="0000FF"/>
            </w:tcBorders>
            <w:gridSpan w:val="3"/>
          </w:tcPr>
          <w:p>
            <w:pPr>
              <w:spacing w:after="0" w:line="155"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Equity Purchase Agreement, dated December 8, 2021, by and among</w:t>
              </w:r>
            </w:hyperlink>
          </w:p>
        </w:tc>
        <w:tc>
          <w:tcPr>
            <w:tcW w:w="240" w:type="dxa"/>
            <w:vAlign w:val="bottom"/>
            <w:gridSpan w:val="4"/>
          </w:tcPr>
          <w:p>
            <w:pPr>
              <w:spacing w:after="0"/>
              <w:rPr>
                <w:sz w:val="13"/>
                <w:szCs w:val="13"/>
                <w:color w:val="auto"/>
              </w:rPr>
            </w:pPr>
          </w:p>
        </w:tc>
        <w:tc>
          <w:tcPr>
            <w:tcW w:w="920" w:type="dxa"/>
            <w:vAlign w:val="bottom"/>
          </w:tcPr>
          <w:p>
            <w:pPr>
              <w:ind w:left="360"/>
              <w:spacing w:after="0" w:line="155" w:lineRule="exact"/>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right"/>
              <w:ind w:right="124"/>
              <w:spacing w:after="0" w:line="155"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right"/>
              <w:ind w:right="284"/>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160" w:type="dxa"/>
            <w:vAlign w:val="bottom"/>
          </w:tcPr>
          <w:p>
            <w:pPr>
              <w:jc w:val="right"/>
              <w:ind w:right="104"/>
              <w:spacing w:after="0" w:line="155" w:lineRule="exact"/>
              <w:rPr>
                <w:sz w:val="20"/>
                <w:szCs w:val="20"/>
                <w:color w:val="auto"/>
              </w:rPr>
            </w:pPr>
            <w:r>
              <w:rPr>
                <w:rFonts w:ascii="Times New Roman" w:cs="Times New Roman" w:eastAsia="Times New Roman" w:hAnsi="Times New Roman"/>
                <w:sz w:val="16"/>
                <w:szCs w:val="16"/>
                <w:color w:val="auto"/>
              </w:rPr>
              <w:t>05/13/2022</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60" w:type="dxa"/>
            <w:vAlign w:val="bottom"/>
            <w:tcBorders>
              <w:bottom w:val="single" w:sz="8" w:color="0000FF"/>
            </w:tcBorders>
            <w:gridSpan w:val="7"/>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Sunshine Acquisition Sub Corp., Clean Streak Ventures, LLC, MDKMH</w:t>
              </w:r>
            </w:hyperlink>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Borders>
              <w:bottom w:val="single" w:sz="8" w:color="0000FF"/>
            </w:tcBorders>
            <w:gridSpan w:val="2"/>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Partners, Inc., Clean Streak Ventures Intermediate Holdco, LLC (the</w:t>
              </w:r>
            </w:hyperlink>
          </w:p>
        </w:tc>
        <w:tc>
          <w:tcPr>
            <w:tcW w:w="28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0000FF"/>
            </w:tcBorders>
            <w:gridSpan w:val="5"/>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“CSV Seller”), MKH Capital Partners Offshore Fund I, LP (the “CSV</w:t>
              </w:r>
            </w:hyperlink>
          </w:p>
        </w:tc>
        <w:tc>
          <w:tcPr>
            <w:tcW w:w="18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Borders>
              <w:bottom w:val="single" w:sz="8" w:color="0000FF"/>
            </w:tcBorders>
            <w:gridSpan w:val="4"/>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Blocker Seller” and together with the CSV Seller, each a “Seller” and</w:t>
              </w:r>
            </w:hyperlink>
          </w:p>
        </w:tc>
        <w:tc>
          <w:tcPr>
            <w:tcW w:w="20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Borders>
              <w:bottom w:val="single" w:sz="8" w:color="0000FF"/>
            </w:tcBorders>
            <w:gridSpan w:val="6"/>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together the “Sellers”), and Clean Streak Ventures Holdco, LLC, as the</w:t>
              </w:r>
            </w:hyperlink>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bottom w:val="single" w:sz="8" w:color="0000EE"/>
            </w:tcBorders>
          </w:tcPr>
          <w:p>
            <w:pPr>
              <w:spacing w:after="0" w:line="18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representative of the Sellers</w:t>
              </w:r>
            </w:hyperlink>
          </w:p>
        </w:tc>
        <w:tc>
          <w:tcPr>
            <w:tcW w:w="288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Certificate of Incorporation of the</w:t>
              </w:r>
            </w:hyperlink>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001-40542</w:t>
            </w: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w:t>
            </w:r>
          </w:p>
        </w:tc>
        <w:tc>
          <w:tcPr>
            <w:tcW w:w="20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06/01/2022</w:t>
            </w: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Company</w:t>
              </w:r>
            </w:hyperlink>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4760" w:type="dxa"/>
            <w:vAlign w:val="bottom"/>
            <w:gridSpan w:val="10"/>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Amended and Restated Bylaws of the Company</w:t>
              </w:r>
            </w:hyperlink>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001-40542</w:t>
            </w: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w:t>
            </w:r>
          </w:p>
        </w:tc>
        <w:tc>
          <w:tcPr>
            <w:tcW w:w="20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07/02/2021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Employment Agreement with Markus Hartmann</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Amended and Restated Car Wash Partners, Inc. Nonqualified Deferred</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Compensation Plan</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Certification of Principal Executive Officer Pursuant to 18 U.S.C. Section</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60" w:type="dxa"/>
            <w:vAlign w:val="bottom"/>
          </w:tcPr>
          <w:p>
            <w:pPr>
              <w:spacing w:after="0" w:line="20" w:lineRule="exact"/>
              <w:rPr>
                <w:sz w:val="1"/>
                <w:szCs w:val="1"/>
                <w:color w:val="auto"/>
              </w:rPr>
            </w:pPr>
          </w:p>
        </w:tc>
        <w:tc>
          <w:tcPr>
            <w:tcW w:w="4760" w:type="dxa"/>
            <w:vAlign w:val="bottom"/>
            <w:gridSpan w:val="10"/>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2"/>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Inline XBRL Instance Document – the instance document does not appear</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2"/>
        </w:trPr>
        <w:tc>
          <w:tcPr>
            <w:tcW w:w="96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 the Interactive Data File because XBRL tags are embedded within the</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0"/>
        </w:trPr>
        <w:tc>
          <w:tcPr>
            <w:tcW w:w="96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0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96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9505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20" w:right="360" w:hanging="512"/>
        <w:spacing w:after="0" w:line="281" w:lineRule="auto"/>
        <w:tabs>
          <w:tab w:leader="none" w:pos="3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undertakes to furnish supplemental copies of any of the omitted schedules upon request by the SEC.</w:t>
      </w:r>
    </w:p>
    <w:p>
      <w:pPr>
        <w:spacing w:after="0" w:line="55" w:lineRule="exact"/>
        <w:rPr>
          <w:sz w:val="20"/>
          <w:szCs w:val="20"/>
          <w:color w:val="auto"/>
        </w:rPr>
      </w:pPr>
    </w:p>
    <w:p>
      <w:pPr>
        <w:ind w:left="5540" w:right="4200" w:hanging="5532"/>
        <w:spacing w:after="0" w:line="40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Mister Car Wash, Inc.</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24"/>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Jedidiah Gold</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232323"/>
        </w:rPr>
        <w:drawing>
          <wp:anchor simplePos="0" relativeHeight="251657728" behindDoc="1" locked="0" layoutInCell="0" allowOverlap="1">
            <wp:simplePos x="0" y="0"/>
            <wp:positionH relativeFrom="page">
              <wp:posOffset>208280</wp:posOffset>
            </wp:positionH>
            <wp:positionV relativeFrom="page">
              <wp:posOffset>88900</wp:posOffset>
            </wp:positionV>
            <wp:extent cx="5497195" cy="5391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497195" cy="539115"/>
                    </a:xfrm>
                    <a:prstGeom prst="rect">
                      <a:avLst/>
                    </a:prstGeom>
                    <a:noFill/>
                  </pic:spPr>
                </pic:pic>
              </a:graphicData>
            </a:graphic>
          </wp:anchor>
        </w:drawing>
        <w:t>Exhibit 10.1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September 28, 2022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F3F3F"/>
        </w:rPr>
        <w:t>Dear Markus Hartmann,</w:t>
      </w:r>
    </w:p>
    <w:p>
      <w:pPr>
        <w:spacing w:after="0" w:line="247" w:lineRule="exact"/>
        <w:rPr>
          <w:sz w:val="20"/>
          <w:szCs w:val="20"/>
          <w:color w:val="auto"/>
        </w:rPr>
      </w:pPr>
    </w:p>
    <w:p>
      <w:pPr>
        <w:ind w:right="20" w:firstLine="4"/>
        <w:spacing w:after="0" w:line="286" w:lineRule="auto"/>
        <w:rPr>
          <w:sz w:val="20"/>
          <w:szCs w:val="20"/>
          <w:color w:val="auto"/>
        </w:rPr>
      </w:pPr>
      <w:r>
        <w:rPr>
          <w:rFonts w:ascii="Times New Roman" w:cs="Times New Roman" w:eastAsia="Times New Roman" w:hAnsi="Times New Roman"/>
          <w:sz w:val="18"/>
          <w:szCs w:val="18"/>
          <w:color w:val="3F3F3F"/>
        </w:rPr>
        <w:t xml:space="preserve">We are pleased to offer you employment as </w:t>
      </w:r>
      <w:r>
        <w:rPr>
          <w:rFonts w:ascii="Times New Roman" w:cs="Times New Roman" w:eastAsia="Times New Roman" w:hAnsi="Times New Roman"/>
          <w:sz w:val="18"/>
          <w:szCs w:val="18"/>
          <w:b w:val="1"/>
          <w:bCs w:val="1"/>
          <w:color w:val="3F3F3F"/>
        </w:rPr>
        <w:t>General Counsel</w:t>
      </w:r>
      <w:r>
        <w:rPr>
          <w:rFonts w:ascii="Times New Roman" w:cs="Times New Roman" w:eastAsia="Times New Roman" w:hAnsi="Times New Roman"/>
          <w:sz w:val="18"/>
          <w:szCs w:val="18"/>
          <w:color w:val="3F3F3F"/>
        </w:rPr>
        <w:t xml:space="preserve"> at Mister Car Wash! We look forward to a tentative start date of October 28, 2022.</w:t>
      </w:r>
    </w:p>
    <w:p>
      <w:pPr>
        <w:spacing w:after="0" w:line="181" w:lineRule="exact"/>
        <w:rPr>
          <w:sz w:val="20"/>
          <w:szCs w:val="20"/>
          <w:color w:val="auto"/>
        </w:rPr>
      </w:pPr>
    </w:p>
    <w:p>
      <w:pPr>
        <w:ind w:firstLine="2"/>
        <w:spacing w:after="0" w:line="286" w:lineRule="auto"/>
        <w:rPr>
          <w:sz w:val="20"/>
          <w:szCs w:val="20"/>
          <w:color w:val="auto"/>
        </w:rPr>
      </w:pPr>
      <w:r>
        <w:rPr>
          <w:rFonts w:ascii="Times New Roman" w:cs="Times New Roman" w:eastAsia="Times New Roman" w:hAnsi="Times New Roman"/>
          <w:sz w:val="18"/>
          <w:szCs w:val="18"/>
          <w:color w:val="3F3F3F"/>
        </w:rPr>
        <w:t xml:space="preserve">Your position is classified as full-time exempt. Your annual salary will be </w:t>
      </w:r>
      <w:r>
        <w:rPr>
          <w:rFonts w:ascii="Times New Roman" w:cs="Times New Roman" w:eastAsia="Times New Roman" w:hAnsi="Times New Roman"/>
          <w:sz w:val="18"/>
          <w:szCs w:val="18"/>
          <w:b w:val="1"/>
          <w:bCs w:val="1"/>
          <w:color w:val="3F3F3F"/>
        </w:rPr>
        <w:t>$350,000,</w:t>
      </w:r>
      <w:r>
        <w:rPr>
          <w:rFonts w:ascii="Times New Roman" w:cs="Times New Roman" w:eastAsia="Times New Roman" w:hAnsi="Times New Roman"/>
          <w:sz w:val="18"/>
          <w:szCs w:val="18"/>
          <w:color w:val="3F3F3F"/>
        </w:rPr>
        <w:t xml:space="preserve"> payable biweekly at a gross rate of $13,461. Your compensation package will also include the following:</w:t>
      </w:r>
    </w:p>
    <w:p>
      <w:pPr>
        <w:spacing w:after="0" w:line="181" w:lineRule="exact"/>
        <w:rPr>
          <w:sz w:val="20"/>
          <w:szCs w:val="20"/>
          <w:color w:val="auto"/>
        </w:rPr>
      </w:pPr>
    </w:p>
    <w:p>
      <w:pPr>
        <w:jc w:val="both"/>
        <w:ind w:left="720" w:right="80" w:hanging="313"/>
        <w:spacing w:after="0" w:line="268" w:lineRule="auto"/>
        <w:tabs>
          <w:tab w:leader="none" w:pos="720" w:val="left"/>
        </w:tabs>
        <w:numPr>
          <w:ilvl w:val="0"/>
          <w:numId w:val="13"/>
        </w:numPr>
        <w:rPr>
          <w:rFonts w:ascii="Times New Roman" w:cs="Times New Roman" w:eastAsia="Times New Roman" w:hAnsi="Times New Roman"/>
          <w:sz w:val="16"/>
          <w:szCs w:val="16"/>
          <w:color w:val="3F3F3F"/>
        </w:rPr>
      </w:pPr>
      <w:r>
        <w:rPr>
          <w:rFonts w:ascii="Times New Roman" w:cs="Times New Roman" w:eastAsia="Times New Roman" w:hAnsi="Times New Roman"/>
          <w:sz w:val="18"/>
          <w:szCs w:val="18"/>
          <w:b w:val="1"/>
          <w:bCs w:val="1"/>
          <w:color w:val="3F3F3F"/>
        </w:rPr>
        <w:t xml:space="preserve">Bonus </w:t>
      </w:r>
      <w:r>
        <w:rPr>
          <w:rFonts w:ascii="Times New Roman" w:cs="Times New Roman" w:eastAsia="Times New Roman" w:hAnsi="Times New Roman"/>
          <w:sz w:val="18"/>
          <w:szCs w:val="18"/>
          <w:color w:val="3F3F3F"/>
        </w:rPr>
        <w:t>– You will be eligible for a target bonus of</w:t>
      </w:r>
      <w:r>
        <w:rPr>
          <w:rFonts w:ascii="Times New Roman" w:cs="Times New Roman" w:eastAsia="Times New Roman" w:hAnsi="Times New Roman"/>
          <w:sz w:val="18"/>
          <w:szCs w:val="18"/>
          <w:b w:val="1"/>
          <w:bCs w:val="1"/>
          <w:color w:val="3F3F3F"/>
        </w:rPr>
        <w:t xml:space="preserve"> forty percent (40%) </w:t>
      </w:r>
      <w:r>
        <w:rPr>
          <w:rFonts w:ascii="Times New Roman" w:cs="Times New Roman" w:eastAsia="Times New Roman" w:hAnsi="Times New Roman"/>
          <w:sz w:val="18"/>
          <w:szCs w:val="18"/>
          <w:color w:val="3F3F3F"/>
        </w:rPr>
        <w:t>of your annual salary, payable after the annual earnings</w:t>
      </w:r>
      <w:r>
        <w:rPr>
          <w:rFonts w:ascii="Times New Roman" w:cs="Times New Roman" w:eastAsia="Times New Roman" w:hAnsi="Times New Roman"/>
          <w:sz w:val="18"/>
          <w:szCs w:val="18"/>
          <w:b w:val="1"/>
          <w:bCs w:val="1"/>
          <w:color w:val="3F3F3F"/>
        </w:rPr>
        <w:t xml:space="preserve"> </w:t>
      </w:r>
      <w:r>
        <w:rPr>
          <w:rFonts w:ascii="Times New Roman" w:cs="Times New Roman" w:eastAsia="Times New Roman" w:hAnsi="Times New Roman"/>
          <w:sz w:val="18"/>
          <w:szCs w:val="18"/>
          <w:color w:val="3F3F3F"/>
        </w:rPr>
        <w:t>release. Bonus payment is contingent upon the company's attainment to our financial plan and your continued employment as of the payment date.</w:t>
      </w:r>
    </w:p>
    <w:p>
      <w:pPr>
        <w:spacing w:after="0" w:line="169" w:lineRule="exact"/>
        <w:rPr>
          <w:rFonts w:ascii="Times New Roman" w:cs="Times New Roman" w:eastAsia="Times New Roman" w:hAnsi="Times New Roman"/>
          <w:sz w:val="16"/>
          <w:szCs w:val="16"/>
          <w:color w:val="3F3F3F"/>
        </w:rPr>
      </w:pPr>
    </w:p>
    <w:p>
      <w:pPr>
        <w:ind w:left="720" w:right="120" w:hanging="299"/>
        <w:spacing w:after="0" w:line="256" w:lineRule="auto"/>
        <w:tabs>
          <w:tab w:leader="none" w:pos="720" w:val="left"/>
        </w:tabs>
        <w:numPr>
          <w:ilvl w:val="1"/>
          <w:numId w:val="13"/>
        </w:numPr>
        <w:rPr>
          <w:rFonts w:ascii="Times New Roman" w:cs="Times New Roman" w:eastAsia="Times New Roman" w:hAnsi="Times New Roman"/>
          <w:sz w:val="16"/>
          <w:szCs w:val="16"/>
          <w:color w:val="3F3F3F"/>
        </w:rPr>
      </w:pPr>
      <w:r>
        <w:rPr>
          <w:rFonts w:ascii="Times New Roman" w:cs="Times New Roman" w:eastAsia="Times New Roman" w:hAnsi="Times New Roman"/>
          <w:sz w:val="18"/>
          <w:szCs w:val="18"/>
          <w:b w:val="1"/>
          <w:bCs w:val="1"/>
          <w:color w:val="3F3F3F"/>
        </w:rPr>
        <w:t xml:space="preserve">Long-Term Incentive </w:t>
      </w:r>
      <w:r>
        <w:rPr>
          <w:rFonts w:ascii="Times New Roman" w:cs="Times New Roman" w:eastAsia="Times New Roman" w:hAnsi="Times New Roman"/>
          <w:sz w:val="18"/>
          <w:szCs w:val="18"/>
          <w:color w:val="3F3F3F"/>
        </w:rPr>
        <w:t>– Subject to approval by the Compensation Committee of the Board of Directors, you will be eligible on</w:t>
      </w:r>
      <w:r>
        <w:rPr>
          <w:rFonts w:ascii="Times New Roman" w:cs="Times New Roman" w:eastAsia="Times New Roman" w:hAnsi="Times New Roman"/>
          <w:sz w:val="18"/>
          <w:szCs w:val="18"/>
          <w:b w:val="1"/>
          <w:bCs w:val="1"/>
          <w:color w:val="3F3F3F"/>
        </w:rPr>
        <w:t xml:space="preserve"> </w:t>
      </w:r>
      <w:r>
        <w:rPr>
          <w:rFonts w:ascii="Times New Roman" w:cs="Times New Roman" w:eastAsia="Times New Roman" w:hAnsi="Times New Roman"/>
          <w:sz w:val="18"/>
          <w:szCs w:val="18"/>
          <w:color w:val="3F3F3F"/>
        </w:rPr>
        <w:t xml:space="preserve">an annual basis for a grant of nonqualified stock options (NQSO) and restricted stock units (RSU) with a value of </w:t>
      </w:r>
      <w:r>
        <w:rPr>
          <w:rFonts w:ascii="Times New Roman" w:cs="Times New Roman" w:eastAsia="Times New Roman" w:hAnsi="Times New Roman"/>
          <w:sz w:val="18"/>
          <w:szCs w:val="18"/>
          <w:b w:val="1"/>
          <w:bCs w:val="1"/>
          <w:color w:val="3F3F3F"/>
        </w:rPr>
        <w:t>$250,000</w:t>
      </w:r>
      <w:r>
        <w:rPr>
          <w:rFonts w:ascii="Times New Roman" w:cs="Times New Roman" w:eastAsia="Times New Roman" w:hAnsi="Times New Roman"/>
          <w:sz w:val="18"/>
          <w:szCs w:val="18"/>
          <w:color w:val="3F3F3F"/>
        </w:rPr>
        <w:t xml:space="preserve"> (subject to proration based on the date of grant) and a three-year vesting period. We anticipate the grant will be split 50/50 between NQSO and RSU. </w:t>
      </w:r>
      <w:r>
        <w:rPr>
          <w:rFonts w:ascii="Times New Roman" w:cs="Times New Roman" w:eastAsia="Times New Roman" w:hAnsi="Times New Roman"/>
          <w:sz w:val="18"/>
          <w:szCs w:val="18"/>
          <w:i w:val="1"/>
          <w:iCs w:val="1"/>
          <w:color w:val="3F3F3F"/>
        </w:rPr>
        <w:t xml:space="preserve">The grant notice will include further details, including eighteen-month noncompetition­ and non-solicitation provisions (meaning that once your employment ends you will be restricted from working in the </w:t>
      </w:r>
      <w:r>
        <w:rPr>
          <w:rFonts w:ascii="Times New Roman" w:cs="Times New Roman" w:eastAsia="Times New Roman" w:hAnsi="Times New Roman"/>
          <w:sz w:val="18"/>
          <w:szCs w:val="18"/>
          <w:i w:val="1"/>
          <w:iCs w:val="1"/>
          <w:color w:val="5D5D5D"/>
        </w:rPr>
        <w:t>car</w:t>
      </w:r>
      <w:r>
        <w:rPr>
          <w:rFonts w:ascii="Times New Roman" w:cs="Times New Roman" w:eastAsia="Times New Roman" w:hAnsi="Times New Roman"/>
          <w:sz w:val="18"/>
          <w:szCs w:val="18"/>
          <w:i w:val="1"/>
          <w:iCs w:val="1"/>
          <w:color w:val="3F3F3F"/>
        </w:rPr>
        <w:t xml:space="preserve"> wash industry and prohibited from soliciting customer</w:t>
      </w:r>
      <w:r>
        <w:rPr>
          <w:rFonts w:ascii="Times New Roman" w:cs="Times New Roman" w:eastAsia="Times New Roman" w:hAnsi="Times New Roman"/>
          <w:sz w:val="18"/>
          <w:szCs w:val="18"/>
          <w:i w:val="1"/>
          <w:iCs w:val="1"/>
          <w:color w:val="707070"/>
        </w:rPr>
        <w:t>s</w:t>
      </w:r>
      <w:r>
        <w:rPr>
          <w:rFonts w:ascii="Times New Roman" w:cs="Times New Roman" w:eastAsia="Times New Roman" w:hAnsi="Times New Roman"/>
          <w:sz w:val="18"/>
          <w:szCs w:val="18"/>
          <w:i w:val="1"/>
          <w:iCs w:val="1"/>
          <w:color w:val="3F3F3F"/>
        </w:rPr>
        <w:t xml:space="preserve"> or employees). The eligibility, valuation, vesting, and other details ore subject to the 2021 Incentive Award Plan and may be modified by the Board of Directors.</w:t>
      </w:r>
    </w:p>
    <w:p>
      <w:pPr>
        <w:spacing w:after="0" w:line="180" w:lineRule="exact"/>
        <w:rPr>
          <w:rFonts w:ascii="Times New Roman" w:cs="Times New Roman" w:eastAsia="Times New Roman" w:hAnsi="Times New Roman"/>
          <w:sz w:val="16"/>
          <w:szCs w:val="16"/>
          <w:color w:val="3F3F3F"/>
        </w:rPr>
      </w:pPr>
    </w:p>
    <w:p>
      <w:pPr>
        <w:ind w:left="720" w:right="260" w:hanging="299"/>
        <w:spacing w:after="0" w:line="286" w:lineRule="auto"/>
        <w:tabs>
          <w:tab w:leader="none" w:pos="720" w:val="left"/>
        </w:tabs>
        <w:numPr>
          <w:ilvl w:val="1"/>
          <w:numId w:val="13"/>
        </w:numPr>
        <w:rPr>
          <w:rFonts w:ascii="Times New Roman" w:cs="Times New Roman" w:eastAsia="Times New Roman" w:hAnsi="Times New Roman"/>
          <w:sz w:val="16"/>
          <w:szCs w:val="16"/>
          <w:color w:val="3F3F3F"/>
        </w:rPr>
      </w:pPr>
      <w:r>
        <w:rPr>
          <w:rFonts w:ascii="Times New Roman" w:cs="Times New Roman" w:eastAsia="Times New Roman" w:hAnsi="Times New Roman"/>
          <w:sz w:val="18"/>
          <w:szCs w:val="18"/>
          <w:b w:val="1"/>
          <w:bCs w:val="1"/>
          <w:color w:val="3F3F3F"/>
        </w:rPr>
        <w:t xml:space="preserve">Relocation Assistance </w:t>
      </w:r>
      <w:r>
        <w:rPr>
          <w:rFonts w:ascii="Times New Roman" w:cs="Times New Roman" w:eastAsia="Times New Roman" w:hAnsi="Times New Roman"/>
          <w:sz w:val="18"/>
          <w:szCs w:val="18"/>
          <w:color w:val="3F3F3F"/>
        </w:rPr>
        <w:t>– You will receive an Executive tier relocation package, which includes a $15,000 lump-sum payment</w:t>
      </w:r>
      <w:r>
        <w:rPr>
          <w:rFonts w:ascii="Times New Roman" w:cs="Times New Roman" w:eastAsia="Times New Roman" w:hAnsi="Times New Roman"/>
          <w:sz w:val="18"/>
          <w:szCs w:val="18"/>
          <w:b w:val="1"/>
          <w:bCs w:val="1"/>
          <w:color w:val="3F3F3F"/>
        </w:rPr>
        <w:t xml:space="preserve"> </w:t>
      </w:r>
      <w:r>
        <w:rPr>
          <w:rFonts w:ascii="Times New Roman" w:cs="Times New Roman" w:eastAsia="Times New Roman" w:hAnsi="Times New Roman"/>
          <w:sz w:val="18"/>
          <w:szCs w:val="18"/>
          <w:color w:val="3F3F3F"/>
        </w:rPr>
        <w:t>and a household goods move with NEI, our relocation partner. See attached for further details.</w:t>
      </w:r>
    </w:p>
    <w:p>
      <w:pPr>
        <w:spacing w:after="0" w:line="153" w:lineRule="exact"/>
        <w:rPr>
          <w:rFonts w:ascii="Times New Roman" w:cs="Times New Roman" w:eastAsia="Times New Roman" w:hAnsi="Times New Roman"/>
          <w:sz w:val="16"/>
          <w:szCs w:val="16"/>
          <w:color w:val="3F3F3F"/>
        </w:rPr>
      </w:pPr>
    </w:p>
    <w:p>
      <w:pPr>
        <w:ind w:left="720" w:right="160" w:hanging="313"/>
        <w:spacing w:after="0" w:line="286" w:lineRule="auto"/>
        <w:tabs>
          <w:tab w:leader="none" w:pos="720" w:val="left"/>
        </w:tabs>
        <w:numPr>
          <w:ilvl w:val="0"/>
          <w:numId w:val="13"/>
        </w:numPr>
        <w:rPr>
          <w:rFonts w:ascii="Times New Roman" w:cs="Times New Roman" w:eastAsia="Times New Roman" w:hAnsi="Times New Roman"/>
          <w:sz w:val="16"/>
          <w:szCs w:val="16"/>
          <w:color w:val="3F3F3F"/>
        </w:rPr>
      </w:pPr>
      <w:r>
        <w:rPr>
          <w:rFonts w:ascii="Times New Roman" w:cs="Times New Roman" w:eastAsia="Times New Roman" w:hAnsi="Times New Roman"/>
          <w:sz w:val="18"/>
          <w:szCs w:val="18"/>
          <w:b w:val="1"/>
          <w:bCs w:val="1"/>
          <w:color w:val="3F3F3F"/>
        </w:rPr>
        <w:t xml:space="preserve">Phone Reimbursement </w:t>
      </w:r>
      <w:r>
        <w:rPr>
          <w:rFonts w:ascii="Times New Roman" w:cs="Times New Roman" w:eastAsia="Times New Roman" w:hAnsi="Times New Roman"/>
          <w:sz w:val="18"/>
          <w:szCs w:val="18"/>
          <w:color w:val="3F3F3F"/>
        </w:rPr>
        <w:t>– You will be eligible for a $100 monthly phone reimbursement, payable on the first paycheck of each</w:t>
      </w:r>
      <w:r>
        <w:rPr>
          <w:rFonts w:ascii="Times New Roman" w:cs="Times New Roman" w:eastAsia="Times New Roman" w:hAnsi="Times New Roman"/>
          <w:sz w:val="18"/>
          <w:szCs w:val="18"/>
          <w:b w:val="1"/>
          <w:bCs w:val="1"/>
          <w:color w:val="3F3F3F"/>
        </w:rPr>
        <w:t xml:space="preserve"> </w:t>
      </w:r>
      <w:r>
        <w:rPr>
          <w:rFonts w:ascii="Times New Roman" w:cs="Times New Roman" w:eastAsia="Times New Roman" w:hAnsi="Times New Roman"/>
          <w:sz w:val="18"/>
          <w:szCs w:val="18"/>
          <w:color w:val="3F3F3F"/>
        </w:rPr>
        <w:t>month.</w:t>
      </w:r>
    </w:p>
    <w:p>
      <w:pPr>
        <w:spacing w:after="0" w:line="180" w:lineRule="exact"/>
        <w:rPr>
          <w:rFonts w:ascii="Times New Roman" w:cs="Times New Roman" w:eastAsia="Times New Roman" w:hAnsi="Times New Roman"/>
          <w:sz w:val="16"/>
          <w:szCs w:val="16"/>
          <w:color w:val="3F3F3F"/>
        </w:rPr>
      </w:pPr>
    </w:p>
    <w:p>
      <w:pPr>
        <w:ind w:left="720" w:hanging="313"/>
        <w:spacing w:after="0" w:line="286" w:lineRule="auto"/>
        <w:tabs>
          <w:tab w:leader="none" w:pos="720" w:val="left"/>
        </w:tabs>
        <w:numPr>
          <w:ilvl w:val="0"/>
          <w:numId w:val="13"/>
        </w:numPr>
        <w:rPr>
          <w:rFonts w:ascii="Times New Roman" w:cs="Times New Roman" w:eastAsia="Times New Roman" w:hAnsi="Times New Roman"/>
          <w:sz w:val="16"/>
          <w:szCs w:val="16"/>
          <w:color w:val="232323"/>
        </w:rPr>
      </w:pPr>
      <w:r>
        <w:rPr>
          <w:rFonts w:ascii="Times New Roman" w:cs="Times New Roman" w:eastAsia="Times New Roman" w:hAnsi="Times New Roman"/>
          <w:sz w:val="18"/>
          <w:szCs w:val="18"/>
          <w:b w:val="1"/>
          <w:bCs w:val="1"/>
          <w:color w:val="232323"/>
        </w:rPr>
        <w:t xml:space="preserve">Benefits </w:t>
      </w:r>
      <w:r>
        <w:rPr>
          <w:rFonts w:ascii="Times New Roman" w:cs="Times New Roman" w:eastAsia="Times New Roman" w:hAnsi="Times New Roman"/>
          <w:sz w:val="18"/>
          <w:szCs w:val="18"/>
          <w:color w:val="232323"/>
        </w:rPr>
        <w:t>– We offer a broad program of employee benefits, including the following. Full descriptions are available at</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benefits.mistercarwash.com.</w:t>
      </w:r>
    </w:p>
    <w:p>
      <w:pPr>
        <w:spacing w:after="0" w:line="153" w:lineRule="exact"/>
        <w:rPr>
          <w:rFonts w:ascii="Times New Roman" w:cs="Times New Roman" w:eastAsia="Times New Roman" w:hAnsi="Times New Roman"/>
          <w:sz w:val="16"/>
          <w:szCs w:val="16"/>
          <w:color w:val="232323"/>
        </w:rPr>
      </w:pPr>
    </w:p>
    <w:p>
      <w:pPr>
        <w:jc w:val="both"/>
        <w:ind w:left="1540" w:right="660" w:hanging="325"/>
        <w:spacing w:after="0" w:line="258" w:lineRule="auto"/>
        <w:tabs>
          <w:tab w:leader="none" w:pos="1540" w:val="left"/>
        </w:tabs>
        <w:numPr>
          <w:ilvl w:val="2"/>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232323"/>
        </w:rPr>
        <w:t>Paid Time Off (PTO)–</w:t>
      </w:r>
      <w:r>
        <w:rPr>
          <w:rFonts w:ascii="Times New Roman" w:cs="Times New Roman" w:eastAsia="Times New Roman" w:hAnsi="Times New Roman"/>
          <w:sz w:val="18"/>
          <w:szCs w:val="18"/>
          <w:color w:val="232323"/>
        </w:rPr>
        <w:t>You will be eligible for the company's open PTO program and are encouraged to</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take the time needed to operate at peak performance subject to your supervisor's approval and your department's business needs.</w:t>
      </w:r>
    </w:p>
    <w:p>
      <w:pPr>
        <w:spacing w:after="0" w:line="2" w:lineRule="exact"/>
        <w:rPr>
          <w:rFonts w:ascii="MS PGothic" w:cs="MS PGothic" w:eastAsia="MS PGothic" w:hAnsi="MS PGothic"/>
          <w:sz w:val="18"/>
          <w:szCs w:val="18"/>
          <w:color w:val="auto"/>
        </w:rPr>
      </w:pPr>
    </w:p>
    <w:p>
      <w:pPr>
        <w:jc w:val="both"/>
        <w:ind w:left="1540" w:right="660" w:hanging="325"/>
        <w:spacing w:after="0" w:line="250" w:lineRule="auto"/>
        <w:tabs>
          <w:tab w:leader="none" w:pos="1540" w:val="left"/>
        </w:tabs>
        <w:numPr>
          <w:ilvl w:val="2"/>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232323"/>
        </w:rPr>
        <w:t>Health Benefits</w:t>
      </w:r>
      <w:r>
        <w:rPr>
          <w:rFonts w:ascii="Times New Roman" w:cs="Times New Roman" w:eastAsia="Times New Roman" w:hAnsi="Times New Roman"/>
          <w:sz w:val="18"/>
          <w:szCs w:val="18"/>
          <w:color w:val="232323"/>
        </w:rPr>
        <w:t>–You will be eligible to participate in the company's medical, dental, vision, life, AD&amp;D,</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and short-term disability plans on the first day of the calendar month following your first 30 days of service.</w:t>
      </w:r>
    </w:p>
    <w:p>
      <w:pPr>
        <w:ind w:left="1540" w:right="660" w:hanging="325"/>
        <w:spacing w:after="0" w:line="250" w:lineRule="auto"/>
        <w:tabs>
          <w:tab w:leader="none" w:pos="1540" w:val="left"/>
        </w:tabs>
        <w:numPr>
          <w:ilvl w:val="2"/>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232323"/>
        </w:rPr>
        <w:t>Paid Leave</w:t>
      </w:r>
      <w:r>
        <w:rPr>
          <w:rFonts w:ascii="Times New Roman" w:cs="Times New Roman" w:eastAsia="Times New Roman" w:hAnsi="Times New Roman"/>
          <w:sz w:val="18"/>
          <w:szCs w:val="18"/>
          <w:color w:val="232323"/>
        </w:rPr>
        <w:t>–Mister Car Wash provides paid parental leave (up to six weeks) upon the birth of a child to</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eligible employees after twelve months of service.</w:t>
      </w:r>
    </w:p>
    <w:p>
      <w:pPr>
        <w:ind w:left="1560" w:hanging="345"/>
        <w:spacing w:after="0" w:line="260" w:lineRule="auto"/>
        <w:tabs>
          <w:tab w:leader="none" w:pos="1560" w:val="left"/>
        </w:tabs>
        <w:numPr>
          <w:ilvl w:val="2"/>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 Mister Car Wash provides a 401(k) retirement plan with a discretionary company match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employees after six months of service.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is contingent upon:</w:t>
      </w:r>
    </w:p>
    <w:p>
      <w:pPr>
        <w:spacing w:after="0" w:line="251" w:lineRule="exact"/>
        <w:rPr>
          <w:sz w:val="20"/>
          <w:szCs w:val="20"/>
          <w:color w:val="auto"/>
        </w:rPr>
      </w:pPr>
    </w:p>
    <w:p>
      <w:pPr>
        <w:ind w:left="540" w:hanging="343"/>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background investigation prior to the start of your employment;</w:t>
      </w:r>
    </w:p>
    <w:p>
      <w:pPr>
        <w:spacing w:after="0" w:line="209" w:lineRule="exact"/>
        <w:rPr>
          <w:sz w:val="20"/>
          <w:szCs w:val="20"/>
          <w:color w:val="auto"/>
        </w:rPr>
      </w:pPr>
    </w:p>
    <w:p>
      <w:pPr>
        <w:ind w:left="2100"/>
        <w:spacing w:after="0"/>
        <w:rPr>
          <w:sz w:val="20"/>
          <w:szCs w:val="20"/>
          <w:color w:val="auto"/>
        </w:rPr>
      </w:pPr>
      <w:r>
        <w:rPr>
          <w:rFonts w:ascii="Calibri" w:cs="Calibri" w:eastAsia="Calibri" w:hAnsi="Calibri"/>
          <w:sz w:val="20"/>
          <w:szCs w:val="20"/>
          <w:color w:val="auto"/>
        </w:rPr>
        <w:t>222 E. 5th St. Tucson, AZ 85705 - www.mistercarwash.com - 520-615-4000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76835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700" w:top="1021" w:right="1179" w:bottom="1440" w:gutter="0" w:footer="0" w:header="0"/>
        </w:sectPr>
      </w:pPr>
    </w:p>
    <w:bookmarkStart w:id="32" w:name="page33"/>
    <w:bookmarkEnd w:id="32"/>
    <w:p>
      <w:pPr>
        <w:jc w:val="both"/>
        <w:ind w:left="540" w:hanging="343"/>
        <w:spacing w:after="0" w:line="265"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your right to work in the United States as demonstrated by your completion of the Form 1-9 upon hire and your submission of acceptable documentation (as noted on the Form 1-9) verifying your identity and work authorization within three days of the start of your employment; and</w:t>
      </w:r>
    </w:p>
    <w:p>
      <w:pPr>
        <w:spacing w:after="0" w:line="204" w:lineRule="exact"/>
        <w:rPr>
          <w:rFonts w:ascii="Times New Roman" w:cs="Times New Roman" w:eastAsia="Times New Roman" w:hAnsi="Times New Roman"/>
          <w:sz w:val="18"/>
          <w:szCs w:val="18"/>
          <w:color w:val="auto"/>
        </w:rPr>
      </w:pPr>
    </w:p>
    <w:p>
      <w:pPr>
        <w:ind w:left="540" w:hanging="254"/>
        <w:spacing w:after="0" w:line="281" w:lineRule="auto"/>
        <w:tabs>
          <w:tab w:leader="none" w:pos="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written acknowledgement within one week of your start date of the Confidential Information and Invention Assignment Agreement.</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Congratulations on behalf of the entire company! </w:t>
      </w:r>
      <w:r>
        <w:rPr>
          <w:rFonts w:ascii="Times New Roman" w:cs="Times New Roman" w:eastAsia="Times New Roman" w:hAnsi="Times New Roman"/>
          <w:sz w:val="18"/>
          <w:szCs w:val="18"/>
          <w:color w:val="auto"/>
        </w:rPr>
        <w:t>We trust that your knowledge, skills, and experience will provide significant value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organization, and we look forward to seeing all that you will accomplish.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128905</wp:posOffset>
            </wp:positionV>
            <wp:extent cx="5205730" cy="4854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5205730" cy="485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20"/>
          <w:szCs w:val="20"/>
          <w:color w:val="auto"/>
        </w:rPr>
        <w:t>222 E. 5th St. Tucson, AZ 85705 - www.mistercarwash.com - 520-615-4000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230505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700" w:top="337" w:right="11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20"/>
        <w:spacing w:after="0"/>
        <w:rPr>
          <w:sz w:val="20"/>
          <w:szCs w:val="20"/>
          <w:color w:val="auto"/>
        </w:rPr>
      </w:pPr>
      <w:r>
        <w:rPr>
          <w:rFonts w:ascii="Arial" w:cs="Arial" w:eastAsia="Arial" w:hAnsi="Arial"/>
          <w:sz w:val="36"/>
          <w:szCs w:val="36"/>
          <w:b w:val="1"/>
          <w:bCs w:val="1"/>
          <w:color w:val="auto"/>
        </w:rPr>
        <w:t>CAR WASH PARTNERS, INC.</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36"/>
          <w:szCs w:val="36"/>
          <w:b w:val="1"/>
          <w:bCs w:val="1"/>
          <w:color w:val="auto"/>
        </w:rPr>
        <w:t>NONQUALIFIED DEFERRED COMPENSATION PLAN</w:t>
      </w:r>
    </w:p>
    <w:p>
      <w:pPr>
        <w:spacing w:after="0" w:line="200" w:lineRule="exact"/>
        <w:rPr>
          <w:sz w:val="20"/>
          <w:szCs w:val="20"/>
          <w:color w:val="auto"/>
        </w:rPr>
      </w:pPr>
    </w:p>
    <w:p>
      <w:pPr>
        <w:spacing w:after="0" w:line="222" w:lineRule="exact"/>
        <w:rPr>
          <w:sz w:val="20"/>
          <w:szCs w:val="20"/>
          <w:color w:val="auto"/>
        </w:rPr>
      </w:pPr>
    </w:p>
    <w:p>
      <w:pPr>
        <w:ind w:left="1000" w:right="320" w:firstLine="220"/>
        <w:spacing w:after="0" w:line="289" w:lineRule="auto"/>
        <w:rPr>
          <w:sz w:val="20"/>
          <w:szCs w:val="20"/>
          <w:color w:val="auto"/>
        </w:rPr>
      </w:pPr>
      <w:r>
        <w:rPr>
          <w:rFonts w:ascii="Arial" w:cs="Arial" w:eastAsia="Arial" w:hAnsi="Arial"/>
          <w:sz w:val="36"/>
          <w:szCs w:val="36"/>
          <w:b w:val="1"/>
          <w:bCs w:val="1"/>
          <w:color w:val="auto"/>
        </w:rPr>
        <w:t>AMENDED AND RESTATED EFFECTIVE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114300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4" w:name="page35"/>
    <w:bookmarkEnd w:id="34"/>
    <w:p>
      <w:pPr>
        <w:ind w:left="1980" w:right="1980" w:firstLine="1373"/>
        <w:spacing w:after="0" w:line="272" w:lineRule="auto"/>
        <w:rPr>
          <w:sz w:val="20"/>
          <w:szCs w:val="20"/>
          <w:color w:val="auto"/>
        </w:rPr>
      </w:pPr>
      <w:r>
        <w:rPr>
          <w:rFonts w:ascii="Arial" w:cs="Arial" w:eastAsia="Arial" w:hAnsi="Arial"/>
          <w:sz w:val="22"/>
          <w:szCs w:val="22"/>
          <w:b w:val="1"/>
          <w:bCs w:val="1"/>
          <w:color w:val="auto"/>
        </w:rPr>
        <w:t>CAR WASH PARTNERS, INC. NONQUALIFIED DEFERRED COMPENSATION PLAN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480" w:type="dxa"/>
            <w:vAlign w:val="bottom"/>
            <w:gridSpan w:val="3"/>
          </w:tcPr>
          <w:p>
            <w:pPr>
              <w:spacing w:after="0"/>
              <w:rPr>
                <w:sz w:val="20"/>
                <w:szCs w:val="20"/>
                <w:color w:val="auto"/>
              </w:rPr>
            </w:pPr>
            <w:r>
              <w:rPr>
                <w:rFonts w:ascii="Arial" w:cs="Arial" w:eastAsia="Arial" w:hAnsi="Arial"/>
                <w:sz w:val="22"/>
                <w:szCs w:val="22"/>
                <w:b w:val="1"/>
                <w:bCs w:val="1"/>
                <w:color w:val="auto"/>
              </w:rPr>
              <w:t>Table of Contents</w:t>
            </w:r>
          </w:p>
        </w:tc>
      </w:tr>
      <w:tr>
        <w:trPr>
          <w:trHeight w:val="465"/>
        </w:trPr>
        <w:tc>
          <w:tcPr>
            <w:tcW w:w="22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22"/>
                <w:szCs w:val="22"/>
                <w:b w:val="1"/>
                <w:bCs w:val="1"/>
                <w:color w:val="auto"/>
              </w:rPr>
              <w:t>Article   Title Page</w:t>
            </w:r>
          </w:p>
        </w:tc>
        <w:tc>
          <w:tcPr>
            <w:tcW w:w="18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520"/>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I</w:t>
            </w:r>
          </w:p>
        </w:tc>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22"/>
                <w:szCs w:val="22"/>
                <w:color w:val="auto"/>
              </w:rPr>
              <w:t>Definitions</w:t>
            </w:r>
          </w:p>
        </w:tc>
        <w:tc>
          <w:tcPr>
            <w:tcW w:w="1880" w:type="dxa"/>
            <w:vAlign w:val="bottom"/>
          </w:tcPr>
          <w:p>
            <w:pPr>
              <w:jc w:val="right"/>
              <w:ind w:right="1432"/>
              <w:spacing w:after="0"/>
              <w:rPr>
                <w:sz w:val="20"/>
                <w:szCs w:val="20"/>
                <w:color w:val="auto"/>
              </w:rPr>
            </w:pPr>
            <w:r>
              <w:rPr>
                <w:rFonts w:ascii="Arial" w:cs="Arial" w:eastAsia="Arial" w:hAnsi="Arial"/>
                <w:sz w:val="22"/>
                <w:szCs w:val="22"/>
                <w:color w:val="auto"/>
              </w:rPr>
              <w:t>2</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II</w:t>
            </w:r>
          </w:p>
        </w:tc>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Administration 9</w:t>
            </w: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III</w:t>
            </w:r>
          </w:p>
        </w:tc>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Eligibility and Participation    11</w:t>
            </w: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IV</w:t>
            </w:r>
          </w:p>
        </w:tc>
        <w:tc>
          <w:tcPr>
            <w:tcW w:w="4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2"/>
                <w:szCs w:val="22"/>
                <w:color w:val="auto"/>
              </w:rPr>
              <w:t>Deferral Elections and Company Contributions   12</w:t>
            </w:r>
          </w:p>
        </w:tc>
      </w:tr>
      <w:tr>
        <w:trPr>
          <w:trHeight w:val="364"/>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V</w:t>
            </w:r>
          </w:p>
        </w:tc>
        <w:tc>
          <w:tcPr>
            <w:tcW w:w="4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2"/>
                <w:szCs w:val="22"/>
                <w:color w:val="auto"/>
              </w:rPr>
              <w:t>Participant Accounts and Investment of Deferred Amounts  14</w:t>
            </w:r>
          </w:p>
        </w:tc>
      </w:tr>
      <w:tr>
        <w:trPr>
          <w:trHeight w:val="364"/>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VI</w:t>
            </w:r>
          </w:p>
        </w:tc>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Plan Benefits and Distributions</w:t>
            </w:r>
          </w:p>
        </w:tc>
        <w:tc>
          <w:tcPr>
            <w:tcW w:w="1660" w:type="dxa"/>
            <w:vAlign w:val="bottom"/>
          </w:tcPr>
          <w:p>
            <w:pPr>
              <w:jc w:val="right"/>
              <w:ind w:right="1192"/>
              <w:spacing w:after="0"/>
              <w:rPr>
                <w:sz w:val="20"/>
                <w:szCs w:val="20"/>
                <w:color w:val="auto"/>
              </w:rPr>
            </w:pPr>
            <w:r>
              <w:rPr>
                <w:rFonts w:ascii="Arial" w:cs="Arial" w:eastAsia="Arial" w:hAnsi="Arial"/>
                <w:sz w:val="22"/>
                <w:szCs w:val="22"/>
                <w:color w:val="auto"/>
              </w:rPr>
              <w:t>16</w:t>
            </w:r>
          </w:p>
        </w:tc>
        <w:tc>
          <w:tcPr>
            <w:tcW w:w="468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VII</w:t>
            </w:r>
          </w:p>
        </w:tc>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Amendment and Termination 20</w:t>
            </w: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rPr>
              <w:t>ARTICLE VIII</w:t>
            </w:r>
          </w:p>
        </w:tc>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Miscellaneous 21</w:t>
            </w: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17"/>
        </w:trPr>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5" w:name="page36"/>
    <w:bookmarkEnd w:id="35"/>
    <w:p>
      <w:pPr>
        <w:ind w:left="1900" w:right="1860" w:firstLine="1373"/>
        <w:spacing w:after="0" w:line="272" w:lineRule="auto"/>
        <w:rPr>
          <w:sz w:val="20"/>
          <w:szCs w:val="20"/>
          <w:color w:val="auto"/>
        </w:rPr>
      </w:pPr>
      <w:r>
        <w:rPr>
          <w:rFonts w:ascii="Arial" w:cs="Arial" w:eastAsia="Arial" w:hAnsi="Arial"/>
          <w:sz w:val="22"/>
          <w:szCs w:val="22"/>
          <w:b w:val="1"/>
          <w:bCs w:val="1"/>
          <w:color w:val="auto"/>
        </w:rPr>
        <w:t>CAR WASH PARTNERS, INC. NONQUALIFIED DEFERRED COMPENSATION PLAN</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PURPOSE</w:t>
      </w:r>
    </w:p>
    <w:p>
      <w:pPr>
        <w:spacing w:after="0" w:line="234" w:lineRule="exact"/>
        <w:rPr>
          <w:sz w:val="20"/>
          <w:szCs w:val="20"/>
          <w:color w:val="auto"/>
        </w:rPr>
      </w:pPr>
    </w:p>
    <w:p>
      <w:pPr>
        <w:jc w:val="both"/>
        <w:ind w:left="140" w:firstLine="1498"/>
        <w:spacing w:after="0" w:line="235" w:lineRule="auto"/>
        <w:rPr>
          <w:sz w:val="20"/>
          <w:szCs w:val="20"/>
          <w:color w:val="auto"/>
        </w:rPr>
      </w:pPr>
      <w:r>
        <w:rPr>
          <w:rFonts w:ascii="Arial" w:cs="Arial" w:eastAsia="Arial" w:hAnsi="Arial"/>
          <w:sz w:val="22"/>
          <w:szCs w:val="22"/>
          <w:color w:val="auto"/>
        </w:rPr>
        <w:t>Car Wash Partners, Inc. (the "Company") hereby amends and restates the Mister. Car Wash Deferred Compensation Plan (the "Plan") effective as of January 1, 2022, to retain and reward a select group of management or highly compensated employees of the Company. The Plan is an unfunded plan established and maintained for the primary purpose of providing certain key employees who contribute or who are expected to contribute substantially to the success of the Company with the opportunity to defer the receipt of compensation. The Plan is intended to comply in all respects with Code § 409A and those provisions of ERISA applicable to an unfunded plan maintained primarily to provide deferred compensation benefits for a select group of “management or highly compensated employees.</w:t>
      </w:r>
    </w:p>
    <w:p>
      <w:pPr>
        <w:sectPr>
          <w:pgSz w:w="11900" w:h="16838" w:orient="portrait"/>
          <w:cols w:equalWidth="0" w:num="1">
            <w:col w:w="11040"/>
          </w:cols>
          <w:pgMar w:left="400" w:top="178" w:right="459" w:bottom="1440" w:gutter="0" w:footer="0" w:header="0"/>
        </w:sect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WHEREAS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hanging="807"/>
        <w:spacing w:after="0" w:line="244" w:lineRule="auto"/>
        <w:rPr>
          <w:sz w:val="20"/>
          <w:szCs w:val="20"/>
          <w:color w:val="auto"/>
        </w:rPr>
      </w:pPr>
      <w:r>
        <w:rPr>
          <w:rFonts w:ascii="Arial" w:cs="Arial" w:eastAsia="Arial" w:hAnsi="Arial"/>
          <w:sz w:val="22"/>
          <w:szCs w:val="22"/>
          <w:color w:val="auto"/>
        </w:rPr>
        <w:t>The Company has maintained its existing plan in the form of an adoption agreement noting chosen alternatives for provisions outlined in a generic deferred compensation agreement since the inception of the Plan; and</w:t>
      </w:r>
    </w:p>
    <w:p>
      <w:pPr>
        <w:spacing w:after="0" w:line="199" w:lineRule="exact"/>
        <w:rPr>
          <w:sz w:val="20"/>
          <w:szCs w:val="20"/>
          <w:color w:val="auto"/>
        </w:rPr>
      </w:pPr>
    </w:p>
    <w:p>
      <w:pPr>
        <w:sectPr>
          <w:pgSz w:w="11900" w:h="16838" w:orient="portrait"/>
          <w:cols w:equalWidth="0" w:num="2">
            <w:col w:w="1660" w:space="720"/>
            <w:col w:w="8660"/>
          </w:cols>
          <w:pgMar w:left="400" w:top="178" w:right="459" w:bottom="1440" w:gutter="0" w:footer="0" w:header="0"/>
          <w:type w:val="continuous"/>
        </w:sectPr>
      </w:pPr>
    </w:p>
    <w:p>
      <w:pPr>
        <w:ind w:left="140"/>
        <w:spacing w:after="0"/>
        <w:rPr>
          <w:sz w:val="20"/>
          <w:szCs w:val="20"/>
          <w:color w:val="auto"/>
        </w:rPr>
      </w:pPr>
      <w:r>
        <w:rPr>
          <w:rFonts w:ascii="Arial" w:cs="Arial" w:eastAsia="Arial" w:hAnsi="Arial"/>
          <w:sz w:val="20"/>
          <w:szCs w:val="20"/>
          <w:color w:val="auto"/>
        </w:rPr>
        <w:t>WHEREAS</w:t>
      </w:r>
    </w:p>
    <w:p>
      <w:pPr>
        <w:spacing w:after="0" w:line="20" w:lineRule="exact"/>
        <w:rPr>
          <w:sz w:val="20"/>
          <w:szCs w:val="20"/>
          <w:color w:val="auto"/>
        </w:rPr>
      </w:pPr>
      <w:r>
        <w:rPr>
          <w:sz w:val="20"/>
          <w:szCs w:val="20"/>
          <w:color w:val="auto"/>
        </w:rPr>
        <w:br w:type="column"/>
      </w:r>
    </w:p>
    <w:p>
      <w:pPr>
        <w:ind w:right="20" w:hanging="807"/>
        <w:spacing w:after="0" w:line="259" w:lineRule="auto"/>
        <w:rPr>
          <w:sz w:val="20"/>
          <w:szCs w:val="20"/>
          <w:color w:val="auto"/>
        </w:rPr>
      </w:pPr>
      <w:r>
        <w:rPr>
          <w:rFonts w:ascii="Arial" w:cs="Arial" w:eastAsia="Arial" w:hAnsi="Arial"/>
          <w:sz w:val="22"/>
          <w:szCs w:val="22"/>
          <w:color w:val="auto"/>
        </w:rPr>
        <w:t>The Company is authorized to amend provisions of the Plan under Article 11.8 of the original Plan Document; and</w:t>
      </w:r>
    </w:p>
    <w:p>
      <w:pPr>
        <w:spacing w:after="0" w:line="182" w:lineRule="exact"/>
        <w:rPr>
          <w:sz w:val="20"/>
          <w:szCs w:val="20"/>
          <w:color w:val="auto"/>
        </w:rPr>
      </w:pPr>
    </w:p>
    <w:p>
      <w:pPr>
        <w:sectPr>
          <w:pgSz w:w="11900" w:h="16838" w:orient="portrait"/>
          <w:cols w:equalWidth="0" w:num="2">
            <w:col w:w="1660" w:space="720"/>
            <w:col w:w="8660"/>
          </w:cols>
          <w:pgMar w:left="400" w:top="178" w:right="459" w:bottom="1440" w:gutter="0" w:footer="0" w:header="0"/>
          <w:type w:val="continuous"/>
        </w:sectPr>
      </w:pPr>
    </w:p>
    <w:p>
      <w:pPr>
        <w:ind w:left="140"/>
        <w:spacing w:after="0"/>
        <w:rPr>
          <w:sz w:val="20"/>
          <w:szCs w:val="20"/>
          <w:color w:val="auto"/>
        </w:rPr>
      </w:pPr>
      <w:r>
        <w:rPr>
          <w:rFonts w:ascii="Arial" w:cs="Arial" w:eastAsia="Arial" w:hAnsi="Arial"/>
          <w:sz w:val="20"/>
          <w:szCs w:val="20"/>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The Company wishes to update and clarify certain provisions of the Plan; and</w:t>
      </w:r>
    </w:p>
    <w:p>
      <w:pPr>
        <w:spacing w:after="0" w:line="200" w:lineRule="exact"/>
        <w:rPr>
          <w:sz w:val="20"/>
          <w:szCs w:val="20"/>
          <w:color w:val="auto"/>
        </w:rPr>
      </w:pPr>
    </w:p>
    <w:p>
      <w:pPr>
        <w:sectPr>
          <w:pgSz w:w="11900" w:h="16838" w:orient="portrait"/>
          <w:cols w:equalWidth="0" w:num="2">
            <w:col w:w="1220" w:space="360"/>
            <w:col w:w="9460"/>
          </w:cols>
          <w:pgMar w:left="400" w:top="178" w:right="459" w:bottom="1440" w:gutter="0" w:footer="0" w:header="0"/>
          <w:type w:val="continuous"/>
        </w:sectPr>
      </w:pPr>
    </w:p>
    <w:p>
      <w:pPr>
        <w:spacing w:after="0" w:line="5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WHEREAS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20" w:hanging="807"/>
        <w:spacing w:after="0" w:line="259" w:lineRule="auto"/>
        <w:rPr>
          <w:sz w:val="20"/>
          <w:szCs w:val="20"/>
          <w:color w:val="auto"/>
        </w:rPr>
      </w:pPr>
      <w:r>
        <w:rPr>
          <w:rFonts w:ascii="Arial" w:cs="Arial" w:eastAsia="Arial" w:hAnsi="Arial"/>
          <w:sz w:val="22"/>
          <w:szCs w:val="22"/>
          <w:color w:val="auto"/>
        </w:rPr>
        <w:t>The Company wishes to incorporate the details contained in the Adoption Agreement directly into the language of a Restated Plan Document;</w:t>
      </w:r>
    </w:p>
    <w:p>
      <w:pPr>
        <w:spacing w:after="0" w:line="182" w:lineRule="exact"/>
        <w:rPr>
          <w:sz w:val="20"/>
          <w:szCs w:val="20"/>
          <w:color w:val="auto"/>
        </w:rPr>
      </w:pPr>
    </w:p>
    <w:p>
      <w:pPr>
        <w:sectPr>
          <w:pgSz w:w="11900" w:h="16838" w:orient="portrait"/>
          <w:cols w:equalWidth="0" w:num="2">
            <w:col w:w="1660" w:space="720"/>
            <w:col w:w="8660"/>
          </w:cols>
          <w:pgMar w:left="400" w:top="178" w:right="45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THEREFORE The Company hereby amends and restates as follows, effective on January 1, 2022.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8" w:right="459" w:bottom="1440" w:gutter="0" w:footer="0" w:header="0"/>
          <w:type w:val="continuous"/>
        </w:sectPr>
      </w:pPr>
    </w:p>
    <w:bookmarkStart w:id="36" w:name="page37"/>
    <w:bookmarkEnd w:id="36"/>
    <w:p>
      <w:pPr>
        <w:jc w:val="center"/>
        <w:ind w:right="-119"/>
        <w:spacing w:after="0"/>
        <w:rPr>
          <w:sz w:val="20"/>
          <w:szCs w:val="20"/>
          <w:color w:val="auto"/>
        </w:rPr>
      </w:pPr>
      <w:r>
        <w:rPr>
          <w:rFonts w:ascii="Arial" w:cs="Arial" w:eastAsia="Arial" w:hAnsi="Arial"/>
          <w:sz w:val="22"/>
          <w:szCs w:val="22"/>
          <w:b w:val="1"/>
          <w:bCs w:val="1"/>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313" w:lineRule="exact"/>
        <w:rPr>
          <w:sz w:val="20"/>
          <w:szCs w:val="20"/>
          <w:color w:val="auto"/>
        </w:rPr>
      </w:pPr>
    </w:p>
    <w:p>
      <w:pPr>
        <w:jc w:val="both"/>
        <w:ind w:left="1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or "Accounts</w:t>
      </w:r>
      <w:r>
        <w:rPr>
          <w:rFonts w:ascii="Arial" w:cs="Arial" w:eastAsia="Arial" w:hAnsi="Arial"/>
          <w:sz w:val="22"/>
          <w:szCs w:val="22"/>
          <w:b w:val="1"/>
          <w:bCs w:val="1"/>
          <w:color w:val="auto"/>
        </w:rPr>
        <w:t>"</w:t>
      </w:r>
      <w:r>
        <w:rPr>
          <w:rFonts w:ascii="Arial" w:cs="Arial" w:eastAsia="Arial" w:hAnsi="Arial"/>
          <w:sz w:val="22"/>
          <w:szCs w:val="22"/>
          <w:color w:val="auto"/>
        </w:rPr>
        <w:t xml:space="preserve"> means, with respect to any Participant, a bookkeeping entry used as a measurement and determination of the amounts to be paid to a Participant, or his or her designated Beneficiary, pursuant to this Plan and subject to such limits, rules and procedures as the Committee from time to time may adopt under this Plan. The Committee and the Record Keeper may establish and use sub-accounts and other record keeping entries with respect to any Participant's Account including without limitation any Deferral Account, Participant, Company Contribution Account and Company Discretionary Account applicable to such Participant and accordance with Article V.</w:t>
      </w:r>
    </w:p>
    <w:p>
      <w:pPr>
        <w:spacing w:after="0" w:line="214" w:lineRule="exact"/>
        <w:rPr>
          <w:sz w:val="20"/>
          <w:szCs w:val="20"/>
          <w:color w:val="auto"/>
        </w:rPr>
      </w:pPr>
    </w:p>
    <w:p>
      <w:pPr>
        <w:jc w:val="both"/>
        <w:ind w:left="140"/>
        <w:spacing w:after="0" w:line="238" w:lineRule="auto"/>
        <w:rPr>
          <w:sz w:val="20"/>
          <w:szCs w:val="20"/>
          <w:color w:val="auto"/>
        </w:rPr>
      </w:pPr>
      <w:r>
        <w:rPr>
          <w:rFonts w:ascii="Arial" w:cs="Arial" w:eastAsia="Arial" w:hAnsi="Arial"/>
          <w:sz w:val="22"/>
          <w:szCs w:val="22"/>
          <w:b w:val="1"/>
          <w:bCs w:val="1"/>
          <w:color w:val="auto"/>
        </w:rPr>
        <w:t xml:space="preserve">“Account Balance” </w:t>
      </w:r>
      <w:r>
        <w:rPr>
          <w:rFonts w:ascii="Arial" w:cs="Arial" w:eastAsia="Arial" w:hAnsi="Arial"/>
          <w:sz w:val="22"/>
          <w:szCs w:val="22"/>
          <w:color w:val="auto"/>
        </w:rPr>
        <w:t>means, with respect to any Participant at any particular time, the sum at such time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(i) Deferral Account balance, (ii) Company Matching Account balance and (iii) Company Discretionary Account balance. The Account Balance shall be a bookkeeping entry only and shall be utilized solely as a measurement and determination of the amounts to be paid to a Participant, or his or her designated Beneficiary, pursuant to this Plan.</w:t>
      </w:r>
    </w:p>
    <w:p>
      <w:pPr>
        <w:spacing w:after="0" w:line="215"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 corporation, partnership, limited liability company or other entity that is required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together with the Company, as a single employer under</w:t>
      </w:r>
    </w:p>
    <w:p>
      <w:pPr>
        <w:spacing w:after="0" w:line="1" w:lineRule="exact"/>
        <w:rPr>
          <w:sz w:val="20"/>
          <w:szCs w:val="20"/>
          <w:color w:val="auto"/>
        </w:rPr>
      </w:pPr>
    </w:p>
    <w:p>
      <w:pPr>
        <w:jc w:val="both"/>
        <w:ind w:left="140"/>
        <w:spacing w:after="0" w:line="230" w:lineRule="auto"/>
        <w:rPr>
          <w:sz w:val="20"/>
          <w:szCs w:val="20"/>
          <w:color w:val="auto"/>
        </w:rPr>
      </w:pPr>
      <w:r>
        <w:rPr>
          <w:rFonts w:ascii="Arial" w:cs="Arial" w:eastAsia="Arial" w:hAnsi="Arial"/>
          <w:sz w:val="22"/>
          <w:szCs w:val="22"/>
          <w:color w:val="auto"/>
        </w:rPr>
        <w:t>§414(b) of the Code (employees of controlled group of Companies) or §414(c) of the Code (employees of partnerships or limited liability companies under common control). For purposes of determining a controlled group of Companies under §414(b) of the Code, the language "at least 50 percent" shall be used instead of "at least 80 percent" each place it appears in §1563(a)(1), (2), and (3) of the Code. For purposes of determining trades or businesses that are under common control for purposes of</w:t>
      </w:r>
    </w:p>
    <w:p>
      <w:pPr>
        <w:spacing w:after="0" w:line="1" w:lineRule="exact"/>
        <w:rPr>
          <w:sz w:val="20"/>
          <w:szCs w:val="20"/>
          <w:color w:val="auto"/>
        </w:rPr>
      </w:pPr>
    </w:p>
    <w:p>
      <w:pPr>
        <w:jc w:val="both"/>
        <w:ind w:left="140"/>
        <w:spacing w:after="0" w:line="236" w:lineRule="auto"/>
        <w:rPr>
          <w:sz w:val="20"/>
          <w:szCs w:val="20"/>
          <w:color w:val="auto"/>
        </w:rPr>
      </w:pPr>
      <w:r>
        <w:rPr>
          <w:rFonts w:ascii="Arial" w:cs="Arial" w:eastAsia="Arial" w:hAnsi="Arial"/>
          <w:sz w:val="22"/>
          <w:szCs w:val="22"/>
          <w:color w:val="auto"/>
        </w:rPr>
        <w:t>§414(c) of the Code, "at least 50 percent" shall be used instead of "at least 80 percent" each place it appears in Treasury Regulation §1 .414(c)-2. An entity shall not be considered an "Affiliate" for any period of time prior to satisfying the controlled group or common control tests described above.</w:t>
      </w:r>
    </w:p>
    <w:p>
      <w:pPr>
        <w:spacing w:after="0" w:line="203" w:lineRule="exact"/>
        <w:rPr>
          <w:sz w:val="20"/>
          <w:szCs w:val="20"/>
          <w:color w:val="auto"/>
        </w:rPr>
      </w:pPr>
    </w:p>
    <w:p>
      <w:pPr>
        <w:jc w:val="both"/>
        <w:ind w:left="140"/>
        <w:spacing w:after="0" w:line="260" w:lineRule="auto"/>
        <w:rPr>
          <w:sz w:val="20"/>
          <w:szCs w:val="20"/>
          <w:color w:val="auto"/>
        </w:rPr>
      </w:pPr>
      <w:r>
        <w:rPr>
          <w:rFonts w:ascii="Arial" w:cs="Arial" w:eastAsia="Arial" w:hAnsi="Arial"/>
          <w:sz w:val="22"/>
          <w:szCs w:val="22"/>
          <w:b w:val="1"/>
          <w:bCs w:val="1"/>
          <w:color w:val="auto"/>
        </w:rPr>
        <w:t xml:space="preserve">"AnnuaI Company Discretionary Amount" </w:t>
      </w:r>
      <w:r>
        <w:rPr>
          <w:rFonts w:ascii="Arial" w:cs="Arial" w:eastAsia="Arial" w:hAnsi="Arial"/>
          <w:sz w:val="22"/>
          <w:szCs w:val="22"/>
          <w:color w:val="auto"/>
        </w:rPr>
        <w:t>means the benefit amount, if any, for any one Plan Year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for a Participant in accordance with Article IV (c)(1).</w:t>
      </w:r>
    </w:p>
    <w:p>
      <w:pPr>
        <w:spacing w:after="0" w:line="194" w:lineRule="exact"/>
        <w:rPr>
          <w:sz w:val="20"/>
          <w:szCs w:val="20"/>
          <w:color w:val="auto"/>
        </w:rPr>
      </w:pPr>
    </w:p>
    <w:p>
      <w:pPr>
        <w:jc w:val="both"/>
        <w:ind w:left="140" w:right="20"/>
        <w:spacing w:after="0" w:line="260" w:lineRule="auto"/>
        <w:rPr>
          <w:sz w:val="20"/>
          <w:szCs w:val="20"/>
          <w:color w:val="auto"/>
        </w:rPr>
      </w:pPr>
      <w:r>
        <w:rPr>
          <w:rFonts w:ascii="Arial" w:cs="Arial" w:eastAsia="Arial" w:hAnsi="Arial"/>
          <w:sz w:val="22"/>
          <w:szCs w:val="22"/>
          <w:b w:val="1"/>
          <w:bCs w:val="1"/>
          <w:color w:val="auto"/>
        </w:rPr>
        <w:t xml:space="preserve">"Annual Company Matching Amount" </w:t>
      </w:r>
      <w:r>
        <w:rPr>
          <w:rFonts w:ascii="Arial" w:cs="Arial" w:eastAsia="Arial" w:hAnsi="Arial"/>
          <w:sz w:val="22"/>
          <w:szCs w:val="22"/>
          <w:color w:val="auto"/>
        </w:rPr>
        <w:t>means the benefit amount, if any, for any one Plan Year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for a Participant in accordance with Article IV (c)(2).</w:t>
      </w:r>
    </w:p>
    <w:p>
      <w:pPr>
        <w:spacing w:after="0" w:line="194" w:lineRule="exact"/>
        <w:rPr>
          <w:sz w:val="20"/>
          <w:szCs w:val="20"/>
          <w:color w:val="auto"/>
        </w:rPr>
      </w:pPr>
    </w:p>
    <w:p>
      <w:pPr>
        <w:jc w:val="both"/>
        <w:ind w:left="140"/>
        <w:spacing w:after="0" w:line="282"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means base salary earned with respect to services performed and payable in cash, exclusive of</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following: bonuses, overtime, incentive payments and other performance-based forms of compensation, director and other special fees, expense allowances and reimbursements, severance. and any other forms</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8" w:right="459" w:bottom="1440" w:gutter="0" w:footer="0" w:header="0"/>
        </w:sectPr>
      </w:pPr>
    </w:p>
    <w:bookmarkStart w:id="37" w:name="page38"/>
    <w:bookmarkEnd w:id="37"/>
    <w:p>
      <w:pPr>
        <w:jc w:val="both"/>
        <w:ind w:left="140"/>
        <w:spacing w:after="0" w:line="244" w:lineRule="auto"/>
        <w:rPr>
          <w:sz w:val="20"/>
          <w:szCs w:val="20"/>
          <w:color w:val="auto"/>
        </w:rPr>
      </w:pPr>
      <w:r>
        <w:rPr>
          <w:rFonts w:ascii="Arial" w:cs="Arial" w:eastAsia="Arial" w:hAnsi="Arial"/>
          <w:sz w:val="22"/>
          <w:szCs w:val="22"/>
          <w:color w:val="auto"/>
        </w:rPr>
        <w:t>of compensation, earnings or payments that are not regular in frequency and form (before reductions for, contributions to or deferrals under this Plan or any other profit sharing, 401(k), pension, deferred compensation or benefit plan sponsored by the Company or any Affiliate).</w:t>
      </w:r>
    </w:p>
    <w:p>
      <w:pPr>
        <w:spacing w:after="0" w:line="211" w:lineRule="exact"/>
        <w:rPr>
          <w:sz w:val="20"/>
          <w:szCs w:val="20"/>
          <w:color w:val="auto"/>
        </w:rPr>
      </w:pPr>
    </w:p>
    <w:p>
      <w:pPr>
        <w:jc w:val="both"/>
        <w:ind w:left="140" w:right="20"/>
        <w:spacing w:after="0" w:line="260" w:lineRule="auto"/>
        <w:rPr>
          <w:sz w:val="20"/>
          <w:szCs w:val="20"/>
          <w:color w:val="auto"/>
        </w:rPr>
      </w:pP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one or more persons, trusts, estates, or other entities, designated in accordance with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VI(g) that are entitled to receive benefits under this Plan upon the death of a Participant.</w:t>
      </w:r>
    </w:p>
    <w:p>
      <w:pPr>
        <w:spacing w:after="0" w:line="194"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color w:val="auto"/>
        </w:rPr>
        <w:t xml:space="preserve">"Beneficiary Designation Form" </w:t>
      </w:r>
      <w:r>
        <w:rPr>
          <w:rFonts w:ascii="Arial" w:cs="Arial" w:eastAsia="Arial" w:hAnsi="Arial"/>
          <w:sz w:val="22"/>
          <w:szCs w:val="22"/>
          <w:color w:val="auto"/>
        </w:rPr>
        <w:t>means the form established from time to time by the Committee that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completes, signs and returns to the Company to designate one or more Beneficiaries. Beneficiary Designation Forms may be completed and/or signed using such online systems and other electronic means as the Committee or Record Keeper from time to time may designate for such purpose.</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 or "Board of Directors</w:t>
      </w:r>
      <w:r>
        <w:rPr>
          <w:rFonts w:ascii="Arial" w:cs="Arial" w:eastAsia="Arial" w:hAnsi="Arial"/>
          <w:sz w:val="22"/>
          <w:szCs w:val="22"/>
          <w:color w:val="auto"/>
        </w:rPr>
        <w:t>" shall mean the board of directors of the Company.</w:t>
      </w:r>
    </w:p>
    <w:p>
      <w:pPr>
        <w:spacing w:after="0" w:line="246"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color w:val="auto"/>
        </w:rPr>
        <w:t xml:space="preserve">"Bonus" </w:t>
      </w:r>
      <w:r>
        <w:rPr>
          <w:rFonts w:ascii="Arial" w:cs="Arial" w:eastAsia="Arial" w:hAnsi="Arial"/>
          <w:sz w:val="22"/>
          <w:szCs w:val="22"/>
          <w:color w:val="auto"/>
        </w:rPr>
        <w:t>means any compensation relating to services performed that is granted or awarded apart from Base</w:t>
      </w:r>
      <w:r>
        <w:rPr>
          <w:rFonts w:ascii="Arial" w:cs="Arial" w:eastAsia="Arial" w:hAnsi="Arial"/>
          <w:sz w:val="22"/>
          <w:szCs w:val="22"/>
          <w:b w:val="1"/>
          <w:bCs w:val="1"/>
          <w:color w:val="auto"/>
        </w:rPr>
        <w:t xml:space="preserve"> </w:t>
      </w:r>
      <w:r>
        <w:rPr>
          <w:rFonts w:ascii="Arial" w:cs="Arial" w:eastAsia="Arial" w:hAnsi="Arial"/>
          <w:sz w:val="22"/>
          <w:szCs w:val="22"/>
          <w:color w:val="auto"/>
        </w:rPr>
        <w:t>Salary and that is identified by the applicable Company or Affiliate as a "bonus" or “incentive compensation” (before reductions for, contributions to or deferrals under this Plan or any other profit sharing, 401(k), pension, deferred compensation or benefit plan sponsored by the Company or any Affiliate).</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 xml:space="preserve">"Calendar Year" </w:t>
      </w:r>
      <w:r>
        <w:rPr>
          <w:rFonts w:ascii="Arial" w:cs="Arial" w:eastAsia="Arial" w:hAnsi="Arial"/>
          <w:sz w:val="22"/>
          <w:szCs w:val="22"/>
          <w:color w:val="auto"/>
        </w:rPr>
        <w:t>means the annual period measured from January 1 to December 31.</w:t>
      </w:r>
    </w:p>
    <w:p>
      <w:pPr>
        <w:spacing w:after="0" w:line="246" w:lineRule="exact"/>
        <w:rPr>
          <w:sz w:val="20"/>
          <w:szCs w:val="20"/>
          <w:color w:val="auto"/>
        </w:rPr>
      </w:pPr>
    </w:p>
    <w:p>
      <w:pPr>
        <w:jc w:val="both"/>
        <w:ind w:left="140"/>
        <w:spacing w:after="0" w:line="236"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(a) with respect to each Participant who has an employment agreement containing a definition</w:t>
      </w:r>
      <w:r>
        <w:rPr>
          <w:rFonts w:ascii="Arial" w:cs="Arial" w:eastAsia="Arial" w:hAnsi="Arial"/>
          <w:sz w:val="22"/>
          <w:szCs w:val="22"/>
          <w:b w:val="1"/>
          <w:bCs w:val="1"/>
          <w:color w:val="auto"/>
        </w:rPr>
        <w:t xml:space="preserve"> </w:t>
      </w:r>
      <w:r>
        <w:rPr>
          <w:rFonts w:ascii="Arial" w:cs="Arial" w:eastAsia="Arial" w:hAnsi="Arial"/>
          <w:sz w:val="22"/>
          <w:szCs w:val="22"/>
          <w:color w:val="auto"/>
        </w:rPr>
        <w:t>of "cause" or "for cause", said definition as set forth in his or her employment agreement, and (b) with respect to all other Participants, and as determined in good faith by the Committee, willfully engaging in misconduct which is demonstrably and materially injurious to the Company or any Affiliate, unless the act or omission giving rise to such misconduct is done, or omitted to be done, by a Participant in good faith and with a sound reason to believe that such action or omission was in the best interest of the Company and its Affiliates.</w:t>
      </w:r>
    </w:p>
    <w:p>
      <w:pPr>
        <w:spacing w:after="0" w:line="220" w:lineRule="exact"/>
        <w:rPr>
          <w:sz w:val="20"/>
          <w:szCs w:val="20"/>
          <w:color w:val="auto"/>
        </w:rPr>
      </w:pPr>
    </w:p>
    <w:p>
      <w:pPr>
        <w:ind w:left="140" w:right="22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shall mean, provided that such definition shall be interpreted in a manner that is consistent with Code § 409A and regulations thereunder, the first to occur of any of the following:</w:t>
      </w:r>
    </w:p>
    <w:p>
      <w:pPr>
        <w:spacing w:after="0" w:line="200" w:lineRule="exact"/>
        <w:rPr>
          <w:sz w:val="20"/>
          <w:szCs w:val="20"/>
          <w:color w:val="auto"/>
        </w:rPr>
      </w:pPr>
    </w:p>
    <w:p>
      <w:pPr>
        <w:spacing w:after="0" w:line="211" w:lineRule="exact"/>
        <w:rPr>
          <w:sz w:val="20"/>
          <w:szCs w:val="20"/>
          <w:color w:val="auto"/>
        </w:rPr>
      </w:pPr>
    </w:p>
    <w:p>
      <w:pPr>
        <w:jc w:val="both"/>
        <w:ind w:left="880" w:firstLine="7"/>
        <w:spacing w:after="0" w:line="244" w:lineRule="auto"/>
        <w:tabs>
          <w:tab w:leader="none" w:pos="14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date that any one person or persons acting as a group acquires ownership of Company, together with stock held by such person or group, stock constituting more than fifty percent (50%) of the total fair market value or total voting power of the Company;</w:t>
      </w:r>
    </w:p>
    <w:p>
      <w:pPr>
        <w:spacing w:after="0" w:line="212"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date that any one person or persons acting as a group acquires (or has acquired during the 12-month period ending on the date of the most recent acquisition by such person or persons) ownership of the stock of the Company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1" w:right="459" w:bottom="1440" w:gutter="0" w:footer="0" w:header="0"/>
        </w:sectPr>
      </w:pPr>
    </w:p>
    <w:bookmarkStart w:id="38" w:name="page39"/>
    <w:bookmarkEnd w:id="38"/>
    <w:p>
      <w:pPr>
        <w:ind w:left="880"/>
        <w:spacing w:after="0"/>
        <w:rPr>
          <w:sz w:val="20"/>
          <w:szCs w:val="20"/>
          <w:color w:val="auto"/>
        </w:rPr>
      </w:pPr>
      <w:r>
        <w:rPr>
          <w:rFonts w:ascii="Arial" w:cs="Arial" w:eastAsia="Arial" w:hAnsi="Arial"/>
          <w:sz w:val="22"/>
          <w:szCs w:val="22"/>
          <w:color w:val="auto"/>
        </w:rPr>
        <w:t>possessing thirty percent (30%) or more of the total voting power of the stock of the Company;</w:t>
      </w:r>
    </w:p>
    <w:p>
      <w:pPr>
        <w:spacing w:after="0" w:line="246" w:lineRule="exact"/>
        <w:rPr>
          <w:sz w:val="20"/>
          <w:szCs w:val="20"/>
          <w:color w:val="auto"/>
        </w:rPr>
      </w:pPr>
    </w:p>
    <w:p>
      <w:pPr>
        <w:jc w:val="both"/>
        <w:ind w:left="880" w:firstLine="7"/>
        <w:spacing w:after="0" w:line="271" w:lineRule="auto"/>
        <w:tabs>
          <w:tab w:leader="none" w:pos="1442"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date that any one person or persons acting as a group acquires (or has acquired during the 12-month period ending on the date of the most recent acquisition by such person or persons) assets from the Company that have a total gross fair market value equal to or greater than forty percent (40%) of the total gross fair market value of all of the assets of the Company immediately prior to such acquisition; or</w:t>
      </w:r>
    </w:p>
    <w:p>
      <w:pPr>
        <w:spacing w:after="0" w:line="188" w:lineRule="exact"/>
        <w:rPr>
          <w:rFonts w:ascii="Arial" w:cs="Arial" w:eastAsia="Arial" w:hAnsi="Arial"/>
          <w:sz w:val="20"/>
          <w:szCs w:val="20"/>
          <w:color w:val="auto"/>
        </w:rPr>
      </w:pPr>
    </w:p>
    <w:p>
      <w:pPr>
        <w:jc w:val="both"/>
        <w:ind w:left="880" w:firstLine="7"/>
        <w:spacing w:after="0" w:line="244" w:lineRule="auto"/>
        <w:tabs>
          <w:tab w:leader="none" w:pos="1442"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date that a majority of members of the Company’s Board is replaced during any 12-month period by directors whose appointment or election is not endorsed by a majority of the members of the Board prior to the date of the appointment or elections.</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22"/>
          <w:szCs w:val="22"/>
          <w:b w:val="1"/>
          <w:bCs w:val="1"/>
          <w:u w:val="single" w:color="auto"/>
          <w:color w:val="auto"/>
        </w:rPr>
        <w:t>"Change in Control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Article VI (e).</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22"/>
          <w:szCs w:val="22"/>
          <w:b w:val="1"/>
          <w:bCs w:val="1"/>
          <w:u w:val="single" w:color="auto"/>
          <w:color w:val="auto"/>
        </w:rPr>
        <w:t>"Claimant"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same meaning set forth in Article II (c).</w:t>
      </w:r>
    </w:p>
    <w:p>
      <w:pPr>
        <w:spacing w:after="0" w:line="232" w:lineRule="exact"/>
        <w:rPr>
          <w:sz w:val="20"/>
          <w:szCs w:val="20"/>
          <w:color w:val="auto"/>
        </w:rPr>
      </w:pPr>
    </w:p>
    <w:p>
      <w:pPr>
        <w:jc w:val="both"/>
        <w:ind w:left="140"/>
        <w:spacing w:after="0" w:line="3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shall mean the Internal Revenue Code of 1986, as it may be amended from time to time, or any successor statute. Reference to a specific section of the Code shall include a reference to any successor provision.</w:t>
      </w:r>
    </w:p>
    <w:p>
      <w:pPr>
        <w:spacing w:after="0" w:line="148"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u w:val="single" w:color="auto"/>
          <w:color w:val="auto"/>
        </w:rPr>
        <w:t>"Committee"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person(s) designated as Committee members or such other persons as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from time to time may designate to serve as members of the Committee hereunder. In the absence of any Committee, or should the Committee be unable or unwilling to serve, the Company shall perform the duties of the Committee under this Plan.</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xml:space="preserve">" shall mean </w:t>
      </w:r>
      <w:r>
        <w:rPr>
          <w:rFonts w:ascii="Arial" w:cs="Arial" w:eastAsia="Arial" w:hAnsi="Arial"/>
          <w:sz w:val="22"/>
          <w:szCs w:val="22"/>
          <w:b w:val="1"/>
          <w:bCs w:val="1"/>
          <w:color w:val="auto"/>
        </w:rPr>
        <w:t>CAR WASH PARTNERS, INC.</w:t>
      </w:r>
      <w:r>
        <w:rPr>
          <w:rFonts w:ascii="Arial" w:cs="Arial" w:eastAsia="Arial" w:hAnsi="Arial"/>
          <w:sz w:val="22"/>
          <w:szCs w:val="22"/>
          <w:color w:val="auto"/>
        </w:rPr>
        <w:t xml:space="preserve"> and its successors.</w:t>
      </w:r>
    </w:p>
    <w:p>
      <w:pPr>
        <w:spacing w:after="0" w:line="232"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u w:val="single" w:color="auto"/>
          <w:color w:val="auto"/>
        </w:rPr>
        <w:t>"Company Discretionary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with respect to any Participant (but subject in the case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Article IV (c)(1), an Account consisting of the sum of (i) all of the Participant's Annual Company Discretionary Amounts, plus (ii) Notional Investment Adjustments in value credited or debited thereon in accordance with Article 4 of this Plan, less (iii) all distributions from such account.</w:t>
      </w:r>
    </w:p>
    <w:p>
      <w:pPr>
        <w:spacing w:after="0" w:line="215"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u w:val="single" w:color="auto"/>
          <w:color w:val="auto"/>
        </w:rPr>
        <w:t>"Company Matching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with respect to any Participant (but subject in the case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Article IV (c)(2), an Account consisting of the sum of (i) all of the Participant's Annual Company Matching Amounts, plus (ii) Notional Investment Adjustments in value credited or debited thereon in accordance with Article V (c) of this Plan, less (iii) all distributions from such account.</w:t>
      </w:r>
    </w:p>
    <w:p>
      <w:pPr>
        <w:spacing w:after="0" w:line="215" w:lineRule="exact"/>
        <w:rPr>
          <w:sz w:val="20"/>
          <w:szCs w:val="20"/>
          <w:color w:val="auto"/>
        </w:rPr>
      </w:pPr>
    </w:p>
    <w:p>
      <w:pPr>
        <w:ind w:left="880" w:hanging="742"/>
        <w:spacing w:after="0"/>
        <w:tabs>
          <w:tab w:leader="none" w:pos="88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"Day"</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calendar day or any part thereof.</w:t>
      </w:r>
    </w:p>
    <w:p>
      <w:pPr>
        <w:spacing w:after="0" w:line="232" w:lineRule="exact"/>
        <w:rPr>
          <w:rFonts w:ascii="Arial" w:cs="Arial" w:eastAsia="Arial" w:hAnsi="Arial"/>
          <w:sz w:val="22"/>
          <w:szCs w:val="22"/>
          <w:color w:val="auto"/>
        </w:rPr>
      </w:pPr>
    </w:p>
    <w:p>
      <w:pPr>
        <w:ind w:left="140" w:right="760" w:hanging="2"/>
        <w:spacing w:after="0" w:line="260" w:lineRule="auto"/>
        <w:tabs>
          <w:tab w:leader="none" w:pos="43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 Account consisting of the sum of (i) all of a Participant's Annual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plus (ii) Notional Investment Adjustments in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0" w:right="459" w:bottom="1440" w:gutter="0" w:footer="0" w:header="0"/>
        </w:sectPr>
      </w:pPr>
    </w:p>
    <w:bookmarkStart w:id="39" w:name="page40"/>
    <w:bookmarkEnd w:id="39"/>
    <w:p>
      <w:pPr>
        <w:jc w:val="both"/>
        <w:ind w:left="140" w:right="60"/>
        <w:spacing w:after="0" w:line="259" w:lineRule="auto"/>
        <w:rPr>
          <w:sz w:val="20"/>
          <w:szCs w:val="20"/>
          <w:color w:val="auto"/>
        </w:rPr>
      </w:pPr>
      <w:r>
        <w:rPr>
          <w:rFonts w:ascii="Arial" w:cs="Arial" w:eastAsia="Arial" w:hAnsi="Arial"/>
          <w:sz w:val="22"/>
          <w:szCs w:val="22"/>
          <w:color w:val="auto"/>
        </w:rPr>
        <w:t>value credited or debited thereon in accordance with Article 4 of this Plan, less (iii) all distributions from such account.</w:t>
      </w:r>
    </w:p>
    <w:p>
      <w:pPr>
        <w:spacing w:after="0" w:line="194" w:lineRule="exact"/>
        <w:rPr>
          <w:sz w:val="20"/>
          <w:szCs w:val="20"/>
          <w:color w:val="auto"/>
        </w:rPr>
      </w:pPr>
    </w:p>
    <w:p>
      <w:pPr>
        <w:jc w:val="both"/>
        <w:ind w:left="140" w:right="40"/>
        <w:spacing w:after="0"/>
        <w:rPr>
          <w:sz w:val="20"/>
          <w:szCs w:val="20"/>
          <w:color w:val="auto"/>
        </w:rPr>
      </w:pPr>
      <w:r>
        <w:rPr>
          <w:rFonts w:ascii="Arial" w:cs="Arial" w:eastAsia="Arial" w:hAnsi="Arial"/>
          <w:sz w:val="22"/>
          <w:szCs w:val="22"/>
          <w:b w:val="1"/>
          <w:bCs w:val="1"/>
          <w:u w:val="single" w:color="auto"/>
          <w:color w:val="auto"/>
        </w:rPr>
        <w:t>"Deferral Election Form"</w:t>
      </w:r>
      <w:r>
        <w:rPr>
          <w:rFonts w:ascii="Arial" w:cs="Arial" w:eastAsia="Arial" w:hAnsi="Arial"/>
          <w:sz w:val="22"/>
          <w:szCs w:val="22"/>
          <w:b w:val="1"/>
          <w:bCs w:val="1"/>
          <w:color w:val="auto"/>
        </w:rPr>
        <w:t xml:space="preserve"> </w:t>
      </w:r>
      <w:r>
        <w:rPr>
          <w:rFonts w:ascii="Arial" w:cs="Arial" w:eastAsia="Arial" w:hAnsi="Arial"/>
          <w:sz w:val="22"/>
          <w:szCs w:val="22"/>
          <w:color w:val="auto"/>
        </w:rPr>
        <w:t>means notice filed by a Participant with the Record Keeper specifying the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Participant's Pay Type(s) to be deferred, and the time and form of distribution payments .Deferral Election Forms may be completed and/or signed using such online systems and other electronic means as the Committee or Record Keeper from time to time may designate for such purpose.</w:t>
      </w:r>
    </w:p>
    <w:p>
      <w:pPr>
        <w:spacing w:after="0" w:line="215" w:lineRule="exact"/>
        <w:rPr>
          <w:sz w:val="20"/>
          <w:szCs w:val="20"/>
          <w:color w:val="auto"/>
        </w:rPr>
      </w:pPr>
    </w:p>
    <w:p>
      <w:pPr>
        <w:jc w:val="both"/>
        <w:ind w:left="140" w:right="40"/>
        <w:spacing w:after="0" w:line="238" w:lineRule="auto"/>
        <w:rPr>
          <w:sz w:val="20"/>
          <w:szCs w:val="20"/>
          <w:color w:val="auto"/>
        </w:rPr>
      </w:pPr>
      <w:r>
        <w:rPr>
          <w:rFonts w:ascii="Arial" w:cs="Arial" w:eastAsia="Arial" w:hAnsi="Arial"/>
          <w:sz w:val="22"/>
          <w:szCs w:val="22"/>
          <w:b w:val="1"/>
          <w:bCs w:val="1"/>
          <w:u w:val="single" w:color="auto"/>
          <w:color w:val="auto"/>
        </w:rPr>
        <w:t>“Disability or Disabled</w:t>
      </w:r>
      <w:r>
        <w:rPr>
          <w:rFonts w:ascii="Arial" w:cs="Arial" w:eastAsia="Arial" w:hAnsi="Arial"/>
          <w:sz w:val="22"/>
          <w:szCs w:val="22"/>
          <w:color w:val="auto"/>
        </w:rPr>
        <w:t>" shall mean that a Participant, by reason of any medically determinable physical or</w:t>
      </w:r>
      <w:r>
        <w:rPr>
          <w:rFonts w:ascii="Arial" w:cs="Arial" w:eastAsia="Arial" w:hAnsi="Arial"/>
          <w:sz w:val="22"/>
          <w:szCs w:val="22"/>
          <w:b w:val="1"/>
          <w:bCs w:val="1"/>
          <w:color w:val="auto"/>
        </w:rPr>
        <w:t xml:space="preserve"> </w:t>
      </w:r>
      <w:r>
        <w:rPr>
          <w:rFonts w:ascii="Arial" w:cs="Arial" w:eastAsia="Arial" w:hAnsi="Arial"/>
          <w:sz w:val="22"/>
          <w:szCs w:val="22"/>
          <w:color w:val="auto"/>
        </w:rPr>
        <w:t>mental impairment which can be expected to result in death or expected to last for a continuous period of not less than 12 months, and (1) has received income replacement benefits for a period of not less than three months under an accident or health plan covering employees of the Company, or (2) is determined to be totally disabled by the Social Security Administration.</w:t>
      </w:r>
    </w:p>
    <w:p>
      <w:pPr>
        <w:spacing w:after="0" w:line="202" w:lineRule="exact"/>
        <w:rPr>
          <w:sz w:val="20"/>
          <w:szCs w:val="20"/>
          <w:color w:val="auto"/>
        </w:rPr>
      </w:pPr>
    </w:p>
    <w:p>
      <w:pPr>
        <w:ind w:left="140" w:right="2420"/>
        <w:spacing w:after="0"/>
        <w:rPr>
          <w:sz w:val="20"/>
          <w:szCs w:val="20"/>
          <w:color w:val="auto"/>
        </w:rPr>
      </w:pPr>
      <w:r>
        <w:rPr>
          <w:rFonts w:ascii="Arial" w:cs="Arial" w:eastAsia="Arial" w:hAnsi="Arial"/>
          <w:sz w:val="22"/>
          <w:szCs w:val="22"/>
          <w:b w:val="1"/>
          <w:bCs w:val="1"/>
          <w:u w:val="single" w:color="auto"/>
          <w:color w:val="auto"/>
        </w:rPr>
        <w:t>"Disability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benefit set forth in Article VI (b)(6). "</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shall</w:t>
      </w:r>
      <w:r>
        <w:rPr>
          <w:rFonts w:ascii="Arial" w:cs="Arial" w:eastAsia="Arial" w:hAnsi="Arial"/>
          <w:sz w:val="22"/>
          <w:szCs w:val="22"/>
          <w:b w:val="1"/>
          <w:bCs w:val="1"/>
          <w:color w:val="auto"/>
        </w:rPr>
        <w:t xml:space="preserve"> </w:t>
      </w:r>
      <w:r>
        <w:rPr>
          <w:rFonts w:ascii="Arial" w:cs="Arial" w:eastAsia="Arial" w:hAnsi="Arial"/>
          <w:sz w:val="22"/>
          <w:szCs w:val="22"/>
          <w:color w:val="auto"/>
        </w:rPr>
        <w:t>mean January 1, 2022.</w:t>
      </w:r>
    </w:p>
    <w:p>
      <w:pPr>
        <w:spacing w:after="0" w:line="1" w:lineRule="exact"/>
        <w:rPr>
          <w:sz w:val="20"/>
          <w:szCs w:val="20"/>
          <w:color w:val="auto"/>
        </w:rPr>
      </w:pPr>
    </w:p>
    <w:p>
      <w:pPr>
        <w:jc w:val="both"/>
        <w:ind w:left="140" w:right="40"/>
        <w:spacing w:after="0" w:line="235" w:lineRule="auto"/>
        <w:rPr>
          <w:sz w:val="20"/>
          <w:szCs w:val="20"/>
          <w:color w:val="auto"/>
        </w:rPr>
      </w:pPr>
      <w:r>
        <w:rPr>
          <w:rFonts w:ascii="Arial" w:cs="Arial" w:eastAsia="Arial" w:hAnsi="Arial"/>
          <w:sz w:val="22"/>
          <w:szCs w:val="22"/>
          <w:b w:val="1"/>
          <w:bCs w:val="1"/>
          <w:u w:val="single" w:color="auto"/>
          <w:color w:val="auto"/>
        </w:rPr>
        <w:t>"Eligible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employee of the Company or other Participating Employer who is selected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herein in accordance with the provisions of Article III hereof, and is one of a select group of management or highly compensated employees. Eligible Employee may also include selected Independent Contractors as determined in the complete and sole discretion of the Committee.</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individual who is employed by or providing services to the Employer. Employee means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"service provider" as used in Treasury Regulation</w:t>
      </w:r>
    </w:p>
    <w:p>
      <w:pPr>
        <w:ind w:left="140"/>
        <w:spacing w:after="0"/>
        <w:rPr>
          <w:sz w:val="20"/>
          <w:szCs w:val="20"/>
          <w:color w:val="auto"/>
        </w:rPr>
      </w:pPr>
      <w:r>
        <w:rPr>
          <w:rFonts w:ascii="Arial" w:cs="Arial" w:eastAsia="Arial" w:hAnsi="Arial"/>
          <w:sz w:val="22"/>
          <w:szCs w:val="22"/>
          <w:color w:val="auto"/>
        </w:rPr>
        <w:t>§1.409A-1(l).</w:t>
      </w:r>
    </w:p>
    <w:p>
      <w:pPr>
        <w:spacing w:after="0" w:line="210" w:lineRule="exact"/>
        <w:rPr>
          <w:sz w:val="20"/>
          <w:szCs w:val="20"/>
          <w:color w:val="auto"/>
        </w:rPr>
      </w:pPr>
    </w:p>
    <w:p>
      <w:pPr>
        <w:ind w:left="140" w:right="40"/>
        <w:spacing w:after="0" w:line="260" w:lineRule="auto"/>
        <w:rPr>
          <w:sz w:val="20"/>
          <w:szCs w:val="20"/>
          <w:color w:val="auto"/>
        </w:rPr>
      </w:pPr>
      <w:r>
        <w:rPr>
          <w:rFonts w:ascii="Arial" w:cs="Arial" w:eastAsia="Arial" w:hAnsi="Arial"/>
          <w:sz w:val="22"/>
          <w:szCs w:val="22"/>
          <w:b w:val="1"/>
          <w:bCs w:val="1"/>
          <w:u w:val="single" w:color="auto"/>
          <w:color w:val="auto"/>
        </w:rPr>
        <w:t>"Employer" or "Participating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Company or Affiliate who is the legal employer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or service recipient in the case of an Independent Contractor.</w:t>
      </w:r>
    </w:p>
    <w:p>
      <w:pPr>
        <w:spacing w:after="0" w:line="194" w:lineRule="exact"/>
        <w:rPr>
          <w:sz w:val="20"/>
          <w:szCs w:val="20"/>
          <w:color w:val="auto"/>
        </w:rPr>
      </w:pPr>
    </w:p>
    <w:p>
      <w:pPr>
        <w:ind w:left="140" w:right="140"/>
        <w:spacing w:after="0" w:line="260" w:lineRule="auto"/>
        <w:rPr>
          <w:sz w:val="20"/>
          <w:szCs w:val="20"/>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Employee Retirement Income Security Act of 1974, as the same may be amended from time</w:t>
      </w:r>
      <w:r>
        <w:rPr>
          <w:rFonts w:ascii="Arial" w:cs="Arial" w:eastAsia="Arial" w:hAnsi="Arial"/>
          <w:sz w:val="22"/>
          <w:szCs w:val="22"/>
          <w:b w:val="1"/>
          <w:bCs w:val="1"/>
          <w:color w:val="auto"/>
        </w:rPr>
        <w:t xml:space="preserve"> </w:t>
      </w:r>
      <w:r>
        <w:rPr>
          <w:rFonts w:ascii="Arial" w:cs="Arial" w:eastAsia="Arial" w:hAnsi="Arial"/>
          <w:sz w:val="22"/>
          <w:szCs w:val="22"/>
          <w:color w:val="auto"/>
        </w:rPr>
        <w:t>to time.</w:t>
      </w:r>
    </w:p>
    <w:p>
      <w:pPr>
        <w:spacing w:after="0" w:line="194" w:lineRule="exact"/>
        <w:rPr>
          <w:sz w:val="20"/>
          <w:szCs w:val="20"/>
          <w:color w:val="auto"/>
        </w:rPr>
      </w:pPr>
    </w:p>
    <w:p>
      <w:pPr>
        <w:ind w:left="140"/>
        <w:spacing w:after="0" w:line="260" w:lineRule="auto"/>
        <w:rPr>
          <w:sz w:val="20"/>
          <w:szCs w:val="20"/>
          <w:color w:val="auto"/>
        </w:rPr>
      </w:pPr>
      <w:r>
        <w:rPr>
          <w:rFonts w:ascii="Arial" w:cs="Arial" w:eastAsia="Arial" w:hAnsi="Arial"/>
          <w:sz w:val="22"/>
          <w:szCs w:val="22"/>
          <w:b w:val="1"/>
          <w:bCs w:val="1"/>
          <w:u w:val="single" w:color="auto"/>
          <w:color w:val="auto"/>
        </w:rPr>
        <w:t>"Hardship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distribution or waiver of deferral granted by the Committee pursuant to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VI (d).</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22"/>
          <w:szCs w:val="22"/>
          <w:b w:val="1"/>
          <w:bCs w:val="1"/>
          <w:u w:val="single" w:color="auto"/>
          <w:color w:val="auto"/>
        </w:rPr>
        <w:t>"Identification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 of identifying Specified Employees means each December 31.</w:t>
      </w:r>
    </w:p>
    <w:p>
      <w:pPr>
        <w:spacing w:after="0" w:line="246" w:lineRule="exact"/>
        <w:rPr>
          <w:sz w:val="20"/>
          <w:szCs w:val="20"/>
          <w:color w:val="auto"/>
        </w:rPr>
      </w:pPr>
    </w:p>
    <w:p>
      <w:pPr>
        <w:ind w:left="140" w:right="40"/>
        <w:spacing w:after="0" w:line="260" w:lineRule="auto"/>
        <w:rPr>
          <w:sz w:val="20"/>
          <w:szCs w:val="20"/>
          <w:color w:val="auto"/>
        </w:rPr>
      </w:pPr>
      <w:r>
        <w:rPr>
          <w:rFonts w:ascii="Arial" w:cs="Arial" w:eastAsia="Arial" w:hAnsi="Arial"/>
          <w:sz w:val="22"/>
          <w:szCs w:val="22"/>
          <w:b w:val="1"/>
          <w:bCs w:val="1"/>
          <w:u w:val="single" w:color="auto"/>
          <w:color w:val="auto"/>
        </w:rPr>
        <w:t>"Independent Contractor"</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non-employee director or an independent contractor for whom deferred</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will be subject to Section 409A as provided in Treasury Regulation §1 .409A-1(f)(2).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81" w:right="419" w:bottom="1440" w:gutter="0" w:footer="0" w:header="0"/>
        </w:sectPr>
      </w:pPr>
    </w:p>
    <w:bookmarkStart w:id="40" w:name="page41"/>
    <w:bookmarkEnd w:id="40"/>
    <w:p>
      <w:pPr>
        <w:jc w:val="both"/>
        <w:ind w:left="140"/>
        <w:spacing w:after="0" w:line="245" w:lineRule="auto"/>
        <w:rPr>
          <w:sz w:val="20"/>
          <w:szCs w:val="20"/>
          <w:color w:val="auto"/>
        </w:rPr>
      </w:pPr>
      <w:r>
        <w:rPr>
          <w:rFonts w:ascii="Arial" w:cs="Arial" w:eastAsia="Arial" w:hAnsi="Arial"/>
          <w:sz w:val="22"/>
          <w:szCs w:val="22"/>
          <w:b w:val="1"/>
          <w:bCs w:val="1"/>
          <w:u w:val="single" w:color="auto"/>
          <w:color w:val="auto"/>
        </w:rPr>
        <w:t>"Matching Contribution Limit"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Maximum Contribution Limit set forth o be used and calculated as a</w:t>
      </w:r>
      <w:r>
        <w:rPr>
          <w:rFonts w:ascii="Arial" w:cs="Arial" w:eastAsia="Arial" w:hAnsi="Arial"/>
          <w:sz w:val="22"/>
          <w:szCs w:val="22"/>
          <w:b w:val="1"/>
          <w:bCs w:val="1"/>
          <w:color w:val="auto"/>
        </w:rPr>
        <w:t xml:space="preserve"> </w:t>
      </w:r>
      <w:r>
        <w:rPr>
          <w:rFonts w:ascii="Arial" w:cs="Arial" w:eastAsia="Arial" w:hAnsi="Arial"/>
          <w:sz w:val="22"/>
          <w:szCs w:val="22"/>
          <w:color w:val="auto"/>
        </w:rPr>
        <w:t>limit on Annual Company Matching Amounts pursuant to Article IV (c). Such Limit shall be communicated to Participants on an annual basis.</w:t>
      </w:r>
    </w:p>
    <w:p>
      <w:pPr>
        <w:spacing w:after="0" w:line="210" w:lineRule="exact"/>
        <w:rPr>
          <w:sz w:val="20"/>
          <w:szCs w:val="20"/>
          <w:color w:val="auto"/>
        </w:rPr>
      </w:pPr>
    </w:p>
    <w:p>
      <w:pPr>
        <w:ind w:left="140" w:right="480"/>
        <w:spacing w:after="0" w:line="245" w:lineRule="auto"/>
        <w:rPr>
          <w:sz w:val="20"/>
          <w:szCs w:val="20"/>
          <w:color w:val="auto"/>
        </w:rPr>
      </w:pPr>
      <w:r>
        <w:rPr>
          <w:rFonts w:ascii="Arial" w:cs="Arial" w:eastAsia="Arial" w:hAnsi="Arial"/>
          <w:sz w:val="22"/>
          <w:szCs w:val="22"/>
          <w:b w:val="1"/>
          <w:bCs w:val="1"/>
          <w:u w:val="single" w:color="auto"/>
          <w:color w:val="auto"/>
        </w:rPr>
        <w:t>"Matching Contribution Rate"</w:t>
      </w:r>
      <w:r>
        <w:rPr>
          <w:rFonts w:ascii="Arial" w:cs="Arial" w:eastAsia="Arial" w:hAnsi="Arial"/>
          <w:sz w:val="22"/>
          <w:szCs w:val="22"/>
          <w:color w:val="1F487C"/>
        </w:rPr>
        <w:t>means the respective percentage rate, which rate shall be used to calculate</w:t>
      </w:r>
      <w:r>
        <w:rPr>
          <w:rFonts w:ascii="Arial" w:cs="Arial" w:eastAsia="Arial" w:hAnsi="Arial"/>
          <w:sz w:val="22"/>
          <w:szCs w:val="22"/>
          <w:b w:val="1"/>
          <w:bCs w:val="1"/>
          <w:color w:val="auto"/>
        </w:rPr>
        <w:t xml:space="preserve"> </w:t>
      </w:r>
      <w:r>
        <w:rPr>
          <w:rFonts w:ascii="Arial" w:cs="Arial" w:eastAsia="Arial" w:hAnsi="Arial"/>
          <w:sz w:val="22"/>
          <w:szCs w:val="22"/>
          <w:color w:val="1F487C"/>
        </w:rPr>
        <w:t>Annual Company Matching Amounts pursuant to Article IV (c), subject to the Matching Contribution Limit, and communicated to Participants on an annual basis.</w:t>
      </w:r>
    </w:p>
    <w:p>
      <w:pPr>
        <w:spacing w:after="0" w:line="196" w:lineRule="exact"/>
        <w:rPr>
          <w:sz w:val="20"/>
          <w:szCs w:val="20"/>
          <w:color w:val="auto"/>
        </w:rPr>
      </w:pPr>
    </w:p>
    <w:p>
      <w:pPr>
        <w:jc w:val="both"/>
        <w:ind w:left="140" w:right="20"/>
        <w:spacing w:after="0" w:line="245" w:lineRule="auto"/>
        <w:rPr>
          <w:sz w:val="20"/>
          <w:szCs w:val="20"/>
          <w:color w:val="auto"/>
        </w:rPr>
      </w:pPr>
      <w:r>
        <w:rPr>
          <w:rFonts w:ascii="Arial" w:cs="Arial" w:eastAsia="Arial" w:hAnsi="Arial"/>
          <w:sz w:val="22"/>
          <w:szCs w:val="22"/>
          <w:b w:val="1"/>
          <w:bCs w:val="1"/>
          <w:u w:val="single" w:color="auto"/>
          <w:color w:val="auto"/>
        </w:rPr>
        <w:t>"Notional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security, fund, account, sub-account, index, formula or other instrument,</w:t>
      </w:r>
      <w:r>
        <w:rPr>
          <w:rFonts w:ascii="Arial" w:cs="Arial" w:eastAsia="Arial" w:hAnsi="Arial"/>
          <w:sz w:val="22"/>
          <w:szCs w:val="22"/>
          <w:b w:val="1"/>
          <w:bCs w:val="1"/>
          <w:color w:val="auto"/>
        </w:rPr>
        <w:t xml:space="preserve"> </w:t>
      </w:r>
      <w:r>
        <w:rPr>
          <w:rFonts w:ascii="Arial" w:cs="Arial" w:eastAsia="Arial" w:hAnsi="Arial"/>
          <w:sz w:val="22"/>
          <w:szCs w:val="22"/>
          <w:color w:val="auto"/>
        </w:rPr>
        <w:t>asset, measure or method from time to time designated by the Committee as a means to calculate the amount of any Notional Investment Adjustment.</w:t>
      </w:r>
    </w:p>
    <w:p>
      <w:pPr>
        <w:spacing w:after="0" w:line="210" w:lineRule="exact"/>
        <w:rPr>
          <w:sz w:val="20"/>
          <w:szCs w:val="20"/>
          <w:color w:val="auto"/>
        </w:rPr>
      </w:pPr>
    </w:p>
    <w:p>
      <w:pPr>
        <w:jc w:val="both"/>
        <w:ind w:left="140"/>
        <w:spacing w:after="0" w:line="245" w:lineRule="auto"/>
        <w:rPr>
          <w:sz w:val="20"/>
          <w:szCs w:val="20"/>
          <w:color w:val="auto"/>
        </w:rPr>
      </w:pPr>
      <w:r>
        <w:rPr>
          <w:rFonts w:ascii="Arial" w:cs="Arial" w:eastAsia="Arial" w:hAnsi="Arial"/>
          <w:sz w:val="22"/>
          <w:szCs w:val="22"/>
          <w:b w:val="1"/>
          <w:bCs w:val="1"/>
          <w:u w:val="single" w:color="auto"/>
          <w:color w:val="auto"/>
        </w:rPr>
        <w:t>"NotionaI Investment Adjustment"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earnings, gains, losses and any other adjustments made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any Annual Deferral Amount, Annual Company Matching Amount or Annual Company Discretionary Amount, which adjustments are made based on the performance of a Notional Investment pursuant to Article V.</w:t>
      </w:r>
    </w:p>
    <w:p>
      <w:pPr>
        <w:spacing w:after="0" w:line="196" w:lineRule="exact"/>
        <w:rPr>
          <w:sz w:val="20"/>
          <w:szCs w:val="20"/>
          <w:color w:val="auto"/>
        </w:rPr>
      </w:pPr>
    </w:p>
    <w:p>
      <w:pPr>
        <w:jc w:val="both"/>
        <w:ind w:left="140"/>
        <w:spacing w:after="0" w:line="234" w:lineRule="auto"/>
        <w:rPr>
          <w:sz w:val="20"/>
          <w:szCs w:val="20"/>
          <w:color w:val="auto"/>
        </w:rPr>
      </w:pPr>
      <w:r>
        <w:rPr>
          <w:rFonts w:ascii="Arial" w:cs="Arial" w:eastAsia="Arial" w:hAnsi="Arial"/>
          <w:sz w:val="22"/>
          <w:szCs w:val="22"/>
          <w:b w:val="1"/>
          <w:bCs w:val="1"/>
          <w:u w:val="single" w:color="auto"/>
          <w:color w:val="auto"/>
        </w:rPr>
        <w:t>"Notional Investment Election Form"</w:t>
      </w:r>
      <w:r>
        <w:rPr>
          <w:rFonts w:ascii="Arial" w:cs="Arial" w:eastAsia="Arial" w:hAnsi="Arial"/>
          <w:sz w:val="22"/>
          <w:szCs w:val="22"/>
          <w:b w:val="1"/>
          <w:bCs w:val="1"/>
          <w:color w:val="auto"/>
        </w:rPr>
        <w:t xml:space="preserve"> </w:t>
      </w:r>
      <w:r>
        <w:rPr>
          <w:rFonts w:ascii="Arial" w:cs="Arial" w:eastAsia="Arial" w:hAnsi="Arial"/>
          <w:sz w:val="22"/>
          <w:szCs w:val="22"/>
          <w:color w:val="auto"/>
        </w:rPr>
        <w:t>means notice filed with the Record Keeper by or on behalf of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(or his or her Beneficiaries, as provided below) specifying the allocation of the Participant's Annual Deferral Amount and how the Participant's Annual Deferral Amount, Annual Company Matching Amount and Annual Company Discretionary Amount, if any, are to be allocated under the Plan among the Notional Investments provided under the Plan. Notional investment Election Forms may be completed and/or signed using such online systems and other electronic means as the Committee or Record Keeper from time to time may designate for such purpose. Upon the death of a Participant, for so long as such Participant's Beneficiaries retain an interest in such Participant's Account hereunder, such Beneficiaries may file Notional Investment Election Forms with respect to such Account in accordance with such policies and procedures as the Committee from time to time may specify for such purpose.</w:t>
      </w:r>
    </w:p>
    <w:p>
      <w:pPr>
        <w:spacing w:after="0" w:line="217" w:lineRule="exact"/>
        <w:rPr>
          <w:sz w:val="20"/>
          <w:szCs w:val="20"/>
          <w:color w:val="auto"/>
        </w:rPr>
      </w:pPr>
    </w:p>
    <w:p>
      <w:pPr>
        <w:jc w:val="both"/>
        <w:ind w:left="140"/>
        <w:spacing w:after="0" w:line="236" w:lineRule="auto"/>
        <w:rPr>
          <w:sz w:val="20"/>
          <w:szCs w:val="20"/>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Eligible Employee (i) who is selected to participate in the Plan, (ii) who elects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the Plan, (iii) who signs a Participation Agreement, a Deferral Election Form, a Notional Investment Election Form, (iv) whose signed Participation Agreement, Deferral Election Form, and Notional Investment Election Form are accepted by the Committee, and (v) who commences participation in the Plan. A spouse or former spouse (or beneficiary) of a Participant shall not be treated as a Participant in the Plan, even if he or she has an interest in the Participant's benefits under the Plan as a result of applicable law or property settlements resulting from legal separation or divorce.</w:t>
      </w:r>
    </w:p>
    <w:p>
      <w:pPr>
        <w:spacing w:after="0" w:line="214"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u w:val="single" w:color="auto"/>
          <w:color w:val="auto"/>
        </w:rPr>
        <w:t>"Participation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form established from time to time by the Committee that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completes, signs and returns to the Company to become a Participant in this Plan. Participation Agreements may be completed and/or signed using such online systems and other electronic means as the Committee or Record Keeper from time to time may designate for such purpose.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41" w:name="page42"/>
    <w:bookmarkEnd w:id="41"/>
    <w:p>
      <w:pPr>
        <w:jc w:val="both"/>
        <w:ind w:left="14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shall mean the Mister Car Wash Nonqualified Deferred Compensation Plan hereby created and as it may be amended from time to time.</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shall mean the Company or its designees or designated Committee.</w:t>
      </w:r>
    </w:p>
    <w:p>
      <w:pPr>
        <w:spacing w:after="0" w:line="246" w:lineRule="exact"/>
        <w:rPr>
          <w:sz w:val="20"/>
          <w:szCs w:val="20"/>
          <w:color w:val="auto"/>
        </w:rPr>
      </w:pPr>
    </w:p>
    <w:p>
      <w:pPr>
        <w:jc w:val="both"/>
        <w:ind w:left="140" w:right="2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shall mean the period beginning December 28, 2015 and ending December 31, 2015 and thereafter, the 12-month period ending on December 31.</w:t>
      </w:r>
    </w:p>
    <w:p>
      <w:pPr>
        <w:spacing w:after="0" w:line="180" w:lineRule="exact"/>
        <w:rPr>
          <w:sz w:val="20"/>
          <w:szCs w:val="20"/>
          <w:color w:val="auto"/>
        </w:rPr>
      </w:pPr>
    </w:p>
    <w:p>
      <w:pPr>
        <w:jc w:val="both"/>
        <w:ind w:left="140"/>
        <w:spacing w:after="0"/>
        <w:rPr>
          <w:sz w:val="20"/>
          <w:szCs w:val="20"/>
          <w:color w:val="auto"/>
        </w:rPr>
      </w:pPr>
      <w:r>
        <w:rPr>
          <w:rFonts w:ascii="Arial" w:cs="Arial" w:eastAsia="Arial" w:hAnsi="Arial"/>
          <w:sz w:val="22"/>
          <w:szCs w:val="22"/>
          <w:b w:val="1"/>
          <w:bCs w:val="1"/>
          <w:u w:val="single" w:color="auto"/>
          <w:color w:val="auto"/>
        </w:rPr>
        <w:t>"Record Keeper"</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party designated as the Record Keeper, as such designation may be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in the discretion of the Committee. In the absence of any such designation, or should the Record Keeper be unable or unwilling to serve, the Company shall perform the duties of the Record Keeper under this Plan.</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2"/>
          <w:szCs w:val="22"/>
          <w:b w:val="1"/>
          <w:bCs w:val="1"/>
          <w:u w:val="single" w:color="auto"/>
          <w:color w:val="auto"/>
        </w:rPr>
        <w:t>“Refund of 401(k)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corrective distribution from Company’s 401(k) Plan.</w:t>
      </w:r>
    </w:p>
    <w:p>
      <w:pPr>
        <w:spacing w:after="0" w:line="232" w:lineRule="exact"/>
        <w:rPr>
          <w:sz w:val="20"/>
          <w:szCs w:val="20"/>
          <w:color w:val="auto"/>
        </w:rPr>
      </w:pPr>
    </w:p>
    <w:p>
      <w:pPr>
        <w:jc w:val="both"/>
        <w:ind w:left="140" w:right="20"/>
        <w:spacing w:after="0" w:line="260" w:lineRule="auto"/>
        <w:rPr>
          <w:sz w:val="20"/>
          <w:szCs w:val="20"/>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Termination of Employment of a Participant on or after such Participant's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Eligibility Date.</w:t>
      </w:r>
    </w:p>
    <w:p>
      <w:pPr>
        <w:spacing w:after="0" w:line="194" w:lineRule="exact"/>
        <w:rPr>
          <w:sz w:val="20"/>
          <w:szCs w:val="20"/>
          <w:color w:val="auto"/>
        </w:rPr>
      </w:pPr>
    </w:p>
    <w:p>
      <w:pPr>
        <w:jc w:val="both"/>
        <w:ind w:left="140"/>
        <w:spacing w:after="0" w:line="260" w:lineRule="auto"/>
        <w:rPr>
          <w:sz w:val="20"/>
          <w:szCs w:val="20"/>
          <w:color w:val="auto"/>
        </w:rPr>
      </w:pPr>
      <w:r>
        <w:rPr>
          <w:rFonts w:ascii="Arial" w:cs="Arial" w:eastAsia="Arial" w:hAnsi="Arial"/>
          <w:sz w:val="22"/>
          <w:szCs w:val="22"/>
          <w:b w:val="1"/>
          <w:bCs w:val="1"/>
          <w:u w:val="single" w:color="auto"/>
          <w:color w:val="auto"/>
        </w:rPr>
        <w:t>"Retirement Eligibility Date"</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date when the Participant achieves age 65 or older, or at age 55 with</w:t>
      </w:r>
      <w:r>
        <w:rPr>
          <w:rFonts w:ascii="Arial" w:cs="Arial" w:eastAsia="Arial" w:hAnsi="Arial"/>
          <w:sz w:val="22"/>
          <w:szCs w:val="22"/>
          <w:b w:val="1"/>
          <w:bCs w:val="1"/>
          <w:color w:val="auto"/>
        </w:rPr>
        <w:t xml:space="preserve"> </w:t>
      </w:r>
      <w:r>
        <w:rPr>
          <w:rFonts w:ascii="Arial" w:cs="Arial" w:eastAsia="Arial" w:hAnsi="Arial"/>
          <w:sz w:val="22"/>
          <w:szCs w:val="22"/>
          <w:color w:val="auto"/>
        </w:rPr>
        <w:t>five (5) years of service.</w:t>
      </w:r>
    </w:p>
    <w:p>
      <w:pPr>
        <w:spacing w:after="0" w:line="194" w:lineRule="exact"/>
        <w:rPr>
          <w:sz w:val="20"/>
          <w:szCs w:val="20"/>
          <w:color w:val="auto"/>
        </w:rPr>
      </w:pPr>
    </w:p>
    <w:p>
      <w:pPr>
        <w:jc w:val="both"/>
        <w:ind w:left="140"/>
        <w:spacing w:after="0" w:line="233" w:lineRule="auto"/>
        <w:rPr>
          <w:sz w:val="20"/>
          <w:szCs w:val="20"/>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means Section 409A of the Code, as the same may be amended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statute thereto. References to Section 409A or any requirement under Section 409A, as the same may be interpreted, construed or applied to this Plan at any particular time, shall be deemed to mean and include, to the extent then applicable and then in force and effect (but not to the extent overruled, limited or superseded), published guidance, regulations, notices, rulings and similar announcements issued by the Internal Revenue Service or by the Secretary of the Treasury under or interpreting Section 409A, decisions by any court of competent jurisdiction involving a Participant or a beneficiary and any closing agreement made under §7121 of the Code that is approved by the Internal Revenue Service and involves a Participant, all as determined by the Committee in good faith, which determination may (but shall not be required to) be made in reliance on the advice of such tax counsel or other tax professional(s) with whom the Committee from time to time may elect to consult with respect to any such matter.</w:t>
      </w:r>
    </w:p>
    <w:p>
      <w:pPr>
        <w:spacing w:after="0" w:line="225" w:lineRule="exact"/>
        <w:rPr>
          <w:sz w:val="20"/>
          <w:szCs w:val="20"/>
          <w:color w:val="auto"/>
        </w:rPr>
      </w:pPr>
    </w:p>
    <w:p>
      <w:pPr>
        <w:ind w:left="140"/>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from Service</w:t>
      </w:r>
      <w:r>
        <w:rPr>
          <w:rFonts w:ascii="Arial" w:cs="Arial" w:eastAsia="Arial" w:hAnsi="Arial"/>
          <w:sz w:val="20"/>
          <w:szCs w:val="20"/>
          <w:color w:val="auto"/>
        </w:rPr>
        <w:t>” shall mean termination of employment (as defined in Treasury Regulations § 1.409A-1(h)) and generally encompasses the circumstances when a Participant voluntarily or involuntarily terminates employment with the Company and all Affiliates, for any reason other than death. A termination of employment occurs if the facts and circumstances indicate that the Plan Administrator and the Participant reasonably anticipate that no further services will be performed after a certain date, or that the level of bona fide services the Participant will perform after such date (whether as an employee or an independent contractor) will decrease to no more than 20 percent of the average level of bona fide services performed (whether as an employee or an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8" w:right="459" w:bottom="1440" w:gutter="0" w:footer="0" w:header="0"/>
        </w:sectPr>
      </w:pPr>
    </w:p>
    <w:bookmarkStart w:id="42" w:name="page43"/>
    <w:bookmarkEnd w:id="42"/>
    <w:p>
      <w:pPr>
        <w:ind w:left="140" w:right="60"/>
        <w:spacing w:after="0" w:line="234" w:lineRule="auto"/>
        <w:rPr>
          <w:sz w:val="20"/>
          <w:szCs w:val="20"/>
          <w:color w:val="auto"/>
        </w:rPr>
      </w:pPr>
      <w:r>
        <w:rPr>
          <w:rFonts w:ascii="Arial" w:cs="Arial" w:eastAsia="Arial" w:hAnsi="Arial"/>
          <w:sz w:val="22"/>
          <w:szCs w:val="22"/>
          <w:color w:val="auto"/>
        </w:rPr>
        <w:t>independent contractor) over the immediately preceding 36-month period (or the full period of services if the Participant has been providing services for less than 36 months). Notwithstanding the foregoing, the employment relationship is treated as continuing while the Participant is on military leave, sick leave or other bona fide leave of absence if the period of leave does not exceed six (6) months, or if longer, so long as the Participant retains the right to reemployment with the Company or an Affiliate under an applicable statute or contract. When a leave of absence is due to any medically determinable physical or mental impairment that can be expected to result in death or to last for a period of at least six (6) months and such impairment causes the Participant to be unable to perform the duties of his or her position or any substantially similar position, a 29-month period of absence may be substituted for the 6-month period above.</w:t>
      </w:r>
    </w:p>
    <w:p>
      <w:pPr>
        <w:spacing w:after="0" w:line="219" w:lineRule="exact"/>
        <w:rPr>
          <w:sz w:val="20"/>
          <w:szCs w:val="20"/>
          <w:color w:val="auto"/>
        </w:rPr>
      </w:pPr>
    </w:p>
    <w:p>
      <w:pPr>
        <w:jc w:val="both"/>
        <w:ind w:left="140"/>
        <w:spacing w:after="0" w:line="235"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Specified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 key employee (as defined in Code § 416(i) without regard to paragraph (5)</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of a Company or its Affiliates, any stock of which is publicly traded on an established securities market or otherwise. A Participant is a key employee if the Participant meets the requirements of Code §416(i)(1)(A)(i), (ii) or (iii) (applied in accordance with the regulations thereunder and disregarding Code</w:t>
      </w:r>
    </w:p>
    <w:p>
      <w:pPr>
        <w:spacing w:after="0" w:line="2" w:lineRule="exact"/>
        <w:rPr>
          <w:sz w:val="20"/>
          <w:szCs w:val="20"/>
          <w:color w:val="auto"/>
        </w:rPr>
      </w:pPr>
    </w:p>
    <w:p>
      <w:pPr>
        <w:jc w:val="both"/>
        <w:ind w:left="140"/>
        <w:spacing w:after="0" w:line="233" w:lineRule="auto"/>
        <w:rPr>
          <w:sz w:val="20"/>
          <w:szCs w:val="20"/>
          <w:color w:val="auto"/>
        </w:rPr>
      </w:pPr>
      <w:r>
        <w:rPr>
          <w:rFonts w:ascii="Arial" w:cs="Arial" w:eastAsia="Arial" w:hAnsi="Arial"/>
          <w:sz w:val="22"/>
          <w:szCs w:val="22"/>
          <w:color w:val="auto"/>
        </w:rPr>
        <w:t>§416(i)(5)) at any time during the 12-month period ending each December 31. If a Participant is a key employee at any time during the 12-month period ending on such December 31, the Participant is treated as a Specified Employee for the 12-month period beginning on the following April 1. Whether any stock of Company or its successors is publicly traded on an established securities market or otherwise must be determined as of the date of the Participant’s Separation from Service. Any Participant who is at the level of Vice President or above, shall automatically be considered to be a Specified Employee, and any distribution to them shall be subject to a payment delay of six months.</w:t>
      </w:r>
    </w:p>
    <w:p>
      <w:pPr>
        <w:spacing w:after="0" w:line="214" w:lineRule="exact"/>
        <w:rPr>
          <w:sz w:val="20"/>
          <w:szCs w:val="20"/>
          <w:color w:val="auto"/>
        </w:rPr>
      </w:pPr>
    </w:p>
    <w:p>
      <w:pPr>
        <w:jc w:val="both"/>
        <w:ind w:left="140" w:firstLine="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Unforeseeable Emergency</w:t>
      </w:r>
      <w:r>
        <w:rPr>
          <w:rFonts w:ascii="Arial" w:cs="Arial" w:eastAsia="Arial" w:hAnsi="Arial"/>
          <w:sz w:val="22"/>
          <w:szCs w:val="22"/>
          <w:color w:val="auto"/>
        </w:rPr>
        <w:t>” shall mean a severe financial hardship resulting from an illness or accident of the Participant, the Participant’s spouse, or a dependent (as defined in Code § 152(a)) of the Participant, loss of the Participant’s property due to casualty or other similar extraordinary and unforeseeable circumstances arising as a result of events beyond the control of the Participant.</w:t>
      </w:r>
    </w:p>
    <w:p>
      <w:pPr>
        <w:spacing w:after="0" w:line="202" w:lineRule="exact"/>
        <w:rPr>
          <w:sz w:val="20"/>
          <w:szCs w:val="20"/>
          <w:color w:val="auto"/>
        </w:rPr>
      </w:pPr>
    </w:p>
    <w:p>
      <w:pPr>
        <w:jc w:val="both"/>
        <w:ind w:left="14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Year of Participation</w:t>
      </w:r>
      <w:r>
        <w:rPr>
          <w:rFonts w:ascii="Arial" w:cs="Arial" w:eastAsia="Arial" w:hAnsi="Arial"/>
          <w:sz w:val="22"/>
          <w:szCs w:val="22"/>
          <w:color w:val="auto"/>
        </w:rPr>
        <w:t>" shall mean each consecutive 12-month period beginning on the effective date of the Participant's first deferral election made in accordance with Article IV and each anniversary date thereafter.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0" w:right="459" w:bottom="1440" w:gutter="0" w:footer="0" w:header="0"/>
        </w:sectPr>
      </w:pPr>
    </w:p>
    <w:bookmarkStart w:id="43" w:name="page44"/>
    <w:bookmarkEnd w:id="43"/>
    <w:p>
      <w:pPr>
        <w:jc w:val="center"/>
        <w:ind w:right="-119"/>
        <w:spacing w:after="0"/>
        <w:rPr>
          <w:sz w:val="20"/>
          <w:szCs w:val="20"/>
          <w:color w:val="auto"/>
        </w:rPr>
      </w:pPr>
      <w:r>
        <w:rPr>
          <w:rFonts w:ascii="Arial" w:cs="Arial" w:eastAsia="Arial" w:hAnsi="Arial"/>
          <w:sz w:val="22"/>
          <w:szCs w:val="22"/>
          <w:b w:val="1"/>
          <w:bCs w:val="1"/>
          <w:color w:val="auto"/>
        </w:rPr>
        <w:t>ARTICLE II</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32" w:lineRule="exact"/>
        <w:rPr>
          <w:sz w:val="20"/>
          <w:szCs w:val="20"/>
          <w:color w:val="auto"/>
        </w:rPr>
      </w:pPr>
    </w:p>
    <w:p>
      <w:pPr>
        <w:ind w:left="880" w:hanging="742"/>
        <w:spacing w:after="0"/>
        <w:tabs>
          <w:tab w:leader="none" w:pos="88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w:t>
      </w:r>
    </w:p>
    <w:p>
      <w:pPr>
        <w:spacing w:after="0" w:line="207"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Plan Administrator shall have complete control and discretion to manage the operation and administration of the Plan. Not in limitation, but in amplification of the foregoing, the Plan Administrator shall have the following powers:</w:t>
      </w:r>
    </w:p>
    <w:p>
      <w:pPr>
        <w:spacing w:after="0" w:line="212" w:lineRule="exact"/>
        <w:rPr>
          <w:rFonts w:ascii="Arial" w:cs="Arial" w:eastAsia="Arial" w:hAnsi="Arial"/>
          <w:sz w:val="22"/>
          <w:szCs w:val="22"/>
          <w:color w:val="auto"/>
        </w:rPr>
      </w:pPr>
    </w:p>
    <w:p>
      <w:pPr>
        <w:ind w:left="1640" w:hanging="4"/>
        <w:spacing w:after="0" w:line="259" w:lineRule="auto"/>
        <w:tabs>
          <w:tab w:leader="none" w:pos="1965" w:val="left"/>
        </w:tabs>
        <w:numPr>
          <w:ilvl w:val="2"/>
          <w:numId w:val="19"/>
        </w:numPr>
        <w:rPr>
          <w:rFonts w:ascii="Arial" w:cs="Arial" w:eastAsia="Arial" w:hAnsi="Arial"/>
          <w:sz w:val="22"/>
          <w:szCs w:val="22"/>
          <w:color w:val="auto"/>
        </w:rPr>
      </w:pPr>
      <w:r>
        <w:rPr>
          <w:rFonts w:ascii="Arial" w:cs="Arial" w:eastAsia="Arial" w:hAnsi="Arial"/>
          <w:sz w:val="22"/>
          <w:szCs w:val="22"/>
          <w:color w:val="auto"/>
        </w:rPr>
        <w:t>To determine all questions relating to the eligibility of employees to participate or continue to participate;</w:t>
      </w:r>
    </w:p>
    <w:p>
      <w:pPr>
        <w:spacing w:after="0" w:line="195" w:lineRule="exact"/>
        <w:rPr>
          <w:rFonts w:ascii="Arial" w:cs="Arial" w:eastAsia="Arial" w:hAnsi="Arial"/>
          <w:sz w:val="22"/>
          <w:szCs w:val="22"/>
          <w:color w:val="auto"/>
        </w:rPr>
      </w:pPr>
    </w:p>
    <w:p>
      <w:pPr>
        <w:ind w:left="1960" w:hanging="324"/>
        <w:spacing w:after="0"/>
        <w:tabs>
          <w:tab w:leader="none" w:pos="19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To maintain all records and books of account necessary for the administration of the Plan;</w:t>
      </w:r>
    </w:p>
    <w:p>
      <w:pPr>
        <w:spacing w:after="0" w:line="232" w:lineRule="exact"/>
        <w:rPr>
          <w:sz w:val="20"/>
          <w:szCs w:val="20"/>
          <w:color w:val="auto"/>
        </w:rPr>
      </w:pPr>
    </w:p>
    <w:p>
      <w:pPr>
        <w:ind w:left="1640"/>
        <w:spacing w:after="0" w:line="259" w:lineRule="auto"/>
        <w:rPr>
          <w:sz w:val="20"/>
          <w:szCs w:val="20"/>
          <w:color w:val="auto"/>
        </w:rPr>
      </w:pPr>
      <w:r>
        <w:rPr>
          <w:rFonts w:ascii="Arial" w:cs="Arial" w:eastAsia="Arial" w:hAnsi="Arial"/>
          <w:sz w:val="22"/>
          <w:szCs w:val="22"/>
          <w:color w:val="auto"/>
        </w:rPr>
        <w:t>(C)To interpret the provisions of the Plan and to make and to publish such interpretive or procedural rules as are not inconsistent with the Plan and applicable law;</w:t>
      </w:r>
    </w:p>
    <w:p>
      <w:pPr>
        <w:spacing w:after="0" w:line="196" w:lineRule="exact"/>
        <w:rPr>
          <w:sz w:val="20"/>
          <w:szCs w:val="20"/>
          <w:color w:val="auto"/>
        </w:rPr>
      </w:pPr>
    </w:p>
    <w:p>
      <w:pPr>
        <w:ind w:left="1640"/>
        <w:spacing w:after="0" w:line="259" w:lineRule="auto"/>
        <w:rPr>
          <w:sz w:val="20"/>
          <w:szCs w:val="20"/>
          <w:color w:val="auto"/>
        </w:rPr>
      </w:pPr>
      <w:r>
        <w:rPr>
          <w:rFonts w:ascii="Arial" w:cs="Arial" w:eastAsia="Arial" w:hAnsi="Arial"/>
          <w:sz w:val="22"/>
          <w:szCs w:val="22"/>
          <w:color w:val="auto"/>
        </w:rPr>
        <w:t>(D)To compute, certify and arrange for the payment of benefits to which any Participant or beneficiary is entitled;</w:t>
      </w:r>
    </w:p>
    <w:p>
      <w:pPr>
        <w:spacing w:after="0" w:line="196" w:lineRule="exact"/>
        <w:rPr>
          <w:sz w:val="20"/>
          <w:szCs w:val="20"/>
          <w:color w:val="auto"/>
        </w:rPr>
      </w:pPr>
    </w:p>
    <w:p>
      <w:pPr>
        <w:ind w:left="1960" w:hanging="324"/>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process claims for benefits under the Plan by Participants or beneficiaries;</w:t>
      </w:r>
    </w:p>
    <w:p>
      <w:pPr>
        <w:spacing w:after="0" w:line="232" w:lineRule="exact"/>
        <w:rPr>
          <w:rFonts w:ascii="Arial" w:cs="Arial" w:eastAsia="Arial" w:hAnsi="Arial"/>
          <w:sz w:val="22"/>
          <w:szCs w:val="22"/>
          <w:color w:val="auto"/>
        </w:rPr>
      </w:pPr>
    </w:p>
    <w:p>
      <w:pPr>
        <w:ind w:left="1640" w:hanging="4"/>
        <w:spacing w:after="0" w:line="259" w:lineRule="auto"/>
        <w:tabs>
          <w:tab w:leader="none" w:pos="1965"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engage consultants and professionals, including Record Keeper, to assist the Plan Administrator in carrying out its duties under this Plan; and</w:t>
      </w:r>
    </w:p>
    <w:p>
      <w:pPr>
        <w:spacing w:after="0" w:line="196" w:lineRule="exact"/>
        <w:rPr>
          <w:sz w:val="20"/>
          <w:szCs w:val="20"/>
          <w:color w:val="auto"/>
        </w:rPr>
      </w:pPr>
    </w:p>
    <w:p>
      <w:pPr>
        <w:ind w:left="1640"/>
        <w:spacing w:after="0" w:line="259" w:lineRule="auto"/>
        <w:rPr>
          <w:sz w:val="20"/>
          <w:szCs w:val="20"/>
          <w:color w:val="auto"/>
        </w:rPr>
      </w:pPr>
      <w:r>
        <w:rPr>
          <w:rFonts w:ascii="Arial" w:cs="Arial" w:eastAsia="Arial" w:hAnsi="Arial"/>
          <w:sz w:val="22"/>
          <w:szCs w:val="22"/>
          <w:color w:val="auto"/>
        </w:rPr>
        <w:t>(G)To develop and maintain such instruments as may be deemed necessary from time to time by the Plan Administrator to facilitate payment of benefits under the Plan.</w:t>
      </w:r>
    </w:p>
    <w:p>
      <w:pPr>
        <w:spacing w:after="0" w:line="196" w:lineRule="exact"/>
        <w:rPr>
          <w:sz w:val="20"/>
          <w:szCs w:val="20"/>
          <w:color w:val="auto"/>
        </w:rPr>
      </w:pPr>
    </w:p>
    <w:p>
      <w:pPr>
        <w:ind w:left="880" w:right="20" w:firstLine="7"/>
        <w:spacing w:after="0" w:line="259" w:lineRule="auto"/>
        <w:tabs>
          <w:tab w:leader="none" w:pos="1442"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Plan Administrator may designate a committee to assist the Plan Administrator in the administration of the Plan and perform the duties required of the Plan Administrator hereunder.</w:t>
      </w:r>
    </w:p>
    <w:p>
      <w:pPr>
        <w:spacing w:after="0" w:line="180"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Administrator's Authority</w:t>
      </w:r>
      <w:r>
        <w:rPr>
          <w:rFonts w:ascii="Arial" w:cs="Arial" w:eastAsia="Arial" w:hAnsi="Arial"/>
          <w:sz w:val="22"/>
          <w:szCs w:val="22"/>
          <w:color w:val="auto"/>
        </w:rPr>
        <w:t>. The Plan Administrator may consult with Company officers, legal and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advisers to the Company and others, but nevertheless the Plan Administrator shall have the full authority and discretion to act, and the Plan Administrator's actions shall be final and conclusive on all parties.</w:t>
      </w:r>
    </w:p>
    <w:p>
      <w:pPr>
        <w:spacing w:after="0" w:line="209"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Claims and Appeal Procedure for Denial of Benefits</w:t>
      </w:r>
      <w:r>
        <w:rPr>
          <w:rFonts w:ascii="Arial" w:cs="Arial" w:eastAsia="Arial" w:hAnsi="Arial"/>
          <w:sz w:val="22"/>
          <w:szCs w:val="22"/>
          <w:color w:val="auto"/>
        </w:rPr>
        <w:t>. A Participant or a beneficiary ("Claimant") may file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Plan Administrator a written claim for benefits if the Participant or beneficiary determines the distribution procedures of the Plan have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44" w:name="page45"/>
    <w:bookmarkEnd w:id="44"/>
    <w:p>
      <w:pPr>
        <w:jc w:val="both"/>
        <w:ind w:left="140"/>
        <w:spacing w:after="0" w:line="237" w:lineRule="auto"/>
        <w:rPr>
          <w:sz w:val="20"/>
          <w:szCs w:val="20"/>
          <w:color w:val="auto"/>
        </w:rPr>
      </w:pPr>
      <w:r>
        <w:rPr>
          <w:rFonts w:ascii="Arial" w:cs="Arial" w:eastAsia="Arial" w:hAnsi="Arial"/>
          <w:sz w:val="22"/>
          <w:szCs w:val="22"/>
          <w:color w:val="auto"/>
        </w:rPr>
        <w:t>not provided him/her proper interest in the Plan. The Plan Administrator must render a decision on the claim within a reasonable period of time of the Claimant's written claim for benefits, which is within ninety (90) days of Plan Administrator’s receipt of initial claim. The Plan Administrator must provide adequate notice in writing to the Claimant whose claim for benefits under the Plan the Plan Administrator has denied. The Plan Administrator's notice to the Claimant must set forth:</w:t>
      </w:r>
    </w:p>
    <w:p>
      <w:pPr>
        <w:spacing w:after="0" w:line="221" w:lineRule="exact"/>
        <w:rPr>
          <w:sz w:val="20"/>
          <w:szCs w:val="20"/>
          <w:color w:val="auto"/>
        </w:rPr>
      </w:pPr>
    </w:p>
    <w:p>
      <w:pPr>
        <w:ind w:left="1640" w:hanging="753"/>
        <w:spacing w:after="0"/>
        <w:tabs>
          <w:tab w:leader="none" w:pos="16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specific reason for the denial;</w:t>
      </w:r>
    </w:p>
    <w:p>
      <w:pPr>
        <w:spacing w:after="0" w:line="245" w:lineRule="exact"/>
        <w:rPr>
          <w:rFonts w:ascii="Arial" w:cs="Arial" w:eastAsia="Arial" w:hAnsi="Arial"/>
          <w:sz w:val="22"/>
          <w:szCs w:val="22"/>
          <w:color w:val="auto"/>
        </w:rPr>
      </w:pPr>
    </w:p>
    <w:p>
      <w:pPr>
        <w:ind w:left="1440" w:hanging="553"/>
        <w:spacing w:after="0"/>
        <w:tabs>
          <w:tab w:leader="none" w:pos="14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Specific references to pertinent Plan provisions on which the Plan Administrator based its denial;</w:t>
      </w:r>
    </w:p>
    <w:p>
      <w:pPr>
        <w:spacing w:after="0" w:line="232" w:lineRule="exact"/>
        <w:rPr>
          <w:rFonts w:ascii="Arial" w:cs="Arial" w:eastAsia="Arial" w:hAnsi="Arial"/>
          <w:sz w:val="22"/>
          <w:szCs w:val="22"/>
          <w:color w:val="auto"/>
        </w:rPr>
      </w:pPr>
    </w:p>
    <w:p>
      <w:pPr>
        <w:ind w:left="880" w:right="20" w:firstLine="7"/>
        <w:spacing w:after="0" w:line="259" w:lineRule="auto"/>
        <w:tabs>
          <w:tab w:leader="none" w:pos="144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description of any additional material and information needed for the Claimant to perfect his/her claim and an explanation of why the material or information is needed; and</w:t>
      </w:r>
    </w:p>
    <w:p>
      <w:pPr>
        <w:spacing w:after="0" w:line="195" w:lineRule="exact"/>
        <w:rPr>
          <w:rFonts w:ascii="Arial" w:cs="Arial" w:eastAsia="Arial" w:hAnsi="Arial"/>
          <w:sz w:val="22"/>
          <w:szCs w:val="22"/>
          <w:color w:val="auto"/>
        </w:rPr>
      </w:pPr>
    </w:p>
    <w:p>
      <w:pPr>
        <w:jc w:val="both"/>
        <w:ind w:left="880" w:firstLine="7"/>
        <w:spacing w:after="0" w:line="235" w:lineRule="auto"/>
        <w:tabs>
          <w:tab w:leader="none" w:pos="144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That any appeal the Claimant wishes to make of the adverse determination must be made in writing to the Plan Administrator within sixty (60) days after receipt of the Plan Administrator's notice of denial of benefits. If the sixtieth (60</w:t>
      </w:r>
      <w:r>
        <w:rPr>
          <w:rFonts w:ascii="Arial" w:cs="Arial" w:eastAsia="Arial" w:hAnsi="Arial"/>
          <w:sz w:val="14"/>
          <w:szCs w:val="14"/>
          <w:color w:val="auto"/>
        </w:rPr>
        <w:t>th</w:t>
      </w:r>
      <w:r>
        <w:rPr>
          <w:rFonts w:ascii="Arial" w:cs="Arial" w:eastAsia="Arial" w:hAnsi="Arial"/>
          <w:sz w:val="22"/>
          <w:szCs w:val="22"/>
          <w:color w:val="auto"/>
        </w:rPr>
        <w:t>) day falls on a weekend, the immediately following business day is the deadline. The Plan Administrator's notice must further advise the Claimant that his/her failure to appeal the action to the Plan Administrator in writing will render the Plan Administrator's determination final, binding and conclusive. The Plan Administrator's notice of denial of benefits must identify the name and address of the Plan Administrator to whom the Claimant may forward his/her appeal.</w:t>
      </w:r>
    </w:p>
    <w:p>
      <w:pPr>
        <w:spacing w:after="0" w:line="208" w:lineRule="exact"/>
        <w:rPr>
          <w:sz w:val="20"/>
          <w:szCs w:val="20"/>
          <w:color w:val="auto"/>
        </w:rPr>
      </w:pPr>
    </w:p>
    <w:p>
      <w:pPr>
        <w:jc w:val="both"/>
        <w:ind w:left="880"/>
        <w:spacing w:after="0" w:line="263" w:lineRule="auto"/>
        <w:rPr>
          <w:sz w:val="20"/>
          <w:szCs w:val="20"/>
          <w:color w:val="auto"/>
        </w:rPr>
      </w:pPr>
      <w:r>
        <w:rPr>
          <w:rFonts w:ascii="Arial" w:cs="Arial" w:eastAsia="Arial" w:hAnsi="Arial"/>
          <w:sz w:val="20"/>
          <w:szCs w:val="20"/>
          <w:color w:val="auto"/>
        </w:rPr>
        <w:t>If the Claimant should appeal to the Plan Administrator, he/she, or his/her duly authorized representative, must submit, in writing, whatever issues and comments he/she, or his/her duly authorized representative, believes are pertinent. The Claimant, or his/her duly authorized representative, may review pertinent Plan documents. The Plan Administrator will re-examine all facts related to the appeal and make a final determination as to whether the denial of benefits is justified under the circumstances. After receipt of the Claimant’s written request for review, the Plan Administrator must advise the Claimant of its decision within sixty (60) days after receipt of Claimant’s appeal.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0" w:right="459"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22"/>
          <w:szCs w:val="22"/>
          <w:b w:val="1"/>
          <w:bCs w:val="1"/>
          <w:color w:val="auto"/>
        </w:rPr>
        <w:t>ARTICLE III</w:t>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Eligibility and Participation</w:t>
      </w:r>
    </w:p>
    <w:p>
      <w:pPr>
        <w:spacing w:after="0" w:line="246" w:lineRule="exact"/>
        <w:rPr>
          <w:sz w:val="20"/>
          <w:szCs w:val="20"/>
          <w:color w:val="auto"/>
        </w:rPr>
      </w:pPr>
    </w:p>
    <w:p>
      <w:pPr>
        <w:jc w:val="both"/>
        <w:ind w:left="140" w:hanging="2"/>
        <w:spacing w:after="0" w:line="238" w:lineRule="auto"/>
        <w:tabs>
          <w:tab w:leader="none" w:pos="43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The Company, in its sole discretion, shall determine those key management and highly</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compensated employees eligible to participate in the Plan. Accordingly, an employee of the Company who, in the opinion of the Company based upon its then current guidelines, has contributed or is expected to contribute to the growth and successful operations of the Company and who meets any additional criteria for eligibility that the Company, in its sole discretion, may adopt from time to time, will be eligible to become a Participant.</w:t>
      </w:r>
    </w:p>
    <w:p>
      <w:pPr>
        <w:spacing w:after="0" w:line="215" w:lineRule="exact"/>
        <w:rPr>
          <w:rFonts w:ascii="Arial" w:cs="Arial" w:eastAsia="Arial" w:hAnsi="Arial"/>
          <w:sz w:val="22"/>
          <w:szCs w:val="22"/>
          <w:color w:val="auto"/>
        </w:rPr>
      </w:pPr>
    </w:p>
    <w:p>
      <w:pPr>
        <w:jc w:val="both"/>
        <w:ind w:left="140" w:hanging="2"/>
        <w:spacing w:after="0" w:line="234" w:lineRule="auto"/>
        <w:tabs>
          <w:tab w:leader="none" w:pos="43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Rehired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required under Section 409A Requirements (or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approved by the Committee if permitted under Section 409A Requirements), a Participant who is rehired following a Termination of Employment, will be treated as a new employee, without affecting or suspending any benefit payment resulting from any previous participation in this Plan or previous Termination of Employment, and without implying any right to participate further in this Plan as a result of his or her re-employment. If such former Participant is selected to become an Eligible Employee under the Plan following his or her rehiring, such Participant may not commence participation in the Plan until the first day of the Plan Year following his or her submission of all required enrollment documents to the Record Keeper, and for purposes of any applicable vesting, he or she shall be treated as a new employee and new enrollee based on his or her most recent date of hire and participation as a new Participant in this Plan.</w:t>
      </w:r>
    </w:p>
    <w:p>
      <w:pPr>
        <w:spacing w:after="0" w:line="203" w:lineRule="exact"/>
        <w:rPr>
          <w:rFonts w:ascii="Arial" w:cs="Arial" w:eastAsia="Arial" w:hAnsi="Arial"/>
          <w:sz w:val="22"/>
          <w:szCs w:val="22"/>
          <w:color w:val="auto"/>
        </w:rPr>
      </w:pPr>
    </w:p>
    <w:p>
      <w:pPr>
        <w:ind w:left="140" w:hanging="2"/>
        <w:spacing w:after="0" w:line="260" w:lineRule="auto"/>
        <w:tabs>
          <w:tab w:leader="none" w:pos="43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w:t>
      </w:r>
      <w:r>
        <w:rPr>
          <w:rFonts w:ascii="Arial" w:cs="Arial" w:eastAsia="Arial" w:hAnsi="Arial"/>
          <w:sz w:val="22"/>
          <w:szCs w:val="22"/>
          <w:color w:val="auto"/>
        </w:rPr>
        <w:t>. An eligible employee shall become a Participant upon receiving notification from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and, if required, the timely filing of elections pursuant to Article IV.</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8" w:right="459" w:bottom="1440" w:gutter="0" w:footer="0" w:header="0"/>
        </w:sectPr>
      </w:pPr>
    </w:p>
    <w:bookmarkStart w:id="46" w:name="page47"/>
    <w:bookmarkEnd w:id="46"/>
    <w:p>
      <w:pPr>
        <w:jc w:val="center"/>
        <w:ind w:right="-139"/>
        <w:spacing w:after="0"/>
        <w:rPr>
          <w:sz w:val="20"/>
          <w:szCs w:val="20"/>
          <w:color w:val="auto"/>
        </w:rPr>
      </w:pPr>
      <w:r>
        <w:rPr>
          <w:rFonts w:ascii="Arial" w:cs="Arial" w:eastAsia="Arial" w:hAnsi="Arial"/>
          <w:sz w:val="22"/>
          <w:szCs w:val="22"/>
          <w:b w:val="1"/>
          <w:bCs w:val="1"/>
          <w:color w:val="auto"/>
        </w:rPr>
        <w:t>ARTICLE IV</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Deferral Elections and Company Contributions</w:t>
      </w:r>
    </w:p>
    <w:p>
      <w:pPr>
        <w:spacing w:after="0" w:line="200" w:lineRule="exact"/>
        <w:rPr>
          <w:sz w:val="20"/>
          <w:szCs w:val="20"/>
          <w:color w:val="auto"/>
        </w:rPr>
      </w:pPr>
    </w:p>
    <w:p>
      <w:pPr>
        <w:spacing w:after="0" w:line="289" w:lineRule="exact"/>
        <w:rPr>
          <w:sz w:val="20"/>
          <w:szCs w:val="20"/>
          <w:color w:val="auto"/>
        </w:rPr>
      </w:pPr>
    </w:p>
    <w:p>
      <w:pPr>
        <w:ind w:left="880" w:hanging="742"/>
        <w:spacing w:after="0"/>
        <w:tabs>
          <w:tab w:leader="none" w:pos="88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 Procedures</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jc w:val="both"/>
        <w:ind w:left="880" w:firstLine="7"/>
        <w:spacing w:after="0" w:line="237" w:lineRule="auto"/>
        <w:tabs>
          <w:tab w:leader="none" w:pos="1442"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Participant may elect to defer, for any calendar year, up to ninety percent (90%) of his/her base salary and/or ninety percent (90%) of any bonuses and incentive compensation paid during such calendar year as may be permitted by the Plan Administrator in its discretion. Deferral elections shall be in whole percentages or a stated dollar amount, not to exceed the maximum percentage as stated in this paragraph.</w:t>
      </w:r>
    </w:p>
    <w:p>
      <w:pPr>
        <w:spacing w:after="0" w:line="220"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5"/>
        </w:numPr>
        <w:rPr>
          <w:rFonts w:ascii="Arial" w:cs="Arial" w:eastAsia="Arial" w:hAnsi="Arial"/>
          <w:sz w:val="22"/>
          <w:szCs w:val="22"/>
          <w:color w:val="auto"/>
        </w:rPr>
      </w:pPr>
      <w:r>
        <w:rPr>
          <w:rFonts w:ascii="Arial" w:cs="Arial" w:eastAsia="Arial" w:hAnsi="Arial"/>
          <w:sz w:val="22"/>
          <w:szCs w:val="22"/>
          <w:color w:val="auto"/>
        </w:rPr>
        <w:t>At the same time as the election of Base Salary, bonuses and incentive compensation, any Participant may elect to defer any Refund of 401K Contribution If so elected, no less than one-hundred percent (100%) of such refund must be elected.</w:t>
      </w:r>
    </w:p>
    <w:p>
      <w:pPr>
        <w:spacing w:after="0" w:line="212" w:lineRule="exact"/>
        <w:rPr>
          <w:rFonts w:ascii="Arial" w:cs="Arial" w:eastAsia="Arial" w:hAnsi="Arial"/>
          <w:sz w:val="22"/>
          <w:szCs w:val="22"/>
          <w:color w:val="auto"/>
        </w:rPr>
      </w:pPr>
    </w:p>
    <w:p>
      <w:pPr>
        <w:jc w:val="both"/>
        <w:ind w:left="880" w:firstLine="7"/>
        <w:spacing w:after="0" w:line="239" w:lineRule="auto"/>
        <w:tabs>
          <w:tab w:leader="none" w:pos="1442"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election to defer a portion of Base Salary or all or a portion of any bonus and incentive compensation under this paragraph (a) must be delivered to the Plan Administrator prior to the January 1 of the calendar year in which the Base Salary, bonus or incentive compensation to be deferred are otherwise earned.</w:t>
      </w:r>
    </w:p>
    <w:p>
      <w:pPr>
        <w:spacing w:after="0" w:line="205" w:lineRule="exact"/>
        <w:rPr>
          <w:rFonts w:ascii="Arial" w:cs="Arial" w:eastAsia="Arial" w:hAnsi="Arial"/>
          <w:sz w:val="22"/>
          <w:szCs w:val="22"/>
          <w:color w:val="auto"/>
        </w:rPr>
      </w:pPr>
    </w:p>
    <w:p>
      <w:pPr>
        <w:jc w:val="both"/>
        <w:ind w:left="880" w:firstLine="7"/>
        <w:spacing w:after="0" w:line="239" w:lineRule="auto"/>
        <w:tabs>
          <w:tab w:leader="none" w:pos="1442" w:val="left"/>
        </w:tabs>
        <w:numPr>
          <w:ilvl w:val="1"/>
          <w:numId w:val="25"/>
        </w:numPr>
        <w:rPr>
          <w:rFonts w:ascii="Arial" w:cs="Arial" w:eastAsia="Arial" w:hAnsi="Arial"/>
          <w:sz w:val="22"/>
          <w:szCs w:val="22"/>
          <w:color w:val="auto"/>
        </w:rPr>
      </w:pPr>
      <w:r>
        <w:rPr>
          <w:rFonts w:ascii="Arial" w:cs="Arial" w:eastAsia="Arial" w:hAnsi="Arial"/>
          <w:sz w:val="22"/>
          <w:szCs w:val="22"/>
          <w:color w:val="auto"/>
        </w:rPr>
        <w:t>Notwithstanding the foregoing, an election may be made by a Participant to defer Base Salary, bonuses, and incentive compensation earned subsequent to his/her deferral election within the 30-day period following a Participant's initial eligibility to participate in the Plan. Further, any performance-based compensation shall be prorated based on the number of completed months remaining in the Plan Year.</w:t>
      </w:r>
    </w:p>
    <w:p>
      <w:pPr>
        <w:spacing w:after="0" w:line="219"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Participant must submit a new deferral election for each Plan Year. If a Participant fails to submit the appropriate election for any Plan Year, the Participant will be deemed to have elected not to defer under the Plan for the Plan Year to which such election would apply.</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Elections</w:t>
      </w:r>
      <w:r>
        <w:rPr>
          <w:rFonts w:ascii="Arial" w:cs="Arial" w:eastAsia="Arial" w:hAnsi="Arial"/>
          <w:sz w:val="22"/>
          <w:szCs w:val="22"/>
          <w:color w:val="auto"/>
        </w:rPr>
        <w:t>. Any election by a Participant under this Article IV shall be made in a manner prescribed by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(the terms of which are incorporated herein by reference), and shall specify the amount of compensation to be deferred.</w:t>
      </w:r>
    </w:p>
    <w:p>
      <w:pPr>
        <w:spacing w:after="0" w:line="196" w:lineRule="exact"/>
        <w:rPr>
          <w:rFonts w:ascii="Arial" w:cs="Arial" w:eastAsia="Arial" w:hAnsi="Arial"/>
          <w:sz w:val="22"/>
          <w:szCs w:val="22"/>
          <w:color w:val="auto"/>
        </w:rPr>
      </w:pPr>
    </w:p>
    <w:p>
      <w:pPr>
        <w:ind w:left="140" w:hanging="2"/>
        <w:spacing w:after="0" w:line="260" w:lineRule="auto"/>
        <w:tabs>
          <w:tab w:leader="none" w:pos="436"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Contributions</w:t>
      </w:r>
      <w:r>
        <w:rPr>
          <w:rFonts w:ascii="Arial" w:cs="Arial" w:eastAsia="Arial" w:hAnsi="Arial"/>
          <w:sz w:val="22"/>
          <w:szCs w:val="22"/>
          <w:color w:val="auto"/>
        </w:rPr>
        <w:t>. The Company may credit a Participant with a discretionary matching or non-matching contribution as determined by the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47" w:name="page48"/>
    <w:bookmarkEnd w:id="47"/>
    <w:p>
      <w:pPr>
        <w:ind w:left="1100" w:right="660" w:hanging="205"/>
        <w:spacing w:after="0" w:line="259" w:lineRule="auto"/>
        <w:rPr>
          <w:sz w:val="20"/>
          <w:szCs w:val="20"/>
          <w:color w:val="auto"/>
        </w:rPr>
      </w:pPr>
      <w:r>
        <w:rPr>
          <w:rFonts w:ascii="Arial" w:cs="Arial" w:eastAsia="Arial" w:hAnsi="Arial"/>
          <w:sz w:val="22"/>
          <w:szCs w:val="22"/>
          <w:color w:val="auto"/>
        </w:rPr>
        <w:t>(1)Discretionary Contributions.</w:t>
      </w:r>
      <w:r>
        <w:rPr>
          <w:sz w:val="20"/>
          <w:szCs w:val="20"/>
          <w:color w:val="auto"/>
        </w:rPr>
        <w:t xml:space="preserve"> </w:t>
      </w:r>
      <w:r>
        <w:rPr>
          <w:rFonts w:ascii="Arial" w:cs="Arial" w:eastAsia="Arial" w:hAnsi="Arial"/>
          <w:sz w:val="22"/>
          <w:szCs w:val="22"/>
          <w:color w:val="auto"/>
        </w:rPr>
        <w:t>As of each Plan Year, the Company may credit a Participant with a discretionary Company Contribution.</w:t>
      </w:r>
    </w:p>
    <w:p>
      <w:pPr>
        <w:spacing w:after="0" w:line="196" w:lineRule="exact"/>
        <w:rPr>
          <w:sz w:val="20"/>
          <w:szCs w:val="20"/>
          <w:color w:val="auto"/>
        </w:rPr>
      </w:pPr>
    </w:p>
    <w:p>
      <w:pPr>
        <w:ind w:left="1120" w:right="160" w:hanging="239"/>
        <w:spacing w:after="0" w:line="259" w:lineRule="auto"/>
        <w:rPr>
          <w:sz w:val="20"/>
          <w:szCs w:val="20"/>
          <w:color w:val="auto"/>
        </w:rPr>
      </w:pPr>
      <w:r>
        <w:rPr>
          <w:rFonts w:ascii="Arial" w:cs="Arial" w:eastAsia="Arial" w:hAnsi="Arial"/>
          <w:sz w:val="22"/>
          <w:szCs w:val="22"/>
          <w:color w:val="auto"/>
        </w:rPr>
        <w:t>(2)Matching Contributions. As of each Plan Year, the Company may credit a Participant with a matching contribution.</w:t>
      </w:r>
    </w:p>
    <w:p>
      <w:pPr>
        <w:spacing w:after="0" w:line="196" w:lineRule="exact"/>
        <w:rPr>
          <w:sz w:val="20"/>
          <w:szCs w:val="20"/>
          <w:color w:val="auto"/>
        </w:rPr>
      </w:pPr>
    </w:p>
    <w:p>
      <w:pPr>
        <w:ind w:left="1100" w:hanging="218"/>
        <w:spacing w:after="0" w:line="259" w:lineRule="auto"/>
        <w:rPr>
          <w:sz w:val="20"/>
          <w:szCs w:val="20"/>
          <w:color w:val="auto"/>
        </w:rPr>
      </w:pPr>
      <w:r>
        <w:rPr>
          <w:rFonts w:ascii="Arial" w:cs="Arial" w:eastAsia="Arial" w:hAnsi="Arial"/>
          <w:sz w:val="22"/>
          <w:szCs w:val="22"/>
          <w:color w:val="auto"/>
        </w:rPr>
        <w:t>(3)Except as otherwise determined by the Plan Administrator, all Company Contributions are distributed at separation of service.</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80" w:right="539" w:bottom="1440" w:gutter="0" w:footer="0" w:header="0"/>
        </w:sectPr>
      </w:pPr>
    </w:p>
    <w:bookmarkStart w:id="48" w:name="page49"/>
    <w:bookmarkEnd w:id="48"/>
    <w:p>
      <w:pPr>
        <w:jc w:val="center"/>
        <w:ind w:right="-139"/>
        <w:spacing w:after="0"/>
        <w:rPr>
          <w:sz w:val="20"/>
          <w:szCs w:val="20"/>
          <w:color w:val="auto"/>
        </w:rPr>
      </w:pPr>
      <w:r>
        <w:rPr>
          <w:rFonts w:ascii="Arial" w:cs="Arial" w:eastAsia="Arial" w:hAnsi="Arial"/>
          <w:sz w:val="22"/>
          <w:szCs w:val="22"/>
          <w:b w:val="1"/>
          <w:bCs w:val="1"/>
          <w:color w:val="auto"/>
        </w:rPr>
        <w:t>ARTICLE V</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Participant Accounts and Investment of Deferred Amounts</w:t>
      </w:r>
    </w:p>
    <w:p>
      <w:pPr>
        <w:spacing w:after="0" w:line="246" w:lineRule="exact"/>
        <w:rPr>
          <w:sz w:val="20"/>
          <w:szCs w:val="20"/>
          <w:color w:val="auto"/>
        </w:rPr>
      </w:pPr>
    </w:p>
    <w:p>
      <w:pPr>
        <w:ind w:left="880" w:hanging="742"/>
        <w:spacing w:after="0"/>
        <w:tabs>
          <w:tab w:leader="none" w:pos="88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In General</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compensation deferred or Company Contributions which are made pursuant to this Plan shall be recorded by the Plan Administrator in a bookkeeping account maintained in the name of the Participant.</w:t>
      </w:r>
    </w:p>
    <w:p>
      <w:pPr>
        <w:spacing w:after="0" w:line="212"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amounts that are credited to Participant Accounts shall be credited solely for purposes of accounting and computation. A Participant shall not have any interest in or right to such Accounts at any time.</w:t>
      </w:r>
    </w:p>
    <w:p>
      <w:pPr>
        <w:spacing w:after="0" w:line="210" w:lineRule="exact"/>
        <w:rPr>
          <w:rFonts w:ascii="Arial" w:cs="Arial" w:eastAsia="Arial" w:hAnsi="Arial"/>
          <w:sz w:val="22"/>
          <w:szCs w:val="22"/>
          <w:color w:val="auto"/>
        </w:rPr>
      </w:pPr>
    </w:p>
    <w:p>
      <w:pPr>
        <w:jc w:val="both"/>
        <w:ind w:left="140" w:hanging="2"/>
        <w:spacing w:after="0" w:line="238" w:lineRule="auto"/>
        <w:tabs>
          <w:tab w:leader="none" w:pos="436"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Subject to Claims</w:t>
      </w:r>
      <w:r>
        <w:rPr>
          <w:rFonts w:ascii="Arial" w:cs="Arial" w:eastAsia="Arial" w:hAnsi="Arial"/>
          <w:sz w:val="22"/>
          <w:szCs w:val="22"/>
          <w:color w:val="auto"/>
        </w:rPr>
        <w:t>. The Plan constitutes an unsecured promise by the Company to pay benefits in the future.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shall have the status of general unsecured creditors of the Company. The Plan is unfunded for Federal tax purposes and for purposes of Title I of the Employee Retirement Income Security Act of 1974. All amounts credited to a Participant's Accounts will remain the general assets of the Company and shall remain subject to the claims of the Company’s creditors until such amounts are distributed to the Participants.</w:t>
      </w:r>
    </w:p>
    <w:p>
      <w:pPr>
        <w:spacing w:after="0" w:line="201" w:lineRule="exact"/>
        <w:rPr>
          <w:rFonts w:ascii="Arial" w:cs="Arial" w:eastAsia="Arial" w:hAnsi="Arial"/>
          <w:sz w:val="22"/>
          <w:szCs w:val="22"/>
          <w:color w:val="auto"/>
        </w:rPr>
      </w:pPr>
    </w:p>
    <w:p>
      <w:pPr>
        <w:ind w:left="880" w:hanging="742"/>
        <w:spacing w:after="0"/>
        <w:tabs>
          <w:tab w:leader="none" w:pos="88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Crediting of Earnings.</w:t>
      </w:r>
    </w:p>
    <w:p>
      <w:pPr>
        <w:spacing w:after="0" w:line="247"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Plan Administrator shall allow a Participant to make a hypothetical allocation of the amounts credited to his/her Accounts among investment options/indices that the Plan Administrator shall make available from time to time. The Plan Administrator shall establish procedures regarding Participant investment allocations as are necessary, which procedures shall be communicated to the Participants. If a Participant fails to make an investment election under this section for a particular Account, such Account shall be hypothetically allocated to receive a return tied to a money market fund option.</w:t>
      </w:r>
    </w:p>
    <w:p>
      <w:pPr>
        <w:spacing w:after="0" w:line="219" w:lineRule="exact"/>
        <w:rPr>
          <w:rFonts w:ascii="Arial" w:cs="Arial" w:eastAsia="Arial" w:hAnsi="Arial"/>
          <w:sz w:val="22"/>
          <w:szCs w:val="22"/>
          <w:color w:val="auto"/>
        </w:rPr>
      </w:pPr>
    </w:p>
    <w:p>
      <w:pPr>
        <w:ind w:left="880" w:firstLine="7"/>
        <w:spacing w:after="0" w:line="259" w:lineRule="auto"/>
        <w:tabs>
          <w:tab w:leader="none" w:pos="14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 the event a Participant has elected no deferrals but is credited with a discretionary Company Contribution, the Committee shall determine the hypothetical investment crediting at its discretion.</w:t>
      </w:r>
    </w:p>
    <w:p>
      <w:pPr>
        <w:spacing w:after="0" w:line="182"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Participant's Accounts shall be credited at least annually with notional earnings equal to the aggregate/weighted average return on the investment options/indices selected by the Participant, less expenses.</w:t>
      </w:r>
    </w:p>
    <w:p>
      <w:pPr>
        <w:spacing w:after="0" w:line="210" w:lineRule="exact"/>
        <w:rPr>
          <w:rFonts w:ascii="Arial" w:cs="Arial" w:eastAsia="Arial" w:hAnsi="Arial"/>
          <w:sz w:val="22"/>
          <w:szCs w:val="22"/>
          <w:color w:val="auto"/>
        </w:rPr>
      </w:pPr>
    </w:p>
    <w:p>
      <w:pPr>
        <w:jc w:val="both"/>
        <w:ind w:left="140" w:hanging="2"/>
        <w:spacing w:after="0" w:line="238" w:lineRule="auto"/>
        <w:tabs>
          <w:tab w:leader="none" w:pos="436"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Valuation; Annual Statement</w:t>
      </w:r>
      <w:r>
        <w:rPr>
          <w:rFonts w:ascii="Arial" w:cs="Arial" w:eastAsia="Arial" w:hAnsi="Arial"/>
          <w:sz w:val="22"/>
          <w:szCs w:val="22"/>
          <w:color w:val="auto"/>
        </w:rPr>
        <w:t>. The value of Participant Accounts shall be determined by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and the Plan Administrator may establish such accounting procedures as are necessary to account for the Participant's interest in the Plan. Each Participant Account shall be valued as of the last day of each Plan Year or more frequently as determined by the Plan Administrator. The Plan Administrator shall furnish each Participant with an annual statement of his/her Accounts.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585" w:right="1440" w:bottom="1440" w:gutter="0" w:footer="0" w:header="0"/>
        </w:sectPr>
      </w:pPr>
    </w:p>
    <w:bookmarkStart w:id="50" w:name="page51"/>
    <w:bookmarkEnd w:id="50"/>
    <w:p>
      <w:pPr>
        <w:ind w:left="880" w:hanging="742"/>
        <w:spacing w:after="0"/>
        <w:tabs>
          <w:tab w:leader="none" w:pos="88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Establishment of Trust</w:t>
      </w:r>
    </w:p>
    <w:p>
      <w:pPr>
        <w:spacing w:after="0" w:line="247"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Company may establish one or more trusts substantially in conformance with the terms of the model trust described in Revenue Procedure 92-64 to assist in meeting its obligations to Participants under this Plan (“rabbi trust”). Except as provided in paragraph (b) above and the terms of the trust agreement, any such trust or trusts shall be established in such manner as to permit the use of assets transferred to the trust and the earnings thereon to be used by the trustee solely to satisfy the liability of the Company in accordance with the Plan.</w:t>
      </w:r>
    </w:p>
    <w:p>
      <w:pPr>
        <w:spacing w:after="0" w:line="219"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Company, in its sole discretion, and from time to time, may make contributions to the Trust. Unless otherwise paid by the Company, all benefits under the Plan and expenses chargeable to the Plan shall be paid from the trust.</w:t>
      </w:r>
    </w:p>
    <w:p>
      <w:pPr>
        <w:spacing w:after="0" w:line="199"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powers, duties and responsibilities of the trustee shall be as set forth in the trust agreement and nothing contained in the Plan, either expressly or by implication, shall impose any additional powers, duties or responsibilities upon the trustee.</w:t>
      </w:r>
    </w:p>
    <w:p>
      <w:pPr>
        <w:spacing w:after="0" w:line="210"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Alternative Funding Vehicles</w:t>
      </w:r>
      <w:r>
        <w:rPr>
          <w:rFonts w:ascii="Arial" w:cs="Arial" w:eastAsia="Arial" w:hAnsi="Arial"/>
          <w:sz w:val="22"/>
          <w:szCs w:val="22"/>
          <w:color w:val="auto"/>
        </w:rPr>
        <w:t>. In addition to, or in place of, creating and maintaining a rabbi trust,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implement other financing arrangements for the purpose of paying some or all of the benefits provided under this Plan.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8" w:right="459"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22"/>
          <w:szCs w:val="22"/>
          <w:b w:val="1"/>
          <w:bCs w:val="1"/>
          <w:color w:val="auto"/>
        </w:rPr>
        <w:t>ARTICLE VI</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Plan Benefits and Distributions</w:t>
      </w:r>
    </w:p>
    <w:p>
      <w:pPr>
        <w:spacing w:after="0" w:line="246" w:lineRule="exact"/>
        <w:rPr>
          <w:sz w:val="20"/>
          <w:szCs w:val="20"/>
          <w:color w:val="auto"/>
        </w:rPr>
      </w:pPr>
    </w:p>
    <w:p>
      <w:pPr>
        <w:ind w:left="140" w:hanging="2"/>
        <w:spacing w:after="0" w:line="260" w:lineRule="auto"/>
        <w:tabs>
          <w:tab w:leader="none" w:pos="436"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Benefits</w:t>
      </w:r>
      <w:r>
        <w:rPr>
          <w:rFonts w:ascii="Arial" w:cs="Arial" w:eastAsia="Arial" w:hAnsi="Arial"/>
          <w:sz w:val="22"/>
          <w:szCs w:val="22"/>
          <w:color w:val="auto"/>
        </w:rPr>
        <w:t>. Upon a Separation from Service for any reason, a Participant will be entitled to a benefit equal</w:t>
      </w:r>
      <w:r>
        <w:rPr>
          <w:rFonts w:ascii="Arial" w:cs="Arial" w:eastAsia="Arial" w:hAnsi="Arial"/>
          <w:sz w:val="22"/>
          <w:szCs w:val="22"/>
          <w:b w:val="1"/>
          <w:bCs w:val="1"/>
          <w:color w:val="auto"/>
        </w:rPr>
        <w:t xml:space="preserve"> </w:t>
      </w:r>
      <w:r>
        <w:rPr>
          <w:rFonts w:ascii="Arial" w:cs="Arial" w:eastAsia="Arial" w:hAnsi="Arial"/>
          <w:sz w:val="22"/>
          <w:szCs w:val="22"/>
          <w:color w:val="auto"/>
        </w:rPr>
        <w:t>to his/her vested Account balance as determined in accordance with this Article.</w:t>
      </w:r>
    </w:p>
    <w:p>
      <w:pPr>
        <w:spacing w:after="0" w:line="193" w:lineRule="exact"/>
        <w:rPr>
          <w:rFonts w:ascii="Arial" w:cs="Arial" w:eastAsia="Arial" w:hAnsi="Arial"/>
          <w:sz w:val="22"/>
          <w:szCs w:val="22"/>
          <w:color w:val="auto"/>
        </w:rPr>
      </w:pPr>
    </w:p>
    <w:p>
      <w:pPr>
        <w:jc w:val="both"/>
        <w:ind w:left="140" w:hanging="2"/>
        <w:spacing w:after="0" w:line="234" w:lineRule="auto"/>
        <w:tabs>
          <w:tab w:leader="none" w:pos="436"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Timing of Payment</w:t>
      </w:r>
      <w:r>
        <w:rPr>
          <w:rFonts w:ascii="Arial" w:cs="Arial" w:eastAsia="Arial" w:hAnsi="Arial"/>
          <w:sz w:val="22"/>
          <w:szCs w:val="22"/>
          <w:color w:val="auto"/>
        </w:rPr>
        <w:t>. In the event that a Participant experiences a Separation from Service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death, payment will commence in the form elected (see Article VI (d)(1)) as soon as practicable following the Participant’s Separation from Service but no later than 30 days following the separation date. Provided, however, if a payment is due at any time after the stock of the Company or its Affiliates is publicly traded on an established securities market or otherwise, any payment which is to be made upon a Separation from Service shall not be made earlier than the day following the six (6) month anniversary of the Separation from Service, or any earlier time upon which payment could be made to Specified Employees in accordance with the rules promulgated under Section 409A. Payment valuation will be calculated based upon the vested account balance as of the last business day of the month that the Separation from Service occurred.</w:t>
      </w:r>
    </w:p>
    <w:p>
      <w:pPr>
        <w:spacing w:after="0" w:line="209" w:lineRule="exact"/>
        <w:rPr>
          <w:rFonts w:ascii="Arial" w:cs="Arial" w:eastAsia="Arial" w:hAnsi="Arial"/>
          <w:sz w:val="22"/>
          <w:szCs w:val="22"/>
          <w:color w:val="auto"/>
        </w:rPr>
      </w:pPr>
    </w:p>
    <w:p>
      <w:pPr>
        <w:jc w:val="both"/>
        <w:ind w:left="880" w:firstLine="7"/>
        <w:spacing w:after="0" w:line="237" w:lineRule="auto"/>
        <w:tabs>
          <w:tab w:leader="none" w:pos="1442"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the event that a Participant experiences a Separation from Service as a result of death, the Account will be paid as a lump sum to the Participant’s beneficiary as soon as practicable as designated by the Plan Administrator up to and including December 31 of the calendar year following the calendar year in which death occurs. Payment valuation will be calculated based upon vested account balance as of the last business day of the month that the death of the participant occurred.</w:t>
      </w:r>
    </w:p>
    <w:p>
      <w:pPr>
        <w:spacing w:after="0" w:line="220"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28"/>
        </w:numPr>
        <w:rPr>
          <w:rFonts w:ascii="Arial" w:cs="Arial" w:eastAsia="Arial" w:hAnsi="Arial"/>
          <w:sz w:val="22"/>
          <w:szCs w:val="22"/>
          <w:color w:val="auto"/>
        </w:rPr>
      </w:pPr>
      <w:r>
        <w:rPr>
          <w:rFonts w:ascii="Arial" w:cs="Arial" w:eastAsia="Arial" w:hAnsi="Arial"/>
          <w:sz w:val="22"/>
          <w:szCs w:val="22"/>
          <w:color w:val="auto"/>
        </w:rPr>
        <w:t>Payment valuation will be calculated based upon the account balance as of the last business day of the month immediately preceding the January of the chosen year. In the event that a Participant experiences a Separation from Service prior to receipt of the scheduled in-service distribution, the benefit will be paid as a lump sum as soon as practicable following the Separation from Service, but no longer than 60 days following the date of Separation from Service event, so long as the Participant is not a Specified Employee.</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140" w:hanging="2"/>
        <w:spacing w:after="0" w:line="235" w:lineRule="auto"/>
        <w:tabs>
          <w:tab w:leader="none" w:pos="4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event of an Unforeseeable Emergency, the Plan Administrator may permit an early Hardship Distribution of part or all of any deferred amounts; provided, however, that such distribution shall be made only if the Plan Administrator, in its sole discretion, determines that the Participant, or the Participant’s beneficiary, has experienced an Unforeseeable Emergency. If an Unforeseeable Emergency is determined to exist, a distribution may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52" w:name="page53"/>
    <w:bookmarkEnd w:id="52"/>
    <w:p>
      <w:pPr>
        <w:ind w:left="140"/>
        <w:spacing w:after="0"/>
        <w:rPr>
          <w:sz w:val="20"/>
          <w:szCs w:val="20"/>
          <w:color w:val="auto"/>
        </w:rPr>
      </w:pPr>
      <w:r>
        <w:rPr>
          <w:rFonts w:ascii="Arial" w:cs="Arial" w:eastAsia="Arial" w:hAnsi="Arial"/>
          <w:sz w:val="20"/>
          <w:szCs w:val="20"/>
          <w:color w:val="auto"/>
        </w:rPr>
        <w:t>Participant’s assets (to the extent the liquidation of such assets would not itself cause severe financial hardship).</w:t>
      </w:r>
    </w:p>
    <w:p>
      <w:pPr>
        <w:spacing w:after="0" w:line="200" w:lineRule="exact"/>
        <w:rPr>
          <w:sz w:val="20"/>
          <w:szCs w:val="20"/>
          <w:color w:val="auto"/>
        </w:rPr>
      </w:pPr>
    </w:p>
    <w:p>
      <w:pPr>
        <w:spacing w:after="0" w:line="296" w:lineRule="exact"/>
        <w:rPr>
          <w:sz w:val="20"/>
          <w:szCs w:val="20"/>
          <w:color w:val="auto"/>
        </w:rPr>
      </w:pPr>
    </w:p>
    <w:p>
      <w:pPr>
        <w:ind w:left="880" w:hanging="742"/>
        <w:spacing w:after="0"/>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Amounts Credited to Participants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7" w:lineRule="exact"/>
        <w:rPr>
          <w:rFonts w:ascii="Arial" w:cs="Arial" w:eastAsia="Arial" w:hAnsi="Arial"/>
          <w:sz w:val="22"/>
          <w:szCs w:val="22"/>
          <w:color w:val="auto"/>
        </w:rPr>
      </w:pPr>
    </w:p>
    <w:p>
      <w:pPr>
        <w:ind w:left="1440" w:hanging="553"/>
        <w:spacing w:after="0"/>
        <w:tabs>
          <w:tab w:leader="none" w:pos="14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Participant shall be at all times fully vested in his/her deferrals of his/her compensation.</w:t>
      </w:r>
    </w:p>
    <w:p>
      <w:pPr>
        <w:spacing w:after="0" w:line="245" w:lineRule="exact"/>
        <w:rPr>
          <w:rFonts w:ascii="Arial" w:cs="Arial" w:eastAsia="Arial" w:hAnsi="Arial"/>
          <w:sz w:val="22"/>
          <w:szCs w:val="22"/>
          <w:color w:val="auto"/>
        </w:rPr>
      </w:pPr>
    </w:p>
    <w:p>
      <w:pPr>
        <w:ind w:left="880" w:right="520" w:firstLine="7"/>
        <w:spacing w:after="0" w:line="259" w:lineRule="auto"/>
        <w:tabs>
          <w:tab w:leader="none" w:pos="1429"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Participant shall be fully vested immediately in Company Contributions classified as matching contributions.</w:t>
      </w:r>
    </w:p>
    <w:p>
      <w:pPr>
        <w:spacing w:after="0" w:line="195" w:lineRule="exact"/>
        <w:rPr>
          <w:rFonts w:ascii="Arial" w:cs="Arial" w:eastAsia="Arial" w:hAnsi="Arial"/>
          <w:sz w:val="22"/>
          <w:szCs w:val="22"/>
          <w:color w:val="auto"/>
        </w:rPr>
      </w:pPr>
    </w:p>
    <w:p>
      <w:pPr>
        <w:ind w:left="880" w:right="740" w:firstLine="7"/>
        <w:spacing w:after="0" w:line="259" w:lineRule="auto"/>
        <w:tabs>
          <w:tab w:leader="none" w:pos="1405"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Participant shall be vested in discretionary Company Contributions according to a schedule made at the time of the grant.</w:t>
      </w:r>
    </w:p>
    <w:p>
      <w:pPr>
        <w:spacing w:after="0" w:line="182"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Participant, however, shall become fully vested in any Company Contributions upon attainment of Retirement Eligibility Date or in the event of a Change in Control. Further, a Participant shall become fully vested in amounts credited to his/her Company Contributions upon the Participant’s Separation from Service resulting from death or his/her becoming Disabled. Upon a Participant’s termination of employment with the Company, prior to attaining Retirement Eligibility Date, for reasons other than death or becoming Disabled, the nonvested interest in his/her Accounts, if any, shall be forfeited.</w:t>
      </w:r>
    </w:p>
    <w:p>
      <w:pPr>
        <w:spacing w:after="0" w:line="219"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Plan Administrator may establish such accounting procedures as are necessary to accurately reflect each Participant's vested interest in contributions and earnings thereon that are credited to his/her Accounts.</w:t>
      </w:r>
    </w:p>
    <w:p>
      <w:pPr>
        <w:spacing w:after="0" w:line="200" w:lineRule="exact"/>
        <w:rPr>
          <w:sz w:val="20"/>
          <w:szCs w:val="20"/>
          <w:color w:val="auto"/>
        </w:rPr>
      </w:pPr>
    </w:p>
    <w:p>
      <w:pPr>
        <w:spacing w:after="0" w:line="240" w:lineRule="exact"/>
        <w:rPr>
          <w:sz w:val="20"/>
          <w:szCs w:val="20"/>
          <w:color w:val="auto"/>
        </w:rPr>
      </w:pPr>
    </w:p>
    <w:p>
      <w:pPr>
        <w:ind w:left="2460" w:hanging="336"/>
        <w:spacing w:after="0"/>
        <w:tabs>
          <w:tab w:leader="none" w:pos="2460" w:val="left"/>
        </w:tabs>
        <w:numPr>
          <w:ilvl w:val="2"/>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of Benefit Payment</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ind w:left="880" w:firstLine="7"/>
        <w:spacing w:after="0" w:line="259" w:lineRule="auto"/>
        <w:tabs>
          <w:tab w:leader="none" w:pos="1442"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Payment at Separation from Service (Termination) shall be in the form of a lump sum payment or installments of up to five (5) years.</w:t>
      </w:r>
    </w:p>
    <w:p>
      <w:pPr>
        <w:spacing w:after="0" w:line="195"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Payment at Retirement: Upon commencing participation in the Plan, and at each open enrollment, a Participant shall elect to have his/her Plan Year contribution to the Plan paid upon Separation from Service at or after attainment of Retirement Eligibility in one or more of the following forms of payment:</w:t>
      </w:r>
    </w:p>
    <w:p>
      <w:pPr>
        <w:spacing w:after="0" w:line="212" w:lineRule="exact"/>
        <w:rPr>
          <w:rFonts w:ascii="Arial" w:cs="Arial" w:eastAsia="Arial" w:hAnsi="Arial"/>
          <w:sz w:val="22"/>
          <w:szCs w:val="22"/>
          <w:color w:val="auto"/>
        </w:rPr>
      </w:pPr>
    </w:p>
    <w:p>
      <w:pPr>
        <w:ind w:left="3760" w:hanging="342"/>
        <w:spacing w:after="0"/>
        <w:tabs>
          <w:tab w:leader="none" w:pos="3760" w:val="left"/>
        </w:tabs>
        <w:numPr>
          <w:ilvl w:val="3"/>
          <w:numId w:val="31"/>
        </w:numPr>
        <w:rPr>
          <w:rFonts w:ascii="Arial" w:cs="Arial" w:eastAsia="Arial" w:hAnsi="Arial"/>
          <w:sz w:val="22"/>
          <w:szCs w:val="22"/>
          <w:color w:val="auto"/>
        </w:rPr>
      </w:pPr>
      <w:r>
        <w:rPr>
          <w:rFonts w:ascii="Arial" w:cs="Arial" w:eastAsia="Arial" w:hAnsi="Arial"/>
          <w:sz w:val="22"/>
          <w:szCs w:val="22"/>
          <w:color w:val="auto"/>
        </w:rPr>
        <w:t>Lump sum, or</w:t>
      </w:r>
    </w:p>
    <w:p>
      <w:pPr>
        <w:spacing w:after="0" w:line="232" w:lineRule="exact"/>
        <w:rPr>
          <w:rFonts w:ascii="Arial" w:cs="Arial" w:eastAsia="Arial" w:hAnsi="Arial"/>
          <w:sz w:val="22"/>
          <w:szCs w:val="22"/>
          <w:color w:val="auto"/>
        </w:rPr>
      </w:pPr>
    </w:p>
    <w:p>
      <w:pPr>
        <w:ind w:left="2380" w:hanging="744"/>
        <w:spacing w:after="0"/>
        <w:tabs>
          <w:tab w:leader="none" w:pos="23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number of years up to and including fifteen (15)</w:t>
      </w:r>
    </w:p>
    <w:p>
      <w:pPr>
        <w:spacing w:after="0" w:line="200" w:lineRule="exact"/>
        <w:rPr>
          <w:sz w:val="20"/>
          <w:szCs w:val="20"/>
          <w:color w:val="auto"/>
        </w:rPr>
      </w:pPr>
    </w:p>
    <w:p>
      <w:pPr>
        <w:spacing w:after="0" w:line="2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Such election shall be made in accordance with a manner prescribed by the Plan Administrator.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0" w:right="459" w:bottom="1440" w:gutter="0" w:footer="0" w:header="0"/>
        </w:sectPr>
      </w:pPr>
    </w:p>
    <w:bookmarkStart w:id="53" w:name="page54"/>
    <w:bookmarkEnd w:id="53"/>
    <w:p>
      <w:pPr>
        <w:jc w:val="both"/>
        <w:ind w:left="880" w:firstLine="7"/>
        <w:spacing w:after="0" w:line="237" w:lineRule="auto"/>
        <w:tabs>
          <w:tab w:leader="none" w:pos="14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the event a Participant elects to receive all or a portion of his/her benefit in installment payments, each such payment shall be equal to the balance in the Participant's Account(s) as of the end the month immediately preceding the anniversary date of the initial installment payment, divided by the number of payment years remaining (the "Factor"). For example, if a Participant elected 5 annual installments, as shown below:</w:t>
      </w:r>
    </w:p>
    <w:p>
      <w:pPr>
        <w:spacing w:after="0" w:line="200" w:lineRule="exact"/>
        <w:rPr>
          <w:sz w:val="20"/>
          <w:szCs w:val="20"/>
          <w:color w:val="auto"/>
        </w:rPr>
      </w:pPr>
    </w:p>
    <w:p>
      <w:pPr>
        <w:spacing w:after="0" w:line="302"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5 Year Installment</w:t>
      </w:r>
    </w:p>
    <w:p>
      <w:pPr>
        <w:spacing w:after="0" w:line="232" w:lineRule="exact"/>
        <w:rPr>
          <w:sz w:val="20"/>
          <w:szCs w:val="20"/>
          <w:color w:val="auto"/>
        </w:rPr>
      </w:pPr>
    </w:p>
    <w:p>
      <w:pPr>
        <w:ind w:left="3600"/>
        <w:spacing w:after="0"/>
        <w:tabs>
          <w:tab w:leader="none" w:pos="538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Factor</w:t>
      </w:r>
    </w:p>
    <w:p>
      <w:pPr>
        <w:spacing w:after="0" w:line="234" w:lineRule="exact"/>
        <w:rPr>
          <w:sz w:val="20"/>
          <w:szCs w:val="20"/>
          <w:color w:val="auto"/>
        </w:rPr>
      </w:pPr>
    </w:p>
    <w:p>
      <w:pPr>
        <w:ind w:left="3580"/>
        <w:spacing w:after="0"/>
        <w:tabs>
          <w:tab w:leader="none" w:pos="5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5</w:t>
      </w:r>
    </w:p>
    <w:p>
      <w:pPr>
        <w:spacing w:after="0" w:line="30" w:lineRule="exact"/>
        <w:rPr>
          <w:sz w:val="20"/>
          <w:szCs w:val="20"/>
          <w:color w:val="auto"/>
        </w:rPr>
      </w:pPr>
    </w:p>
    <w:p>
      <w:pPr>
        <w:ind w:left="3580"/>
        <w:spacing w:after="0"/>
        <w:tabs>
          <w:tab w:leader="none" w:pos="53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4</w:t>
      </w:r>
    </w:p>
    <w:p>
      <w:pPr>
        <w:spacing w:after="0" w:line="17" w:lineRule="exact"/>
        <w:rPr>
          <w:sz w:val="20"/>
          <w:szCs w:val="20"/>
          <w:color w:val="auto"/>
        </w:rPr>
      </w:pPr>
    </w:p>
    <w:p>
      <w:pPr>
        <w:ind w:left="3580"/>
        <w:spacing w:after="0"/>
        <w:tabs>
          <w:tab w:leader="none" w:pos="53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3</w:t>
      </w:r>
    </w:p>
    <w:p>
      <w:pPr>
        <w:spacing w:after="0" w:line="17" w:lineRule="exact"/>
        <w:rPr>
          <w:sz w:val="20"/>
          <w:szCs w:val="20"/>
          <w:color w:val="auto"/>
        </w:rPr>
      </w:pPr>
    </w:p>
    <w:p>
      <w:pPr>
        <w:ind w:left="3580"/>
        <w:spacing w:after="0"/>
        <w:tabs>
          <w:tab w:leader="none" w:pos="534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color w:val="auto"/>
        </w:rPr>
        <w:t>2</w:t>
      </w:r>
    </w:p>
    <w:p>
      <w:pPr>
        <w:spacing w:after="0" w:line="17" w:lineRule="exact"/>
        <w:rPr>
          <w:sz w:val="20"/>
          <w:szCs w:val="20"/>
          <w:color w:val="auto"/>
        </w:rPr>
      </w:pPr>
    </w:p>
    <w:p>
      <w:pPr>
        <w:ind w:left="3580"/>
        <w:spacing w:after="0"/>
        <w:tabs>
          <w:tab w:leader="none" w:pos="53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color w:val="auto"/>
        </w:rPr>
        <w:t>1</w:t>
      </w:r>
    </w:p>
    <w:p>
      <w:pPr>
        <w:spacing w:after="0" w:line="200" w:lineRule="exact"/>
        <w:rPr>
          <w:sz w:val="20"/>
          <w:szCs w:val="20"/>
          <w:color w:val="auto"/>
        </w:rPr>
      </w:pPr>
    </w:p>
    <w:p>
      <w:pPr>
        <w:spacing w:after="0" w:line="356" w:lineRule="exact"/>
        <w:rPr>
          <w:sz w:val="20"/>
          <w:szCs w:val="20"/>
          <w:color w:val="auto"/>
        </w:rPr>
      </w:pPr>
    </w:p>
    <w:p>
      <w:pPr>
        <w:jc w:val="both"/>
        <w:ind w:left="880" w:firstLine="7"/>
        <w:spacing w:after="0" w:line="236" w:lineRule="auto"/>
        <w:tabs>
          <w:tab w:leader="none" w:pos="1442" w:val="left"/>
        </w:tabs>
        <w:numPr>
          <w:ilvl w:val="1"/>
          <w:numId w:val="33"/>
        </w:numPr>
        <w:rPr>
          <w:rFonts w:ascii="Arial" w:cs="Arial" w:eastAsia="Arial" w:hAnsi="Arial"/>
          <w:sz w:val="22"/>
          <w:szCs w:val="22"/>
          <w:color w:val="auto"/>
        </w:rPr>
      </w:pPr>
      <w:r>
        <w:rPr>
          <w:rFonts w:ascii="Arial" w:cs="Arial" w:eastAsia="Arial" w:hAnsi="Arial"/>
          <w:sz w:val="22"/>
          <w:szCs w:val="22"/>
          <w:color w:val="auto"/>
        </w:rPr>
        <w:t>A Participant will be permitted to elect to change the form or timing of the distribution of the balance of his/her Accounts to the extent permitted and in accordance with the requirements of Code § 409A, including the requirement that</w:t>
      </w:r>
    </w:p>
    <w:p>
      <w:pPr>
        <w:spacing w:after="0" w:line="1" w:lineRule="exact"/>
        <w:rPr>
          <w:rFonts w:ascii="Arial" w:cs="Arial" w:eastAsia="Arial" w:hAnsi="Arial"/>
          <w:sz w:val="22"/>
          <w:szCs w:val="22"/>
          <w:color w:val="auto"/>
        </w:rPr>
      </w:pPr>
    </w:p>
    <w:p>
      <w:pPr>
        <w:jc w:val="both"/>
        <w:ind w:left="880" w:firstLine="5"/>
        <w:spacing w:after="0" w:line="232" w:lineRule="auto"/>
        <w:tabs>
          <w:tab w:leader="none" w:pos="1133"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re-deferral election may not take effect until at least twelve (12) months after such election is filed with the Company, (ii) an election to further defer a distribution (other than a distribution upon death, Disability or an unforeseeable emergency) must result in the first distribution subject to the election being made at least five (5) years after the previously elected date of distribution, and (iii) any re-deferral election affecting a distribution at a fixed date must be filed with the Company at least twelve (12) months before the first scheduled payment under the previous fixed date distribution election. Once a sub-account begins distribution, no such changes to distributions shall be permitted. Only one change election will be permitted for Separation from Service elections for each Plan Year contributions.</w:t>
      </w:r>
    </w:p>
    <w:p>
      <w:pPr>
        <w:spacing w:after="0" w:line="221" w:lineRule="exact"/>
        <w:rPr>
          <w:rFonts w:ascii="Arial" w:cs="Arial" w:eastAsia="Arial" w:hAnsi="Arial"/>
          <w:sz w:val="22"/>
          <w:szCs w:val="22"/>
          <w:color w:val="auto"/>
        </w:rPr>
      </w:pPr>
    </w:p>
    <w:p>
      <w:pPr>
        <w:ind w:left="1440" w:hanging="553"/>
        <w:spacing w:after="0"/>
        <w:tabs>
          <w:tab w:leader="none" w:pos="14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the Participant fails to make an election as to the form of benefit payment at the time of each</w:t>
      </w:r>
    </w:p>
    <w:p>
      <w:pPr>
        <w:spacing w:after="0" w:line="10" w:lineRule="exact"/>
        <w:rPr>
          <w:sz w:val="20"/>
          <w:szCs w:val="20"/>
          <w:color w:val="auto"/>
        </w:rPr>
      </w:pPr>
    </w:p>
    <w:p>
      <w:pPr>
        <w:ind w:left="880" w:right="440"/>
        <w:spacing w:after="0"/>
        <w:rPr>
          <w:sz w:val="20"/>
          <w:szCs w:val="20"/>
          <w:color w:val="auto"/>
        </w:rPr>
      </w:pPr>
      <w:r>
        <w:rPr>
          <w:rFonts w:ascii="Arial" w:cs="Arial" w:eastAsia="Arial" w:hAnsi="Arial"/>
          <w:sz w:val="22"/>
          <w:szCs w:val="22"/>
          <w:color w:val="auto"/>
        </w:rPr>
        <w:t>Plan year deferral election, the Participants' vested amount shall be paid in the form of a lump sum for the corresponding Plan year.</w:t>
      </w:r>
    </w:p>
    <w:p>
      <w:pPr>
        <w:spacing w:after="0" w:line="202" w:lineRule="exact"/>
        <w:rPr>
          <w:sz w:val="20"/>
          <w:szCs w:val="20"/>
          <w:color w:val="auto"/>
        </w:rPr>
      </w:pPr>
    </w:p>
    <w:p>
      <w:pPr>
        <w:jc w:val="both"/>
        <w:ind w:left="880" w:firstLine="7"/>
        <w:spacing w:after="0" w:line="244" w:lineRule="auto"/>
        <w:tabs>
          <w:tab w:leader="none" w:pos="1442"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the Participant experiences a Separation from Service prior to the Retirement Eligibility Date as a result of becoming Disabled, all vested amounts credited to his or her Accounts shall be paid to the Participant in a lump-sum, within sixty (60) days following Participant’s Separation from Service.</w:t>
      </w:r>
    </w:p>
    <w:p>
      <w:pPr>
        <w:spacing w:after="0" w:line="212" w:lineRule="exact"/>
        <w:rPr>
          <w:rFonts w:ascii="Arial" w:cs="Arial" w:eastAsia="Arial" w:hAnsi="Arial"/>
          <w:sz w:val="22"/>
          <w:szCs w:val="22"/>
          <w:color w:val="auto"/>
        </w:rPr>
      </w:pPr>
    </w:p>
    <w:p>
      <w:pPr>
        <w:jc w:val="both"/>
        <w:ind w:left="880" w:firstLine="7"/>
        <w:spacing w:after="0" w:line="244" w:lineRule="auto"/>
        <w:tabs>
          <w:tab w:leader="none" w:pos="1442"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of a Change in Control, the Plan Participant shall receive his or her vested amount in a lump sum. However, at the time a Plan Participant makes an initial election to defer, he or she may submit a one-time, irrevocable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1" w:right="459" w:bottom="1440" w:gutter="0" w:footer="0" w:header="0"/>
        </w:sectPr>
      </w:pPr>
    </w:p>
    <w:bookmarkStart w:id="54" w:name="page55"/>
    <w:bookmarkEnd w:id="54"/>
    <w:p>
      <w:pPr>
        <w:ind w:left="880" w:right="100"/>
        <w:spacing w:after="0" w:line="259" w:lineRule="auto"/>
        <w:rPr>
          <w:sz w:val="20"/>
          <w:szCs w:val="20"/>
          <w:color w:val="auto"/>
        </w:rPr>
      </w:pPr>
      <w:r>
        <w:rPr>
          <w:rFonts w:ascii="Arial" w:cs="Arial" w:eastAsia="Arial" w:hAnsi="Arial"/>
          <w:sz w:val="22"/>
          <w:szCs w:val="22"/>
          <w:color w:val="auto"/>
        </w:rPr>
        <w:t>election for any and all deferrals under the Plan to continue to defer and receive no such distribution upon a Change in Control event.</w:t>
      </w:r>
    </w:p>
    <w:p>
      <w:pPr>
        <w:spacing w:after="0" w:line="194" w:lineRule="exact"/>
        <w:rPr>
          <w:sz w:val="20"/>
          <w:szCs w:val="20"/>
          <w:color w:val="auto"/>
        </w:rPr>
      </w:pPr>
    </w:p>
    <w:p>
      <w:pPr>
        <w:ind w:left="880" w:hanging="742"/>
        <w:spacing w:after="0"/>
        <w:tabs>
          <w:tab w:leader="none" w:pos="88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to Beneficiary</w:t>
      </w:r>
      <w:r>
        <w:rPr>
          <w:rFonts w:ascii="Arial" w:cs="Arial" w:eastAsia="Arial" w:hAnsi="Arial"/>
          <w:sz w:val="22"/>
          <w:szCs w:val="22"/>
          <w:color w:val="auto"/>
        </w:rPr>
        <w:t>.</w:t>
      </w:r>
    </w:p>
    <w:p>
      <w:pPr>
        <w:spacing w:after="0" w:line="247" w:lineRule="exact"/>
        <w:rPr>
          <w:rFonts w:ascii="Arial" w:cs="Arial" w:eastAsia="Arial" w:hAnsi="Arial"/>
          <w:sz w:val="22"/>
          <w:szCs w:val="22"/>
          <w:color w:val="auto"/>
        </w:rPr>
      </w:pPr>
    </w:p>
    <w:p>
      <w:pPr>
        <w:ind w:left="880" w:firstLine="7"/>
        <w:spacing w:after="0" w:line="259" w:lineRule="auto"/>
        <w:tabs>
          <w:tab w:leader="none" w:pos="1442"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the Participant dies before or after payments have commenced, the unpaid amounts shall be paid to his/her beneficiary or beneficiaries designated in a lump sum.</w:t>
      </w:r>
    </w:p>
    <w:p>
      <w:pPr>
        <w:spacing w:after="0" w:line="182"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designation of beneficiaries shall be made in a manner prescribed by and filed with the Plan Administrator, and may be changed at any time by filing a new form with the Plan Administrator. If the Participant has designated no beneficiary, or if no beneficiary that he has designated survives him, then such unpaid amounts shall be paid to his/her estate. In the event of any dispute as to the entitlement of any beneficiary, the Plan Administrator's determination shall be final, and the Plan Administrator may withhold any payment until such dispute has been resolved.</w:t>
      </w:r>
    </w:p>
    <w:p>
      <w:pPr>
        <w:spacing w:after="0" w:line="217" w:lineRule="exact"/>
        <w:rPr>
          <w:rFonts w:ascii="Arial" w:cs="Arial" w:eastAsia="Arial" w:hAnsi="Arial"/>
          <w:sz w:val="22"/>
          <w:szCs w:val="22"/>
          <w:color w:val="auto"/>
        </w:rPr>
      </w:pPr>
    </w:p>
    <w:p>
      <w:pPr>
        <w:jc w:val="both"/>
        <w:ind w:left="140" w:hanging="2"/>
        <w:spacing w:after="0" w:line="235" w:lineRule="auto"/>
        <w:tabs>
          <w:tab w:leader="none" w:pos="436"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Limited Cash Out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exercise its sole discretion under Treas. Reg. Section 1.409A-3 (j)(4)(v)</w:t>
      </w:r>
      <w:r>
        <w:rPr>
          <w:rFonts w:ascii="Arial" w:cs="Arial" w:eastAsia="Arial" w:hAnsi="Arial"/>
          <w:sz w:val="22"/>
          <w:szCs w:val="22"/>
          <w:b w:val="1"/>
          <w:bCs w:val="1"/>
          <w:color w:val="auto"/>
        </w:rPr>
        <w:t xml:space="preserve"> </w:t>
      </w:r>
      <w:r>
        <w:rPr>
          <w:rFonts w:ascii="Arial" w:cs="Arial" w:eastAsia="Arial" w:hAnsi="Arial"/>
          <w:sz w:val="22"/>
          <w:szCs w:val="22"/>
          <w:color w:val="auto"/>
        </w:rPr>
        <w:t>to cash out the company’s obligations to a participant under this plan so long as the amounts distributed are no greater than the applicable dollar amount under IRC Sect. 402 (g)(1)(B). Such limited cash out under these rules shall constitute the termination and liquidation of the entirety of the Participant’s interest under the plan, including all agreements, methods, programs, or other arrangements with respect to which deferrals of compensation are treated as having been deferred under a single nonqualified deferred compensation plan under Treas. Reg. Section 1.409A-1(c)(2). Once a Participant’s entire interest has been liquidated, such Participant shall no longer be an Eligible Participant.</w:t>
      </w:r>
    </w:p>
    <w:p>
      <w:pPr>
        <w:spacing w:after="0" w:line="202" w:lineRule="exact"/>
        <w:rPr>
          <w:rFonts w:ascii="Arial" w:cs="Arial" w:eastAsia="Arial" w:hAnsi="Arial"/>
          <w:sz w:val="22"/>
          <w:szCs w:val="22"/>
          <w:color w:val="auto"/>
        </w:rPr>
      </w:pPr>
    </w:p>
    <w:p>
      <w:pPr>
        <w:ind w:left="140" w:hanging="2"/>
        <w:spacing w:after="0" w:line="260" w:lineRule="auto"/>
        <w:tabs>
          <w:tab w:leader="none" w:pos="436"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Accounting Procedures</w:t>
      </w:r>
      <w:r>
        <w:rPr>
          <w:rFonts w:ascii="Arial" w:cs="Arial" w:eastAsia="Arial" w:hAnsi="Arial"/>
          <w:sz w:val="22"/>
          <w:szCs w:val="22"/>
          <w:color w:val="auto"/>
        </w:rPr>
        <w:t>. The Plan Administrator shall establish such accounting procedures as are</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to implement the provisions of this Article.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1" w:right="459" w:bottom="1440" w:gutter="0" w:footer="0" w:header="0"/>
        </w:sectPr>
      </w:pPr>
    </w:p>
    <w:bookmarkStart w:id="55" w:name="page56"/>
    <w:bookmarkEnd w:id="55"/>
    <w:p>
      <w:pPr>
        <w:ind w:left="4960"/>
        <w:spacing w:after="0"/>
        <w:rPr>
          <w:sz w:val="20"/>
          <w:szCs w:val="20"/>
          <w:color w:val="auto"/>
        </w:rPr>
      </w:pPr>
      <w:r>
        <w:rPr>
          <w:rFonts w:ascii="Arial" w:cs="Arial" w:eastAsia="Arial" w:hAnsi="Arial"/>
          <w:sz w:val="22"/>
          <w:szCs w:val="22"/>
          <w:b w:val="1"/>
          <w:bCs w:val="1"/>
          <w:color w:val="auto"/>
        </w:rPr>
        <w:t>ARTICLE VII</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Amendment</w:t>
      </w:r>
    </w:p>
    <w:p>
      <w:pPr>
        <w:spacing w:after="0" w:line="246" w:lineRule="exact"/>
        <w:rPr>
          <w:sz w:val="20"/>
          <w:szCs w:val="20"/>
          <w:color w:val="auto"/>
        </w:rPr>
      </w:pPr>
    </w:p>
    <w:p>
      <w:pPr>
        <w:ind w:left="140" w:hanging="2"/>
        <w:spacing w:after="0" w:line="260" w:lineRule="auto"/>
        <w:tabs>
          <w:tab w:leader="none" w:pos="43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In General</w:t>
      </w:r>
      <w:r>
        <w:rPr>
          <w:rFonts w:ascii="Arial" w:cs="Arial" w:eastAsia="Arial" w:hAnsi="Arial"/>
          <w:sz w:val="22"/>
          <w:szCs w:val="22"/>
          <w:color w:val="auto"/>
        </w:rPr>
        <w:t>. The Plan may be amended at any time, or from time to time, by the Company. Any such</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shall be ratified and approved by the Company's Board of Directors.</w:t>
      </w:r>
    </w:p>
    <w:p>
      <w:pPr>
        <w:spacing w:after="0" w:line="180" w:lineRule="exact"/>
        <w:rPr>
          <w:rFonts w:ascii="Arial" w:cs="Arial" w:eastAsia="Arial" w:hAnsi="Arial"/>
          <w:sz w:val="22"/>
          <w:szCs w:val="22"/>
          <w:color w:val="auto"/>
        </w:rPr>
      </w:pPr>
    </w:p>
    <w:p>
      <w:pPr>
        <w:ind w:left="140" w:hanging="2"/>
        <w:spacing w:after="0" w:line="260" w:lineRule="auto"/>
        <w:tabs>
          <w:tab w:leader="none" w:pos="43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No such amendment shall affect the rights of any Participant with respect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credited to the Accounts of a Participant prior to such amendment.</w:t>
      </w:r>
    </w:p>
    <w:p>
      <w:pPr>
        <w:spacing w:after="0" w:line="193" w:lineRule="exact"/>
        <w:rPr>
          <w:rFonts w:ascii="Arial" w:cs="Arial" w:eastAsia="Arial" w:hAnsi="Arial"/>
          <w:sz w:val="22"/>
          <w:szCs w:val="22"/>
          <w:color w:val="auto"/>
        </w:rPr>
      </w:pPr>
    </w:p>
    <w:p>
      <w:pPr>
        <w:jc w:val="both"/>
        <w:ind w:left="140" w:hanging="2"/>
        <w:spacing w:after="0"/>
        <w:tabs>
          <w:tab w:leader="none" w:pos="43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further reserves the right to terminate the Plan in whole or in part,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manner, except that no such termination shall have any retroactive effect to reduce any amounts allocated to a Participant’s Accounts, and provided that such termination complies with Codes § 409A and related regulations thereunder:</w:t>
      </w:r>
    </w:p>
    <w:p>
      <w:pPr>
        <w:spacing w:after="0" w:line="217" w:lineRule="exact"/>
        <w:rPr>
          <w:rFonts w:ascii="Arial" w:cs="Arial" w:eastAsia="Arial" w:hAnsi="Arial"/>
          <w:sz w:val="22"/>
          <w:szCs w:val="22"/>
          <w:color w:val="auto"/>
        </w:rPr>
      </w:pPr>
    </w:p>
    <w:p>
      <w:pPr>
        <w:jc w:val="both"/>
        <w:ind w:left="880" w:firstLine="7"/>
        <w:spacing w:after="0" w:line="237" w:lineRule="auto"/>
        <w:tabs>
          <w:tab w:leader="none" w:pos="1442"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Company, in its sole discretion, may terminate the Plan and distribute all vested Participants’ Accounts no earlier than twelve (12) calendar months from the date of the Plan termination and no later than twenty-four (24) calendar months from the date of the Plan termination, provided however that all other similar arrangements are also terminated by the Company and no other similar arrangements are adopted by the Company within a three year period from the date of termination; or</w:t>
      </w:r>
    </w:p>
    <w:p>
      <w:pPr>
        <w:spacing w:after="0" w:line="207" w:lineRule="exact"/>
        <w:rPr>
          <w:rFonts w:ascii="Arial" w:cs="Arial" w:eastAsia="Arial" w:hAnsi="Arial"/>
          <w:sz w:val="22"/>
          <w:szCs w:val="22"/>
          <w:color w:val="auto"/>
        </w:rPr>
      </w:pPr>
    </w:p>
    <w:p>
      <w:pPr>
        <w:jc w:val="both"/>
        <w:ind w:left="880" w:firstLine="7"/>
        <w:spacing w:after="0" w:line="236" w:lineRule="auto"/>
        <w:tabs>
          <w:tab w:leader="none" w:pos="1442"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Company may decide, in its sole discretion, to terminate the Plan in the event of a corporate dissolution taxed under Code § 331, or with the approval of a bankruptcy court, provided that the Participants vested Account balances are distributed to Participants and are included in the Participants’ gross income in the latest of: (i) the calendar year in which the termination occurs; (ii) the calendar year in which the amounts deferred are no longer subject to a substantial risk of forfeiture; or (iii) the first calendar year in which payment is administratively practicable.</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left="140" w:right="200" w:hanging="2"/>
        <w:spacing w:after="0" w:line="236" w:lineRule="auto"/>
        <w:tabs>
          <w:tab w:leader="none" w:pos="434"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Termination due to a Change-in-Control</w:t>
      </w:r>
      <w:r>
        <w:rPr>
          <w:rFonts w:ascii="Arial" w:cs="Arial" w:eastAsia="Arial" w:hAnsi="Arial"/>
          <w:sz w:val="22"/>
          <w:szCs w:val="22"/>
          <w:color w:val="auto"/>
        </w:rPr>
        <w:t>. The Company may decide, in its discretion, to terminate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in the event of a Change-in-Control and distribute all vested Participants Account balances no earlier than thirty (30) days prior to the Change-in-Control and no later than twelve (12) months after the effective date of the Change-in-Control, provided however that the Company terminates all other similar arrangements. Any corporation or other business organization that is a successor to the Company by reason of a Change-in-Control shall have the right to become a party to the Plan by appropriate entity action.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232" w:right="459" w:bottom="1440" w:gutter="0" w:footer="0" w:header="0"/>
        </w:sectPr>
      </w:pPr>
    </w:p>
    <w:bookmarkStart w:id="56" w:name="page57"/>
    <w:bookmarkEnd w:id="56"/>
    <w:p>
      <w:pPr>
        <w:ind w:left="4920"/>
        <w:spacing w:after="0"/>
        <w:rPr>
          <w:sz w:val="20"/>
          <w:szCs w:val="20"/>
          <w:color w:val="auto"/>
        </w:rPr>
      </w:pPr>
      <w:r>
        <w:rPr>
          <w:rFonts w:ascii="Arial" w:cs="Arial" w:eastAsia="Arial" w:hAnsi="Arial"/>
          <w:sz w:val="22"/>
          <w:szCs w:val="22"/>
          <w:b w:val="1"/>
          <w:bCs w:val="1"/>
          <w:color w:val="auto"/>
        </w:rPr>
        <w:t>ARTICLE VIII</w:t>
      </w:r>
    </w:p>
    <w:p>
      <w:pPr>
        <w:spacing w:after="0" w:line="232"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46" w:lineRule="exact"/>
        <w:rPr>
          <w:sz w:val="20"/>
          <w:szCs w:val="20"/>
          <w:color w:val="auto"/>
        </w:rPr>
      </w:pPr>
    </w:p>
    <w:p>
      <w:pPr>
        <w:jc w:val="both"/>
        <w:ind w:left="140" w:hanging="2"/>
        <w:spacing w:after="0" w:line="235"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Payments to Minors and Incompetents</w:t>
      </w:r>
      <w:r>
        <w:rPr>
          <w:rFonts w:ascii="Arial" w:cs="Arial" w:eastAsia="Arial" w:hAnsi="Arial"/>
          <w:sz w:val="22"/>
          <w:szCs w:val="22"/>
          <w:color w:val="auto"/>
        </w:rPr>
        <w:t>. If the Plan Administrator receives satisfactory evidence that a</w:t>
      </w:r>
      <w:r>
        <w:rPr>
          <w:rFonts w:ascii="Arial" w:cs="Arial" w:eastAsia="Arial" w:hAnsi="Arial"/>
          <w:sz w:val="22"/>
          <w:szCs w:val="22"/>
          <w:b w:val="1"/>
          <w:bCs w:val="1"/>
          <w:color w:val="auto"/>
        </w:rPr>
        <w:t xml:space="preserve"> </w:t>
      </w:r>
      <w:r>
        <w:rPr>
          <w:rFonts w:ascii="Arial" w:cs="Arial" w:eastAsia="Arial" w:hAnsi="Arial"/>
          <w:sz w:val="22"/>
          <w:szCs w:val="22"/>
          <w:color w:val="auto"/>
        </w:rPr>
        <w:t>person who is entitled to receive any benefit under the Plan, at the time such benefit becomes available, is a minor or is physically unable or mentally incompetent to receive such benefit and to give a valid release therefore, and that another person or an institution is then maintaining or has custody of such person, and that no guardian committee, or other representative of the estate of such person shall have been duly appointed, the Plan Administrator may authorize payment of such benefit otherwise payable to such person to such other person or institution; and the release of such other person or institution shall be a valid and complete discharge for the payment of such benefit.</w:t>
      </w:r>
    </w:p>
    <w:p>
      <w:pPr>
        <w:spacing w:after="0" w:line="216" w:lineRule="exact"/>
        <w:rPr>
          <w:rFonts w:ascii="Arial" w:cs="Arial" w:eastAsia="Arial" w:hAnsi="Arial"/>
          <w:sz w:val="22"/>
          <w:szCs w:val="22"/>
          <w:color w:val="auto"/>
        </w:rPr>
      </w:pPr>
    </w:p>
    <w:p>
      <w:pPr>
        <w:jc w:val="both"/>
        <w:ind w:left="140" w:hanging="2"/>
        <w:spacing w:after="0"/>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Not a Contract of Employment</w:t>
      </w:r>
      <w:r>
        <w:rPr>
          <w:rFonts w:ascii="Arial" w:cs="Arial" w:eastAsia="Arial" w:hAnsi="Arial"/>
          <w:sz w:val="22"/>
          <w:szCs w:val="22"/>
          <w:color w:val="auto"/>
        </w:rPr>
        <w:t>. The Plan shall not be deemed to constitute a contract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any Participant, or to be consideration for the employment of any Participant. Nothing in the Plan shall give a Participant the right to be retained in the employ of the Company; all Participants shall remain subject to discharge or discipline as employees to the same extent as if the Plan had not been adopted.</w:t>
      </w:r>
    </w:p>
    <w:p>
      <w:pPr>
        <w:spacing w:after="0" w:line="201"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No Interest in Assets</w:t>
      </w:r>
      <w:r>
        <w:rPr>
          <w:rFonts w:ascii="Arial" w:cs="Arial" w:eastAsia="Arial" w:hAnsi="Arial"/>
          <w:sz w:val="22"/>
          <w:szCs w:val="22"/>
          <w:color w:val="auto"/>
        </w:rPr>
        <w:t>. Nothing contained in the Plan shall be deemed to give any Participant any equity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interest in the assets, business or affairs of the Company. No Participant in the Plan shall have a security interest in assets of the Company used to make contributions or pay benefits.</w:t>
      </w:r>
    </w:p>
    <w:p>
      <w:pPr>
        <w:spacing w:after="0" w:line="209" w:lineRule="exact"/>
        <w:rPr>
          <w:rFonts w:ascii="Arial" w:cs="Arial" w:eastAsia="Arial" w:hAnsi="Arial"/>
          <w:sz w:val="22"/>
          <w:szCs w:val="22"/>
          <w:color w:val="auto"/>
        </w:rPr>
      </w:pPr>
    </w:p>
    <w:p>
      <w:pPr>
        <w:ind w:left="140" w:hanging="2"/>
        <w:spacing w:after="0" w:line="260"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Recordkeeping</w:t>
      </w:r>
      <w:r>
        <w:rPr>
          <w:rFonts w:ascii="Arial" w:cs="Arial" w:eastAsia="Arial" w:hAnsi="Arial"/>
          <w:sz w:val="22"/>
          <w:szCs w:val="22"/>
          <w:color w:val="auto"/>
        </w:rPr>
        <w:t>. Appropriate records shall be maintained for the Plan, subject to the supervision and control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Administrator.</w:t>
      </w:r>
    </w:p>
    <w:p>
      <w:pPr>
        <w:spacing w:after="0" w:line="180" w:lineRule="exact"/>
        <w:rPr>
          <w:rFonts w:ascii="Arial" w:cs="Arial" w:eastAsia="Arial" w:hAnsi="Arial"/>
          <w:sz w:val="22"/>
          <w:szCs w:val="22"/>
          <w:color w:val="auto"/>
        </w:rPr>
      </w:pPr>
    </w:p>
    <w:p>
      <w:pPr>
        <w:jc w:val="both"/>
        <w:ind w:left="140" w:hanging="2"/>
        <w:spacing w:after="0" w:line="234"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Non-Alienation of Benefits</w:t>
      </w:r>
      <w:r>
        <w:rPr>
          <w:rFonts w:ascii="Arial" w:cs="Arial" w:eastAsia="Arial" w:hAnsi="Arial"/>
          <w:sz w:val="22"/>
          <w:szCs w:val="22"/>
          <w:color w:val="auto"/>
        </w:rPr>
        <w:t>. No benefit under the Plan shall be subject in any manner to anticipation,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alienation, sale, transfer, assignment, pledge, encumbrance or charge, and any attempt to do so shall be void. No benefit under the Plan shall in any manner be liable for or subject to the debts, contracts, liabilities, engagements or torts of any person. If any person entitled to benefits under the Plan shall become bankrupt or shall attempt to anticipate, alienate, sell, transfer, assign, pledge, encumber or charge any benefit under the Plan, or if any attempt shall be made to subject any such benefit to the debts, contracts, liabilities, engagements or torts of the person entitled to any such benefit, except as specifically provided in the Plan, then such benefits shall cease and terminate at the discretion of the Plan Administrator. The Plan Administrator may then hold or apply the same or any part thereof to or for the benefit of such person or any dependent or beneficiary of such person in such manner and proportions as it shall deem proper.</w:t>
      </w:r>
    </w:p>
    <w:p>
      <w:pPr>
        <w:spacing w:after="0" w:line="216" w:lineRule="exact"/>
        <w:rPr>
          <w:rFonts w:ascii="Arial" w:cs="Arial" w:eastAsia="Arial" w:hAnsi="Arial"/>
          <w:sz w:val="22"/>
          <w:szCs w:val="22"/>
          <w:color w:val="auto"/>
        </w:rPr>
      </w:pPr>
    </w:p>
    <w:p>
      <w:pPr>
        <w:jc w:val="both"/>
        <w:ind w:left="140" w:hanging="2"/>
        <w:spacing w:after="0" w:line="245"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supply full and timely information to the Committee and the Record</w:t>
      </w:r>
      <w:r>
        <w:rPr>
          <w:rFonts w:ascii="Arial" w:cs="Arial" w:eastAsia="Arial" w:hAnsi="Arial"/>
          <w:sz w:val="22"/>
          <w:szCs w:val="22"/>
          <w:b w:val="1"/>
          <w:bCs w:val="1"/>
          <w:color w:val="auto"/>
        </w:rPr>
        <w:t xml:space="preserve"> </w:t>
      </w:r>
      <w:r>
        <w:rPr>
          <w:rFonts w:ascii="Arial" w:cs="Arial" w:eastAsia="Arial" w:hAnsi="Arial"/>
          <w:sz w:val="22"/>
          <w:szCs w:val="22"/>
          <w:color w:val="auto"/>
        </w:rPr>
        <w:t>Keeper on all matters as may be required properly to administer the Plan. The Committee and the Record Keeper and their respective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9" w:right="459" w:bottom="1440" w:gutter="0" w:footer="0" w:header="0"/>
        </w:sectPr>
      </w:pPr>
    </w:p>
    <w:bookmarkStart w:id="57" w:name="page58"/>
    <w:bookmarkEnd w:id="57"/>
    <w:p>
      <w:pPr>
        <w:jc w:val="both"/>
        <w:ind w:left="140"/>
        <w:spacing w:after="0" w:line="239" w:lineRule="auto"/>
        <w:rPr>
          <w:sz w:val="20"/>
          <w:szCs w:val="20"/>
          <w:color w:val="auto"/>
        </w:rPr>
      </w:pPr>
      <w:r>
        <w:rPr>
          <w:rFonts w:ascii="Arial" w:cs="Arial" w:eastAsia="Arial" w:hAnsi="Arial"/>
          <w:sz w:val="22"/>
          <w:szCs w:val="22"/>
          <w:color w:val="auto"/>
        </w:rPr>
        <w:t>employees, officers, directors, partners, agents, affiliates and representatives, from and against any and all claims, losses, liabilities, costs, damages and expenses (including without limitation reasonable attorneys’ fees) arising from any action or failure to act with respect to this Plan on account of such party’s services hereunder, excepting the case of gross negligence or willful misconduct.</w:t>
      </w:r>
    </w:p>
    <w:p>
      <w:pPr>
        <w:spacing w:after="0" w:line="217" w:lineRule="exact"/>
        <w:rPr>
          <w:sz w:val="20"/>
          <w:szCs w:val="20"/>
          <w:color w:val="auto"/>
        </w:rPr>
      </w:pPr>
    </w:p>
    <w:p>
      <w:pPr>
        <w:ind w:left="440" w:hanging="302"/>
        <w:spacing w:after="0"/>
        <w:tabs>
          <w:tab w:leader="none" w:pos="440"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State Law</w:t>
      </w:r>
      <w:r>
        <w:rPr>
          <w:rFonts w:ascii="Arial" w:cs="Arial" w:eastAsia="Arial" w:hAnsi="Arial"/>
          <w:sz w:val="22"/>
          <w:szCs w:val="22"/>
          <w:color w:val="auto"/>
        </w:rPr>
        <w:t>. This Plan shall be construed in accordance with the laws of Arizona.</w:t>
      </w:r>
    </w:p>
    <w:p>
      <w:pPr>
        <w:spacing w:after="0" w:line="245" w:lineRule="exact"/>
        <w:rPr>
          <w:rFonts w:ascii="Arial" w:cs="Arial" w:eastAsia="Arial" w:hAnsi="Arial"/>
          <w:sz w:val="22"/>
          <w:szCs w:val="22"/>
          <w:color w:val="auto"/>
        </w:rPr>
      </w:pPr>
    </w:p>
    <w:p>
      <w:pPr>
        <w:jc w:val="both"/>
        <w:ind w:left="140" w:hanging="2"/>
        <w:spacing w:after="0" w:line="233" w:lineRule="auto"/>
        <w:tabs>
          <w:tab w:leader="none" w:pos="436"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Code § 409A</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of the Plan to the contrary, all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will be interpreted and applied to comply with the requirements of Code §409A and any regulations and applicable binding guidance so as to avoid adverse tax consequences. The provisions of this Plan shall be interpreted in a manner consistent with such intent. In furtherance thereof, to the extent that any provision hereof would otherwise result in the Participant being subject to payment of tax, interest and tax penalty under Code § 409A, the Company and Participant agree to amend this Plan in a manner that brings this Plan into compliance with Code § 409A and preserves to the maximum extent possible the economic value of the relevant payment or benefit under this Plan to the Participant. No provision of the Plan, however, is intended or shall be interpreted to create any right with respect to the tax treatment of the amounts paid or payable hereunder, and neither the Company nor is successors shall under any circumstances have any liability to a Participant or Beneficiary for any taxes, penalties or interest due on amounts paid or payable under the Plan, including taxes, penalties or interest imposed under Code § 409A.</w:t>
      </w:r>
    </w:p>
    <w:p>
      <w:pPr>
        <w:spacing w:after="0" w:line="208" w:lineRule="exact"/>
        <w:rPr>
          <w:rFonts w:ascii="Arial" w:cs="Arial" w:eastAsia="Arial" w:hAnsi="Arial"/>
          <w:sz w:val="22"/>
          <w:szCs w:val="22"/>
          <w:color w:val="auto"/>
        </w:rPr>
      </w:pPr>
    </w:p>
    <w:p>
      <w:pPr>
        <w:jc w:val="both"/>
        <w:ind w:left="140" w:hanging="2"/>
        <w:spacing w:after="0" w:line="236" w:lineRule="auto"/>
        <w:tabs>
          <w:tab w:leader="none" w:pos="436"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Liability Limited</w:t>
      </w:r>
      <w:r>
        <w:rPr>
          <w:rFonts w:ascii="Arial" w:cs="Arial" w:eastAsia="Arial" w:hAnsi="Arial"/>
          <w:sz w:val="22"/>
          <w:szCs w:val="22"/>
          <w:color w:val="auto"/>
        </w:rPr>
        <w:t>. In administering the Plan, neither the Plan Administrator nor any officer, director or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shall be liable for any act or omission performed or omitted, as the case may be, by such person with respect to the Plan. The Plan Administrator, its officers, directors and employees shall be entitled to rely conclusively on all tables, valuations, certificates, opinions and reports that shall be furnished by any actuary, accountant, trustee, insurance company, consultant, counsel or other expert who shall be employed or engaged by the Plan Administrator in good faith.</w:t>
      </w:r>
    </w:p>
    <w:p>
      <w:pPr>
        <w:spacing w:after="0" w:line="219" w:lineRule="exact"/>
        <w:rPr>
          <w:rFonts w:ascii="Arial" w:cs="Arial" w:eastAsia="Arial" w:hAnsi="Arial"/>
          <w:sz w:val="22"/>
          <w:szCs w:val="22"/>
          <w:color w:val="auto"/>
        </w:rPr>
      </w:pPr>
    </w:p>
    <w:p>
      <w:pPr>
        <w:jc w:val="both"/>
        <w:ind w:left="140" w:hanging="2"/>
        <w:spacing w:after="0" w:line="261" w:lineRule="auto"/>
        <w:tabs>
          <w:tab w:leader="none" w:pos="436"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Protective Provisions</w:t>
      </w:r>
      <w:r>
        <w:rPr>
          <w:rFonts w:ascii="Arial" w:cs="Arial" w:eastAsia="Arial" w:hAnsi="Arial"/>
          <w:sz w:val="20"/>
          <w:szCs w:val="20"/>
          <w:color w:val="auto"/>
        </w:rPr>
        <w:t>. Each Participant shall cooperate with the Plan Administrator by furnishing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requested by the Plan Administrator in order to facilitate the payment of benefits hereunder, taking such physical examinations as the Plan Administrator may deem necessary and taking such other relevant action as may be requested by the Plan Administrator. If a Participant refuses so to cooperate or makes any material misstatement of information or nondisclosure of medical history, then no benefits will be payable hereunder to such Participant or his/her beneficiary, provided that, in the Plan Administrator’s sole discretion, benefits may be payable in an amount reduced to compensate the Company for any loss, cost, damage or expense suffered or incurred by the Company as a result in any way of such action, misstatement or nondisclosure.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1" w:right="4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131445</wp:posOffset>
            </wp:positionV>
            <wp:extent cx="5300345" cy="21323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5300345" cy="213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80645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4"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5"/>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4"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775"/>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March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5"/>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March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207"/>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decimal"/>
      <w:start w:val="15"/>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lvl w:ilvl="1">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3"/>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
    <w:nsid w:val="737B8DDC"/>
    <w:multiLevelType w:val="hybridMultilevel"/>
    <w:lvl w:ilvl="0">
      <w:lvlJc w:val="left"/>
      <w:lvlText w:val="(%1)"/>
      <w:numFmt w:val="upperLetter"/>
      <w:start w:val="5"/>
    </w:lvl>
  </w:abstractNum>
  <w:abstractNum w:abstractNumId="20">
    <w:nsid w:val="6CEAF087"/>
    <w:multiLevelType w:val="hybridMultilevel"/>
    <w:lvl w:ilvl="0">
      <w:lvlJc w:val="left"/>
      <w:lvlText w:val="%1"/>
      <w:numFmt w:val="lowerLetter"/>
      <w:start w:val="1"/>
    </w:lvl>
    <w:lvl w:ilvl="1">
      <w:lvlJc w:val="left"/>
      <w:lvlText w:val="(%2)"/>
      <w:numFmt w:val="decimal"/>
      <w:start w:val="2"/>
    </w:lvl>
  </w:abstractNum>
  <w:abstractNum w:abstractNumId="21">
    <w:nsid w:val="22221A70"/>
    <w:multiLevelType w:val="hybridMultilevel"/>
    <w:lvl w:ilvl="0">
      <w:lvlJc w:val="left"/>
      <w:lvlText w:val="(%1)"/>
      <w:numFmt w:val="lowerLetter"/>
      <w:start w:val="2"/>
    </w:lvl>
    <w:lvl w:ilvl="1">
      <w:lvlJc w:val="left"/>
      <w:lvlText w:val="%2"/>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lvl w:ilvl="1">
      <w:lvlJc w:val="left"/>
      <w:lvlText w:val="(%2)"/>
      <w:numFmt w:val="decimal"/>
      <w:start w:val="1"/>
    </w:lvl>
  </w:abstractNum>
  <w:abstractNum w:abstractNumId="25">
    <w:nsid w:val="419AC241"/>
    <w:multiLevelType w:val="hybridMultilevel"/>
    <w:lvl w:ilvl="0">
      <w:lvlJc w:val="left"/>
      <w:lvlText w:val="(%1)"/>
      <w:numFmt w:val="lowerLetter"/>
      <w:start w:val="1"/>
    </w:lvl>
    <w:lvl w:ilvl="1">
      <w:lvlJc w:val="left"/>
      <w:lvlText w:val="(%2)"/>
      <w:numFmt w:val="decimal"/>
      <w:start w:val="1"/>
    </w:lvl>
  </w:abstractNum>
  <w:abstractNum w:abstractNumId="26">
    <w:nsid w:val="5577F8E1"/>
    <w:multiLevelType w:val="hybridMultilevel"/>
    <w:lvl w:ilvl="0">
      <w:lvlJc w:val="left"/>
      <w:lvlText w:val="(%1)"/>
      <w:numFmt w:val="lowerLetter"/>
      <w:start w:val="5"/>
    </w:lvl>
    <w:lvl w:ilvl="1">
      <w:lvlJc w:val="left"/>
      <w:lvlText w:val="(%2)"/>
      <w:numFmt w:val="decimal"/>
      <w:start w:val="1"/>
    </w:lvl>
  </w:abstractNum>
  <w:abstractNum w:abstractNumId="27">
    <w:nsid w:val="440BADFC"/>
    <w:multiLevelType w:val="hybridMultilevel"/>
    <w:lvl w:ilvl="0">
      <w:lvlJc w:val="left"/>
      <w:lvlText w:val="(%1)"/>
      <w:numFmt w:val="lowerLetter"/>
      <w:start w:val="1"/>
    </w:lvl>
    <w:lvl w:ilvl="1">
      <w:lvlJc w:val="left"/>
      <w:lvlText w:val="(%2)"/>
      <w:numFmt w:val="decimal"/>
      <w:start w:val="1"/>
    </w:lvl>
  </w:abstractNum>
  <w:abstractNum w:abstractNumId="28">
    <w:nsid w:val="5072367"/>
    <w:multiLevelType w:val="hybridMultilevel"/>
    <w:lvl w:ilvl="0">
      <w:lvlJc w:val="left"/>
      <w:lvlText w:val="(%1)"/>
      <w:numFmt w:val="lowerLetter"/>
      <w:start w:val="4"/>
    </w:lvl>
    <w:lvl w:ilvl="1">
      <w:lvlJc w:val="left"/>
      <w:lvlText w:val="(%2)"/>
      <w:numFmt w:val="decimal"/>
      <w:start w:val="1"/>
    </w:lvl>
  </w:abstractNum>
  <w:abstractNum w:abstractNumId="29">
    <w:nsid w:val="3804823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5"/>
    </w:lvl>
    <w:lvl w:ilvl="3">
      <w:lvlJc w:val="left"/>
      <w:lvlText w:val="%4"/>
      <w:numFmt w:val="upperLetter"/>
      <w:start w:val="1"/>
    </w:lvl>
  </w:abstractNum>
  <w:abstractNum w:abstractNumId="30">
    <w:nsid w:val="77465F0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upperLetter"/>
      <w:start w:val="1"/>
    </w:lvl>
  </w:abstractNum>
  <w:abstractNum w:abstractNumId="31">
    <w:nsid w:val="7724C67E"/>
    <w:multiLevelType w:val="hybridMultilevel"/>
    <w:lvl w:ilvl="0">
      <w:lvlJc w:val="left"/>
      <w:lvlText w:val="(%1)"/>
      <w:numFmt w:val="decimal"/>
      <w:start w:val="3"/>
    </w:lvl>
  </w:abstractNum>
  <w:abstractNum w:abstractNumId="32">
    <w:nsid w:val="5C482A97"/>
    <w:multiLevelType w:val="hybridMultilevel"/>
    <w:lvl w:ilvl="0">
      <w:lvlJc w:val="left"/>
      <w:lvlText w:val="%1"/>
      <w:numFmt w:val="lowerRoman"/>
      <w:start w:val="1"/>
    </w:lvl>
    <w:lvl w:ilvl="1">
      <w:lvlJc w:val="left"/>
      <w:lvlText w:val="(%2)"/>
      <w:numFmt w:val="decimal"/>
      <w:start w:val="4"/>
    </w:lvl>
  </w:abstractNum>
  <w:abstractNum w:abstractNumId="33">
    <w:nsid w:val="2463B9EA"/>
    <w:multiLevelType w:val="hybridMultilevel"/>
    <w:lvl w:ilvl="0">
      <w:lvlJc w:val="left"/>
      <w:lvlText w:val="(%1)"/>
      <w:numFmt w:val="lowerRoman"/>
      <w:start w:val="1"/>
    </w:lvl>
    <w:lvl w:ilvl="1">
      <w:lvlJc w:val="left"/>
      <w:lvlText w:val="(%2)"/>
      <w:numFmt w:val="decimal"/>
      <w:start w:val="5"/>
    </w:lvl>
  </w:abstractNum>
  <w:abstractNum w:abstractNumId="34">
    <w:nsid w:val="5E884ADC"/>
    <w:multiLevelType w:val="hybridMultilevel"/>
    <w:lvl w:ilvl="0">
      <w:lvlJc w:val="left"/>
      <w:lvlText w:val="(%1)"/>
      <w:numFmt w:val="decimal"/>
      <w:start w:val="6"/>
    </w:lvl>
  </w:abstractNum>
  <w:abstractNum w:abstractNumId="35">
    <w:nsid w:val="51EAD36B"/>
    <w:multiLevelType w:val="hybridMultilevel"/>
    <w:lvl w:ilvl="0">
      <w:lvlJc w:val="left"/>
      <w:lvlText w:val="(%1)"/>
      <w:numFmt w:val="lowerLetter"/>
      <w:start w:val="6"/>
    </w:lvl>
    <w:lvl w:ilvl="1">
      <w:lvlJc w:val="left"/>
      <w:lvlText w:val="(%2)"/>
      <w:numFmt w:val="decimal"/>
      <w:start w:val="1"/>
    </w:lvl>
  </w:abstractNum>
  <w:abstractNum w:abstractNumId="36">
    <w:nsid w:val="2D517796"/>
    <w:multiLevelType w:val="hybridMultilevel"/>
    <w:lvl w:ilvl="0">
      <w:lvlJc w:val="left"/>
      <w:lvlText w:val="(%1)"/>
      <w:numFmt w:val="lowerLetter"/>
      <w:start w:val="1"/>
    </w:lvl>
    <w:lvl w:ilvl="1">
      <w:lvlJc w:val="left"/>
      <w:lvlText w:val="(%2)"/>
      <w:numFmt w:val="decimal"/>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7"/>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jpeg"/><Relationship Id="rId196" Type="http://schemas.openxmlformats.org/officeDocument/2006/relationships/image" Target="media/image186.png"/><Relationship Id="rId197" Type="http://schemas.openxmlformats.org/officeDocument/2006/relationships/image" Target="media/image187.jpe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jpe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189" Type="http://schemas.openxmlformats.org/officeDocument/2006/relationships/hyperlink" Target="https://www.sec.gov/Archives/edgar/data/1853513/000095017022009801/mcw-ex2_1.htm" TargetMode="External"/><Relationship Id="rId190" Type="http://schemas.openxmlformats.org/officeDocument/2006/relationships/hyperlink" Target="https://www.sec.gov/Archives/edgar/data/1853513/000095017022010967/mcw-ex3_2.htm" TargetMode="External"/><Relationship Id="rId191" Type="http://schemas.openxmlformats.org/officeDocument/2006/relationships/hyperlink" Target="https://www.sec.gov/Archives/edgar/data/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2023-05-03T06:17:08Z</dcterms:created>
  <dcterms:modified xsi:type="dcterms:W3CDTF">2023-05-03T06:17:08Z</dcterms:modified>
</cp:coreProperties>
</file>