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w-20250930.htm"/>
      <w:bookmarkStart w:id="1" w:name="ksmcw2025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001-40542</w:t>
      </w:r>
    </w:p>
    <w:p>
      <w:pPr>
        <w:pStyle w:val="TextBody"/>
        <w:pBdr>
          <w:bottom w:val="single" w:sz="4" w:space="1" w:color="000000"/>
        </w:pBdr>
        <w:bidi w:val="0"/>
        <w:spacing w:before="60" w:after="120"/>
        <w:jc w:val="center"/>
        <w:rPr/>
      </w:pPr>
      <w:r>
        <w:rPr/>
        <w:t> </w:t>
      </w:r>
    </w:p>
    <w:p>
      <w:pPr>
        <w:pStyle w:val="TextBody"/>
        <w:bidi w:val="0"/>
        <w:jc w:val="center"/>
        <w:rPr/>
      </w:pPr>
      <w:r>
        <w:rPr/>
        <w:drawing>
          <wp:inline distT="0" distB="0" distL="0" distR="0">
            <wp:extent cx="20478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695325"/>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47-1393909</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222 E. 5</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Street, Tucson, Arizona</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85705</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(520) 615-4000</w:t>
      </w:r>
    </w:p>
    <w:p>
      <w:pPr>
        <w:pStyle w:val="TextBody"/>
        <w:pBdr>
          <w:bottom w:val="single" w:sz="4" w:space="1" w:color="000000"/>
        </w:pBdr>
        <w:bidi w:val="0"/>
        <w:spacing w:before="60" w:after="283"/>
        <w:jc w:val="center"/>
        <w:rPr/>
      </w:pPr>
      <w:r>
        <w:rPr/>
        <w:t> </w:t>
      </w:r>
    </w:p>
    <w:p>
      <w:pPr>
        <w:pStyle w:val="TextBody"/>
        <w:bidi w:val="0"/>
        <w:spacing w:before="80" w:after="283"/>
        <w:jc w:val="center"/>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October 23, 2025, the registrant had 327,568,371</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169" w:type="dxa"/>
        <w:jc w:val="left"/>
        <w:tblInd w:w="0" w:type="dxa"/>
        <w:tblLayout w:type="fixed"/>
        <w:tblCellMar>
          <w:top w:w="28" w:type="dxa"/>
          <w:left w:w="28" w:type="dxa"/>
          <w:bottom w:w="28" w:type="dxa"/>
          <w:right w:w="28" w:type="dxa"/>
        </w:tblCellMar>
      </w:tblPr>
      <w:tblGrid>
        <w:gridCol w:w="976"/>
        <w:gridCol w:w="434"/>
        <w:gridCol w:w="7366"/>
        <w:gridCol w:w="393"/>
      </w:tblGrid>
      <w:tr>
        <w:trPr/>
        <w:tc>
          <w:tcPr>
            <w:tcW w:w="9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776" w:type="dxa"/>
            <w:gridSpan w:val="3"/>
            <w:tcBorders/>
            <w:shd w:fill="CFF0FC"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forward_looking_statements">
              <w:r>
                <w:rPr>
                  <w:rStyle w:val="InternetLink"/>
                  <w:rFonts w:ascii="Times New Roman" w:hAnsi="Times New Roman"/>
                  <w:color w:val="0000FF"/>
                  <w:sz w:val="20"/>
                  <w:u w:val="single"/>
                </w:rPr>
                <w:t>2</w:t>
              </w:r>
            </w:hyperlink>
          </w:p>
        </w:tc>
      </w:tr>
      <w:tr>
        <w:trPr/>
        <w:tc>
          <w:tcPr>
            <w:tcW w:w="8776"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PART I - FINANCIAL INFORMATION</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Item 1.</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i_item1">
              <w:r>
                <w:rPr>
                  <w:rStyle w:val="InternetLink"/>
                  <w:rFonts w:ascii="Times New Roman" w:hAnsi="Times New Roman"/>
                  <w:color w:val="0000FF"/>
                  <w:sz w:val="20"/>
                  <w:u w:val="single"/>
                </w:rPr>
                <w:t>3</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operations">
              <w:r>
                <w:rPr>
                  <w:rStyle w:val="InternetLink"/>
                  <w:rFonts w:ascii="Times New Roman" w:hAnsi="Times New Roman"/>
                  <w:color w:val="0000FF"/>
                  <w:sz w:val="20"/>
                  <w:u w:val="single"/>
                </w:rPr>
                <w:t>Consolidated Statements of Operations and Comprehensive Income</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operations">
              <w:r>
                <w:rPr>
                  <w:rStyle w:val="InternetLink"/>
                  <w:rFonts w:ascii="Times New Roman" w:hAnsi="Times New Roman"/>
                  <w:color w:val="0000FF"/>
                  <w:sz w:val="20"/>
                  <w:u w:val="single"/>
                </w:rPr>
                <w:t>3</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cash_flows">
              <w:r>
                <w:rPr>
                  <w:rStyle w:val="InternetLink"/>
                  <w:rFonts w:ascii="Times New Roman" w:hAnsi="Times New Roman"/>
                  <w:color w:val="0000FF"/>
                  <w:sz w:val="20"/>
                  <w:u w:val="single"/>
                </w:rPr>
                <w:t>Consolidated Statements of Cash Flows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cash_flows">
              <w:r>
                <w:rPr>
                  <w:rStyle w:val="InternetLink"/>
                  <w:rFonts w:ascii="Times New Roman" w:hAnsi="Times New Roman"/>
                  <w:color w:val="0000FF"/>
                  <w:sz w:val="20"/>
                  <w:u w:val="single"/>
                </w:rPr>
                <w:t>4</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balance_sheets">
              <w:r>
                <w:rPr>
                  <w:rStyle w:val="InternetLink"/>
                  <w:rFonts w:ascii="Times New Roman" w:hAnsi="Times New Roman"/>
                  <w:color w:val="0000FF"/>
                  <w:sz w:val="20"/>
                  <w:u w:val="single"/>
                </w:rPr>
                <w:t>Consolidated Balance Sheets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right"/>
              <w:rPr/>
            </w:pPr>
            <w:hyperlink w:anchor="balance_sheets">
              <w:r>
                <w:rPr>
                  <w:rStyle w:val="InternetLink"/>
                  <w:rFonts w:ascii="Times New Roman" w:hAnsi="Times New Roman"/>
                  <w:color w:val="0000FF"/>
                  <w:sz w:val="20"/>
                  <w:u w:val="single"/>
                </w:rPr>
                <w:t>5</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equity">
              <w:r>
                <w:rPr>
                  <w:rStyle w:val="InternetLink"/>
                  <w:rFonts w:ascii="Times New Roman" w:hAnsi="Times New Roman"/>
                  <w:color w:val="0000FF"/>
                  <w:sz w:val="20"/>
                  <w:u w:val="single"/>
                </w:rPr>
                <w:t>Consolidated Statements of Stockholders' Equity</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equity">
              <w:r>
                <w:rPr>
                  <w:rStyle w:val="InternetLink"/>
                  <w:rFonts w:ascii="Times New Roman" w:hAnsi="Times New Roman"/>
                  <w:color w:val="0000FF"/>
                  <w:sz w:val="20"/>
                  <w:u w:val="single"/>
                </w:rPr>
                <w:t>6</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notes_to_the_financial_statements">
              <w:r>
                <w:rPr>
                  <w:rStyle w:val="InternetLink"/>
                  <w:rFonts w:ascii="Times New Roman" w:hAnsi="Times New Roman"/>
                  <w:color w:val="0000FF"/>
                  <w:sz w:val="20"/>
                  <w:u w:val="single"/>
                </w:rPr>
                <w:t>Notes to Consolidated Financial Statements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notes_to_the_financial_statements">
              <w:r>
                <w:rPr>
                  <w:rStyle w:val="InternetLink"/>
                  <w:rFonts w:ascii="Times New Roman" w:hAnsi="Times New Roman"/>
                  <w:color w:val="0000FF"/>
                  <w:sz w:val="20"/>
                  <w:u w:val="single"/>
                </w:rPr>
                <w:t>7</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Item 2.</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notes_to_the_financial_statements">
              <w:r>
                <w:rPr>
                  <w:rStyle w:val="InternetLink"/>
                  <w:rFonts w:ascii="Times New Roman" w:hAnsi="Times New Roman"/>
                  <w:color w:val="0000FF"/>
                  <w:sz w:val="20"/>
                  <w:u w:val="single"/>
                </w:rPr>
                <w:t>20</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Item 3.</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_item3">
              <w:r>
                <w:rPr>
                  <w:rStyle w:val="InternetLink"/>
                  <w:rFonts w:ascii="Times New Roman" w:hAnsi="Times New Roman"/>
                  <w:color w:val="0000FF"/>
                  <w:sz w:val="20"/>
                  <w:u w:val="single"/>
                </w:rPr>
                <w:t>27</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Item 4.</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_item4">
              <w:r>
                <w:rPr>
                  <w:rStyle w:val="InternetLink"/>
                  <w:rFonts w:ascii="Times New Roman" w:hAnsi="Times New Roman"/>
                  <w:color w:val="0000FF"/>
                  <w:sz w:val="20"/>
                  <w:u w:val="single"/>
                </w:rPr>
                <w:t>27</w:t>
              </w:r>
            </w:hyperlink>
          </w:p>
        </w:tc>
      </w:tr>
      <w:tr>
        <w:trPr/>
        <w:tc>
          <w:tcPr>
            <w:tcW w:w="8776"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PART II - OTHER INFORMATION</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Item 1.</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1">
              <w:r>
                <w:rPr>
                  <w:rStyle w:val="InternetLink"/>
                  <w:rFonts w:ascii="Times New Roman" w:hAnsi="Times New Roman"/>
                  <w:color w:val="0000FF"/>
                  <w:sz w:val="20"/>
                  <w:u w:val="single"/>
                </w:rPr>
                <w:t>28</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Item 1A.</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1a">
              <w:r>
                <w:rPr>
                  <w:rStyle w:val="InternetLink"/>
                  <w:rFonts w:ascii="Times New Roman" w:hAnsi="Times New Roman"/>
                  <w:color w:val="0000FF"/>
                  <w:sz w:val="20"/>
                  <w:u w:val="single"/>
                </w:rPr>
                <w:t>28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Item 2.</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2">
              <w:r>
                <w:rPr>
                  <w:rStyle w:val="InternetLink"/>
                  <w:rFonts w:ascii="Times New Roman" w:hAnsi="Times New Roman"/>
                  <w:color w:val="0000FF"/>
                  <w:sz w:val="20"/>
                  <w:u w:val="single"/>
                </w:rPr>
                <w:t>28</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Item 3.</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3">
              <w:r>
                <w:rPr>
                  <w:rStyle w:val="InternetLink"/>
                  <w:rFonts w:ascii="Times New Roman" w:hAnsi="Times New Roman"/>
                  <w:color w:val="0000FF"/>
                  <w:sz w:val="20"/>
                  <w:u w:val="single"/>
                </w:rPr>
                <w:t>28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Item 4.</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4">
              <w:r>
                <w:rPr>
                  <w:rStyle w:val="InternetLink"/>
                  <w:rFonts w:ascii="Times New Roman" w:hAnsi="Times New Roman"/>
                  <w:color w:val="0000FF"/>
                  <w:sz w:val="20"/>
                  <w:u w:val="single"/>
                </w:rPr>
                <w:t>28</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Item 5.</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5">
              <w:r>
                <w:rPr>
                  <w:rStyle w:val="InternetLink"/>
                  <w:rFonts w:ascii="Times New Roman" w:hAnsi="Times New Roman"/>
                  <w:color w:val="0000FF"/>
                  <w:sz w:val="20"/>
                  <w:u w:val="single"/>
                </w:rPr>
                <w:t>28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Item 6.</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6">
              <w:r>
                <w:rPr>
                  <w:rStyle w:val="InternetLink"/>
                  <w:rFonts w:ascii="Times New Roman" w:hAnsi="Times New Roman"/>
                  <w:color w:val="0000FF"/>
                  <w:sz w:val="20"/>
                  <w:u w:val="single"/>
                </w:rPr>
                <w:t>29</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signatures">
              <w:r>
                <w:rPr>
                  <w:rStyle w:val="InternetLink"/>
                  <w:rFonts w:ascii="Times New Roman" w:hAnsi="Times New Roman"/>
                  <w:color w:val="0000FF"/>
                  <w:sz w:val="20"/>
                  <w:u w:val="single"/>
                </w:rPr>
                <w:t>30</w:t>
              </w:r>
            </w:hyperlink>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1"/>
        <w:bidi w:val="0"/>
        <w:spacing w:before="120" w:after="283"/>
        <w:jc w:val="center"/>
        <w:rPr>
          <w:rFonts w:ascii="Times New Roman" w:hAnsi="Times New Roman"/>
          <w:color w:val="000000"/>
          <w:sz w:val="20"/>
        </w:rPr>
      </w:pPr>
      <w:bookmarkStart w:id="3" w:name="forward_looking_statements"/>
      <w:bookmarkEnd w:id="3"/>
      <w:r>
        <w:rPr>
          <w:rFonts w:ascii="Times New Roman" w:hAnsi="Times New Roman"/>
          <w:color w:val="000000"/>
          <w:sz w:val="20"/>
        </w:rPr>
        <w:t xml:space="preserve">FORWARD-LOOKING STATEMENTS </w:t>
      </w:r>
    </w:p>
    <w:p>
      <w:pPr>
        <w:pStyle w:val="TextBody"/>
        <w:bidi w:val="0"/>
        <w:spacing w:before="120" w:after="120"/>
        <w:jc w:val="both"/>
        <w:rPr>
          <w:rFonts w:ascii="Times New Roman" w:hAnsi="Times New Roman"/>
          <w:sz w:val="20"/>
        </w:rPr>
      </w:pPr>
      <w:r>
        <w:rPr>
          <w:rFonts w:ascii="Times New Roman" w:hAnsi="Times New Roman"/>
          <w:color w:val="000000"/>
          <w:sz w:val="19"/>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“should,” “will,” “would” or the negative thereof or comparable terminology.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2024 (the “2024 Form 10-K”) and in Part I. Item 2. “Management’s Discussion and Analysis of Financial Condition and Results of Operations” of this Quarterly Report on Form 10-Q.</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You are cautioned not to place undue reliance on such forward-looking statements. In addition, even if actual results are consistent with the forward-looking statements included elsewhere in this Quarterly Report on Form 10-Q, they may not be indicative of results or developments in future periods.</w:t>
      </w:r>
    </w:p>
    <w:p>
      <w:pPr>
        <w:pStyle w:val="TextBody"/>
        <w:bidi w:val="0"/>
        <w:spacing w:before="0" w:after="120"/>
        <w:jc w:val="both"/>
        <w:rPr>
          <w:rFonts w:ascii="Times New Roman" w:hAnsi="Times New Roman"/>
          <w:sz w:val="20"/>
        </w:rPr>
      </w:pPr>
      <w:r>
        <w:rPr>
          <w:rFonts w:ascii="Times New Roman" w:hAnsi="Times New Roman"/>
          <w:color w:val="000000"/>
          <w:sz w:val="19"/>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As used in this Quarterly Report on Form 10-Q, unless otherwise stated or the context requires otherwise, references to “Mister Car Wash,” “Mister,” the “Company,” “we,” “us,” and “our,” refer to Mister Car Wash, Inc. and its subsidiaries on a consolidated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PART I—FINANCIAL INFORMATION</w:t>
      </w:r>
    </w:p>
    <w:p>
      <w:pPr>
        <w:pStyle w:val="TextBody"/>
        <w:bidi w:val="0"/>
        <w:spacing w:before="120" w:after="283"/>
        <w:jc w:val="left"/>
        <w:rPr>
          <w:rFonts w:ascii="Times New Roman" w:hAnsi="Times New Roman"/>
          <w:b/>
          <w:color w:val="000000"/>
          <w:sz w:val="20"/>
          <w:u w:val="single"/>
        </w:rPr>
      </w:pPr>
      <w:bookmarkStart w:id="4" w:name="i_item1"/>
      <w:bookmarkEnd w:id="4"/>
      <w:r>
        <w:rPr>
          <w:rFonts w:ascii="Times New Roman" w:hAnsi="Times New Roman"/>
          <w:b/>
          <w:color w:val="000000"/>
          <w:sz w:val="20"/>
          <w:u w:val="single"/>
        </w:rPr>
        <w:t>Item 1. Financial Statements.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44"/>
        <w:gridCol w:w="146"/>
        <w:gridCol w:w="211"/>
        <w:gridCol w:w="1141"/>
        <w:gridCol w:w="246"/>
        <w:gridCol w:w="246"/>
        <w:gridCol w:w="211"/>
        <w:gridCol w:w="1141"/>
        <w:gridCol w:w="246"/>
        <w:gridCol w:w="246"/>
        <w:gridCol w:w="211"/>
        <w:gridCol w:w="1141"/>
        <w:gridCol w:w="166"/>
        <w:gridCol w:w="146"/>
        <w:gridCol w:w="211"/>
        <w:gridCol w:w="1141"/>
        <w:gridCol w:w="411"/>
      </w:tblGrid>
      <w:tr>
        <w:trPr/>
        <w:tc>
          <w:tcPr>
            <w:tcW w:w="2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327,389,467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321,917,525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325,728,763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319,067,596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332,359,175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329,299,326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331,899,189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329,222,641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6" w:name="statements_of_cash_flows"/>
      <w:bookmarkEnd w:id="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74"/>
        <w:gridCol w:w="243"/>
        <w:gridCol w:w="933"/>
        <w:gridCol w:w="206"/>
        <w:gridCol w:w="180"/>
        <w:gridCol w:w="243"/>
        <w:gridCol w:w="933"/>
        <w:gridCol w:w="793"/>
      </w:tblGrid>
      <w:tr>
        <w:trPr/>
        <w:tc>
          <w:tcPr>
            <w:tcW w:w="66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(Amounts in thousands)</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 expense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65,055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61,038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sale of assets, net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deferred debt issuance costs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41,198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36,557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Changes in assets and liabilities</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(35,875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 and liabilities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225,733</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198,840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property and equipment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(178,654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(259,896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(171,803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(223,465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issuance of common stock under employee plans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 of tax withholding on option exercises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debt borrowings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925,000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revolving line of credit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 on debt borrowings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(89,307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(903,513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 on revolving line of credit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Payments of deferred debt issuance costs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Principal payments on finance lease obligations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provided by (used in) financing activities</w:t>
            </w:r>
          </w:p>
        </w:tc>
        <w:tc>
          <w:tcPr>
            <w:tcW w:w="2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(85,776</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22,130</w:t>
            </w:r>
          </w:p>
        </w:tc>
        <w:tc>
          <w:tcPr>
            <w:tcW w:w="7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 and restricted cash during period</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beginning of period</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67,612</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and restricted cash at end of period</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35,766</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16,624</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 consolidated balance sheets</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 included in prepaid expenses and other current assets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35,766</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16,624</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interest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46,730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60,436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for income taxes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in accounts payable</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accrued in other accrued expenses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option exercise proceeds in other receivables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7" w:name="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555" w:type="dxa"/>
        <w:jc w:val="left"/>
        <w:tblInd w:w="0" w:type="dxa"/>
        <w:tblLayout w:type="fixed"/>
        <w:tblCellMar>
          <w:top w:w="28" w:type="dxa"/>
          <w:left w:w="28" w:type="dxa"/>
          <w:bottom w:w="28" w:type="dxa"/>
          <w:right w:w="28" w:type="dxa"/>
        </w:tblCellMar>
      </w:tblPr>
      <w:tblGrid>
        <w:gridCol w:w="5576"/>
        <w:gridCol w:w="146"/>
        <w:gridCol w:w="296"/>
        <w:gridCol w:w="1309"/>
        <w:gridCol w:w="146"/>
        <w:gridCol w:w="146"/>
        <w:gridCol w:w="285"/>
        <w:gridCol w:w="1260"/>
        <w:gridCol w:w="391"/>
      </w:tblGrid>
      <w:tr>
        <w:trPr/>
        <w:tc>
          <w:tcPr>
            <w:tcW w:w="5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$0.01 par value, 1,000,000,000 shares authorized,</w:t>
              <w:br/>
              <w:t>   327,532,052 and 323,693,863 shares outstanding as of</w:t>
              <w:br/>
              <w: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Mister Car Wash, Inc.</w:t>
      </w:r>
    </w:p>
    <w:p>
      <w:pPr>
        <w:pStyle w:val="TextBody"/>
        <w:bidi w:val="0"/>
        <w:jc w:val="center"/>
        <w:rPr>
          <w:rFonts w:ascii="Times New Roman" w:hAnsi="Times New Roman"/>
          <w:b/>
          <w:color w:val="231F20"/>
          <w:sz w:val="20"/>
        </w:rPr>
      </w:pPr>
      <w:bookmarkStart w:id="8" w:name="statements_of_equity"/>
      <w:bookmarkEnd w:id="8"/>
      <w:r>
        <w:rPr>
          <w:rFonts w:ascii="Times New Roman" w:hAnsi="Times New Roman"/>
          <w:b/>
          <w:color w:val="231F20"/>
          <w:sz w:val="20"/>
        </w:rPr>
        <w:t>Consolidated Statements of Stockholders’ Equity</w:t>
      </w:r>
    </w:p>
    <w:p>
      <w:pPr>
        <w:pStyle w:val="TextBody"/>
        <w:bidi w:val="0"/>
        <w:jc w:val="center"/>
        <w:rPr>
          <w:rFonts w:ascii="Times New Roman" w:hAnsi="Times New Roman"/>
          <w:b/>
          <w:color w:val="231F20"/>
          <w:sz w:val="20"/>
        </w:rPr>
      </w:pPr>
      <w:r>
        <w:rPr>
          <w:rFonts w:ascii="Times New Roman" w:hAnsi="Times New Roman"/>
          <w:b/>
          <w:color w:val="231F20"/>
          <w:sz w:val="20"/>
        </w:rPr>
        <w:t>(Amounts in thousands, except share and per share data)</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Nine Months Ended September 30, 2025</w:t>
      </w:r>
    </w:p>
    <w:tbl>
      <w:tblPr>
        <w:tblW w:w="10205" w:type="dxa"/>
        <w:jc w:val="left"/>
        <w:tblInd w:w="0" w:type="dxa"/>
        <w:tblLayout w:type="fixed"/>
        <w:tblCellMar>
          <w:top w:w="28" w:type="dxa"/>
          <w:left w:w="28" w:type="dxa"/>
          <w:bottom w:w="28" w:type="dxa"/>
          <w:right w:w="28" w:type="dxa"/>
        </w:tblCellMar>
      </w:tblPr>
      <w:tblGrid>
        <w:gridCol w:w="1556"/>
        <w:gridCol w:w="146"/>
        <w:gridCol w:w="1141"/>
        <w:gridCol w:w="146"/>
        <w:gridCol w:w="146"/>
        <w:gridCol w:w="211"/>
        <w:gridCol w:w="571"/>
        <w:gridCol w:w="146"/>
        <w:gridCol w:w="146"/>
        <w:gridCol w:w="227"/>
        <w:gridCol w:w="843"/>
        <w:gridCol w:w="166"/>
        <w:gridCol w:w="146"/>
        <w:gridCol w:w="443"/>
        <w:gridCol w:w="1012"/>
        <w:gridCol w:w="166"/>
        <w:gridCol w:w="146"/>
        <w:gridCol w:w="219"/>
        <w:gridCol w:w="811"/>
        <w:gridCol w:w="146"/>
        <w:gridCol w:w="146"/>
        <w:gridCol w:w="223"/>
        <w:gridCol w:w="987"/>
        <w:gridCol w:w="315"/>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323,693,863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324,814,438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1,033,895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327,257,547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1,070,983</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327,532,052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1,105,157</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5" w:after="283"/>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Nine Months Ended September 30, 2024</w:t>
      </w:r>
    </w:p>
    <w:tbl>
      <w:tblPr>
        <w:tblW w:w="10205" w:type="dxa"/>
        <w:jc w:val="left"/>
        <w:tblInd w:w="0" w:type="dxa"/>
        <w:tblLayout w:type="fixed"/>
        <w:tblCellMar>
          <w:top w:w="28" w:type="dxa"/>
          <w:left w:w="28" w:type="dxa"/>
          <w:bottom w:w="28" w:type="dxa"/>
          <w:right w:w="28" w:type="dxa"/>
        </w:tblCellMar>
      </w:tblPr>
      <w:tblGrid>
        <w:gridCol w:w="1548"/>
        <w:gridCol w:w="146"/>
        <w:gridCol w:w="1141"/>
        <w:gridCol w:w="166"/>
        <w:gridCol w:w="146"/>
        <w:gridCol w:w="211"/>
        <w:gridCol w:w="571"/>
        <w:gridCol w:w="166"/>
        <w:gridCol w:w="146"/>
        <w:gridCol w:w="227"/>
        <w:gridCol w:w="841"/>
        <w:gridCol w:w="166"/>
        <w:gridCol w:w="146"/>
        <w:gridCol w:w="548"/>
        <w:gridCol w:w="901"/>
        <w:gridCol w:w="146"/>
        <w:gridCol w:w="146"/>
        <w:gridCol w:w="218"/>
        <w:gridCol w:w="809"/>
        <w:gridCol w:w="146"/>
        <w:gridCol w:w="146"/>
        <w:gridCol w:w="257"/>
        <w:gridCol w:w="951"/>
        <w:gridCol w:w="316"/>
      </w:tblGrid>
      <w:tr>
        <w:trPr/>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315,192,401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on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317,835,082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928,724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on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321,395,188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322,239,140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979,403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pPr>
      <w:r>
        <w:rPr/>
        <w:t> </w:t>
      </w:r>
    </w:p>
    <w:p>
      <w:pPr>
        <w:pStyle w:val="TextBody"/>
        <w:bidi w:val="0"/>
        <w:spacing w:before="120" w:after="283"/>
        <w:jc w:val="left"/>
        <w:rPr>
          <w:rFonts w:ascii="Times New Roman" w:hAnsi="Times New Roman"/>
          <w:b/>
          <w:color w:val="231F20"/>
          <w:sz w:val="20"/>
        </w:rPr>
      </w:pPr>
      <w:bookmarkStart w:id="9" w:name="notes_to_the_financial_statements"/>
      <w:bookmarkEnd w:id="9"/>
      <w:r>
        <w:rPr>
          <w:rFonts w:ascii="Times New Roman" w:hAnsi="Times New Roman"/>
          <w:b/>
          <w:color w:val="231F20"/>
          <w:sz w:val="20"/>
        </w:rPr>
        <w:t>1. Nature of Business</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Mister Car Wash, Inc., a Delaware corporation, together with its subsidiaries (collectively, </w:t>
      </w:r>
      <w:r>
        <w:rPr>
          <w:rFonts w:ascii="Times New Roman" w:hAnsi="Times New Roman"/>
          <w:color w:val="000000"/>
          <w:sz w:val="20"/>
        </w:rPr>
        <w:t xml:space="preserve">“we,” “us,” “our” or </w:t>
      </w:r>
      <w:r>
        <w:rPr>
          <w:rFonts w:ascii="Times New Roman" w:hAnsi="Times New Roman"/>
          <w:color w:val="231F20"/>
          <w:sz w:val="20"/>
        </w:rPr>
        <w:t xml:space="preserve">the </w:t>
      </w:r>
      <w:r>
        <w:rPr>
          <w:rFonts w:ascii="Times New Roman" w:hAnsi="Times New Roman"/>
          <w:color w:val="000000"/>
          <w:sz w:val="20"/>
        </w:rPr>
        <w:t>“</w:t>
      </w:r>
      <w:r>
        <w:rPr>
          <w:rFonts w:ascii="Times New Roman" w:hAnsi="Times New Roman"/>
          <w:color w:val="231F20"/>
          <w:sz w:val="20"/>
        </w:rPr>
        <w:t>Company</w:t>
      </w:r>
      <w:r>
        <w:rPr>
          <w:rFonts w:ascii="Times New Roman" w:hAnsi="Times New Roman"/>
          <w:color w:val="000000"/>
          <w:sz w:val="20"/>
        </w:rPr>
        <w:t>”</w:t>
      </w:r>
      <w:r>
        <w:rPr>
          <w:rFonts w:ascii="Times New Roman" w:hAnsi="Times New Roman"/>
          <w:color w:val="231F20"/>
          <w:sz w:val="20"/>
        </w:rPr>
        <w:t xml:space="preserve">), is based in Tucson, Arizona and is a provider of conveyorized car wash services. We primarily operate Express Exterior Locations, which offer express exterior cleaning services along with free vacuum services, and interior cleaning services at select locations. As of September 30, 2025, we operated 527 car washes in 21 states. </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2. Summary of Significant Accounting Policies</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Basis of Presentation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accompanying unaudited consolidated financial statements as of September 30, 2025 and for the three and nine months ended September 30, 2025 and 2024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omitted pursuant to such rules and regulations. As such, the information included in this quarterly report on Form 10-Q should be read in conjunction with our audited consolidated financial statements and the notes thereto for the year ended December 31, 2024 included in the 2024 Form 10-K.</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consolidated financial statements have been prepared on the same basis as the audited consolidated financial statements. In the opinion of management, the accompanying unaudited consolidated financial statements reflect all adjustments consisting of normal recurring adjustments necessary for a fair presentation of our financial position and results of operations. Such adjustments are of a normal and recurring nature. The consolidated results of operations and comprehensive income for the three and nine months ended September 30, 2025 are not necessarily indicative of the consolidated results of operations and comprehensive income that may be expected for any other future interim or annual period.</w:t>
      </w:r>
    </w:p>
    <w:p>
      <w:pPr>
        <w:pStyle w:val="Heading2"/>
        <w:bidi w:val="0"/>
        <w:jc w:val="left"/>
        <w:rPr>
          <w:rFonts w:ascii="Times New Roman" w:hAnsi="Times New Roman"/>
          <w:i/>
          <w:color w:val="231F20"/>
          <w:sz w:val="20"/>
        </w:rPr>
      </w:pPr>
      <w:r>
        <w:rPr>
          <w:rFonts w:ascii="Times New Roman" w:hAnsi="Times New Roman"/>
          <w:i/>
          <w:color w:val="231F20"/>
          <w:sz w:val="20"/>
        </w:rPr>
        <w:t>Use of Estimates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and certain assumptions used related to the evaluation of goodwill, intangibles, and property and equipment asset impairment. Actual results could differ from those estimates.</w:t>
      </w:r>
    </w:p>
    <w:p>
      <w:pPr>
        <w:pStyle w:val="Heading2"/>
        <w:bidi w:val="0"/>
        <w:jc w:val="left"/>
        <w:rPr>
          <w:rFonts w:ascii="Times New Roman" w:hAnsi="Times New Roman"/>
          <w:i/>
          <w:color w:val="231F20"/>
          <w:sz w:val="20"/>
        </w:rPr>
      </w:pPr>
      <w:r>
        <w:rPr>
          <w:rFonts w:ascii="Times New Roman" w:hAnsi="Times New Roman"/>
          <w:i/>
          <w:color w:val="231F20"/>
          <w:sz w:val="20"/>
        </w:rPr>
        <w:t>Accounts Receivable,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Accounts receivable are presented net of an allowance for doubtful accounts of $148 and $123 as of September 30, 2025 and December 31, 2024, respectively. The activity in the allowance for doubtful accounts was immaterial for the three and nine months ended September 30, 2025 and 2024.</w:t>
      </w:r>
    </w:p>
    <w:p>
      <w:pPr>
        <w:pStyle w:val="Heading2"/>
        <w:bidi w:val="0"/>
        <w:jc w:val="left"/>
        <w:rPr>
          <w:rFonts w:ascii="Times New Roman" w:hAnsi="Times New Roman"/>
          <w:sz w:val="20"/>
        </w:rPr>
      </w:pPr>
      <w:r>
        <w:rPr>
          <w:rFonts w:ascii="Times New Roman" w:hAnsi="Times New Roman"/>
          <w:i/>
          <w:color w:val="231F20"/>
          <w:sz w:val="20"/>
        </w:rPr>
        <w:t>Other Receivables</w:t>
      </w:r>
      <w:r>
        <w:rPr>
          <w:rFonts w:ascii="Times New Roman" w:hAnsi="Times New Roman"/>
          <w:color w:val="231F20"/>
          <w:sz w:val="20"/>
        </w:rPr>
        <w:t xml:space="preserve">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Other receivables consisted of the following for the periods presented: </w:t>
      </w:r>
    </w:p>
    <w:tbl>
      <w:tblPr>
        <w:tblW w:w="8635" w:type="dxa"/>
        <w:jc w:val="left"/>
        <w:tblInd w:w="0" w:type="dxa"/>
        <w:tblLayout w:type="fixed"/>
        <w:tblCellMar>
          <w:top w:w="28" w:type="dxa"/>
          <w:left w:w="28" w:type="dxa"/>
          <w:bottom w:w="28" w:type="dxa"/>
          <w:right w:w="28" w:type="dxa"/>
        </w:tblCellMar>
      </w:tblPr>
      <w:tblGrid>
        <w:gridCol w:w="4756"/>
        <w:gridCol w:w="146"/>
        <w:gridCol w:w="381"/>
        <w:gridCol w:w="1224"/>
        <w:gridCol w:w="146"/>
        <w:gridCol w:w="146"/>
        <w:gridCol w:w="367"/>
        <w:gridCol w:w="1178"/>
        <w:gridCol w:w="2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withholding and exercise proceeds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Prepaid Expenses and Other Current Assets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Prepaid expenses and other current assets consisted of the following for the periods presented:</w:t>
      </w:r>
    </w:p>
    <w:tbl>
      <w:tblPr>
        <w:tblW w:w="7910" w:type="dxa"/>
        <w:jc w:val="left"/>
        <w:tblInd w:w="0" w:type="dxa"/>
        <w:tblLayout w:type="fixed"/>
        <w:tblCellMar>
          <w:top w:w="28" w:type="dxa"/>
          <w:left w:w="28" w:type="dxa"/>
          <w:bottom w:w="28" w:type="dxa"/>
          <w:right w:w="28" w:type="dxa"/>
        </w:tblCellMar>
      </w:tblPr>
      <w:tblGrid>
        <w:gridCol w:w="4031"/>
        <w:gridCol w:w="146"/>
        <w:gridCol w:w="381"/>
        <w:gridCol w:w="1224"/>
        <w:gridCol w:w="146"/>
        <w:gridCol w:w="146"/>
        <w:gridCol w:w="367"/>
        <w:gridCol w:w="1178"/>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Inventory,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Inventory consisted of the following for the periods presented:</w:t>
      </w:r>
    </w:p>
    <w:tbl>
      <w:tblPr>
        <w:tblW w:w="6535" w:type="dxa"/>
        <w:jc w:val="left"/>
        <w:tblInd w:w="0" w:type="dxa"/>
        <w:tblLayout w:type="fixed"/>
        <w:tblCellMar>
          <w:top w:w="28" w:type="dxa"/>
          <w:left w:w="28" w:type="dxa"/>
          <w:bottom w:w="28" w:type="dxa"/>
          <w:right w:w="28" w:type="dxa"/>
        </w:tblCellMar>
      </w:tblPr>
      <w:tblGrid>
        <w:gridCol w:w="2516"/>
        <w:gridCol w:w="146"/>
        <w:gridCol w:w="432"/>
        <w:gridCol w:w="1173"/>
        <w:gridCol w:w="166"/>
        <w:gridCol w:w="146"/>
        <w:gridCol w:w="417"/>
        <w:gridCol w:w="1128"/>
        <w:gridCol w:w="41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Chemical washing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activity in the reserve for obsolescence was immaterial for the three and nine months ended September 30, 2025 and 2024.</w:t>
      </w:r>
    </w:p>
    <w:p>
      <w:pPr>
        <w:pStyle w:val="Heading2"/>
        <w:bidi w:val="0"/>
        <w:jc w:val="left"/>
        <w:rPr>
          <w:rFonts w:ascii="Times New Roman" w:hAnsi="Times New Roman"/>
          <w:i/>
          <w:color w:val="231F20"/>
          <w:sz w:val="20"/>
        </w:rPr>
      </w:pPr>
      <w:r>
        <w:rPr>
          <w:rFonts w:ascii="Times New Roman" w:hAnsi="Times New Roman"/>
          <w:i/>
          <w:color w:val="231F20"/>
          <w:sz w:val="20"/>
        </w:rPr>
        <w:t>Derivative Financial Instruments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has a pay fixed, receive variable interest rate swap contract (“Swap”) to manage its exposure to changes in interest rates. The Swap is recognized in the consolidated balance sheets at fair value. The Swap is a cash flow hedge and is recorded using hedge accounting, as such, changes in the fair value of the Swap are recorded in other comprehensive income (loss), net of tax until the hedged item is recognized in earnings. Amounts reported in other comprehensive income, net of tax related to the Swap are reclassified to interest expense as interest payments are made on the Company’s variable-rate debt. The swap is scheduled to terminate June 30, 2027.</w:t>
      </w:r>
    </w:p>
    <w:p>
      <w:pPr>
        <w:pStyle w:val="TextBody"/>
        <w:bidi w:val="0"/>
        <w:jc w:val="left"/>
        <w:rPr>
          <w:rFonts w:ascii="Times New Roman" w:hAnsi="Times New Roman"/>
          <w:color w:val="231F20"/>
          <w:sz w:val="20"/>
        </w:rPr>
      </w:pPr>
      <w:r>
        <w:rPr>
          <w:rFonts w:ascii="Times New Roman" w:hAnsi="Times New Roman"/>
          <w:color w:val="231F20"/>
          <w:sz w:val="20"/>
        </w:rPr>
        <w:t>The Company assesses, both at the inception of the hedge and on an ongoing basis, whether the derivative used as a hedging instrument is highly effective in offsetting the changes in the cash flow of the hedged item. If it is determined that the derivative is not highly effective as a hedge or ceases to be highly effective, the Company will discontinue hedge accounting prospectively. See Note 8-Fair Value Measurements and Note 9-Interest Rate Swap for additional information.</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Revenue Recognition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composition of our net revenues for the periods presented:</w:t>
      </w:r>
    </w:p>
    <w:tbl>
      <w:tblPr>
        <w:tblW w:w="8944" w:type="dxa"/>
        <w:jc w:val="left"/>
        <w:tblInd w:w="0" w:type="dxa"/>
        <w:tblLayout w:type="fixed"/>
        <w:tblCellMar>
          <w:top w:w="28" w:type="dxa"/>
          <w:left w:w="28" w:type="dxa"/>
          <w:bottom w:w="28" w:type="dxa"/>
          <w:right w:w="28" w:type="dxa"/>
        </w:tblCellMar>
      </w:tblPr>
      <w:tblGrid>
        <w:gridCol w:w="2521"/>
        <w:gridCol w:w="146"/>
        <w:gridCol w:w="268"/>
        <w:gridCol w:w="993"/>
        <w:gridCol w:w="185"/>
        <w:gridCol w:w="185"/>
        <w:gridCol w:w="268"/>
        <w:gridCol w:w="993"/>
        <w:gridCol w:w="146"/>
        <w:gridCol w:w="146"/>
        <w:gridCol w:w="260"/>
        <w:gridCol w:w="962"/>
        <w:gridCol w:w="179"/>
        <w:gridCol w:w="179"/>
        <w:gridCol w:w="260"/>
        <w:gridCol w:w="962"/>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203,293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184,725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595,332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545,066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59,692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194,293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198,148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432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863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263,417</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790,488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Earnings Per Share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Reconciliations of the numerators and denominators of the basic and diluted earnings per share calculations for the periods presented are as follows:</w:t>
      </w:r>
    </w:p>
    <w:tbl>
      <w:tblPr>
        <w:tblW w:w="10205" w:type="dxa"/>
        <w:jc w:val="left"/>
        <w:tblInd w:w="0" w:type="dxa"/>
        <w:tblLayout w:type="fixed"/>
        <w:tblCellMar>
          <w:top w:w="28" w:type="dxa"/>
          <w:left w:w="28" w:type="dxa"/>
          <w:bottom w:w="28" w:type="dxa"/>
          <w:right w:w="28" w:type="dxa"/>
        </w:tblCellMar>
      </w:tblPr>
      <w:tblGrid>
        <w:gridCol w:w="3284"/>
        <w:gridCol w:w="146"/>
        <w:gridCol w:w="211"/>
        <w:gridCol w:w="1141"/>
        <w:gridCol w:w="146"/>
        <w:gridCol w:w="146"/>
        <w:gridCol w:w="211"/>
        <w:gridCol w:w="1141"/>
        <w:gridCol w:w="146"/>
        <w:gridCol w:w="146"/>
        <w:gridCol w:w="211"/>
        <w:gridCol w:w="1141"/>
        <w:gridCol w:w="146"/>
        <w:gridCol w:w="146"/>
        <w:gridCol w:w="211"/>
        <w:gridCol w:w="1141"/>
        <w:gridCol w:w="491"/>
      </w:tblGrid>
      <w:tr>
        <w:trPr/>
        <w:tc>
          <w:tcPr>
            <w:tcW w:w="3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327,389,467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321,917,525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325,728,763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319,067,596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8,585,621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1,540,123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332,359,175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329,299,326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331,899,189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329,222,641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potentially dilutive shares were excluded from the computation of diluted earnings per share for the periods presented because including them would have been antidilutive:</w:t>
      </w:r>
    </w:p>
    <w:tbl>
      <w:tblPr>
        <w:tblW w:w="8201" w:type="dxa"/>
        <w:jc w:val="left"/>
        <w:tblInd w:w="0" w:type="dxa"/>
        <w:tblLayout w:type="fixed"/>
        <w:tblCellMar>
          <w:top w:w="28" w:type="dxa"/>
          <w:left w:w="28" w:type="dxa"/>
          <w:bottom w:w="28" w:type="dxa"/>
          <w:right w:w="28" w:type="dxa"/>
        </w:tblCellMar>
      </w:tblPr>
      <w:tblGrid>
        <w:gridCol w:w="1876"/>
        <w:gridCol w:w="146"/>
        <w:gridCol w:w="172"/>
        <w:gridCol w:w="1102"/>
        <w:gridCol w:w="172"/>
        <w:gridCol w:w="172"/>
        <w:gridCol w:w="172"/>
        <w:gridCol w:w="1102"/>
        <w:gridCol w:w="146"/>
        <w:gridCol w:w="146"/>
        <w:gridCol w:w="167"/>
        <w:gridCol w:w="1068"/>
        <w:gridCol w:w="167"/>
        <w:gridCol w:w="167"/>
        <w:gridCol w:w="167"/>
        <w:gridCol w:w="1068"/>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6,358,906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5,382,773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Employee Retention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March 2024, we determined that we qualified for and recognized $4,663 (net of tax advisory costs) in relief for the period from March 13, 2020 to December 31, 2020. Upon receipt of the credit, we will owe an immaterial amount for tax advisory costs associated with the assessment of the tax credit. As there is no authoritative guidance under U.S. GAAP for government assistance to for-profit business entities, the Company accounted for the ERC by analogy to International Accounting Standards 20, or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In accordance with IAS 20, management determined it has reasonable assurance of receipt of the identified ERC amount and recorded the credit in other income on our consolidated statements of operations</w:t>
      </w:r>
      <w:r>
        <w:rPr>
          <w:rFonts w:ascii="Times New Roman" w:hAnsi="Times New Roman"/>
          <w:color w:val="231F20"/>
          <w:sz w:val="20"/>
        </w:rPr>
        <w:t xml:space="preserve"> and comprehensive income</w:t>
      </w:r>
      <w:r>
        <w:rPr>
          <w:rFonts w:ascii="Times New Roman" w:hAnsi="Times New Roman"/>
          <w:color w:val="000000"/>
          <w:sz w:val="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and December 31, 2024, the tax credit receivable was $2,125 and $4,663, respectively. As of September 30, 2025 and December 31, 2024, these amounts are included in other receivables and other assets, respectively, on our consolidated balance sheets.</w:t>
      </w:r>
    </w:p>
    <w:p>
      <w:pPr>
        <w:pStyle w:val="Heading2"/>
        <w:bidi w:val="0"/>
        <w:jc w:val="left"/>
        <w:rPr>
          <w:rFonts w:ascii="Times New Roman" w:hAnsi="Times New Roman"/>
          <w:i/>
          <w:color w:val="231F20"/>
          <w:sz w:val="20"/>
        </w:rPr>
      </w:pPr>
      <w:r>
        <w:rPr>
          <w:rFonts w:ascii="Times New Roman" w:hAnsi="Times New Roman"/>
          <w:i/>
          <w:color w:val="231F20"/>
          <w:sz w:val="20"/>
        </w:rPr>
        <w:t>Recent Accounting Pronouncements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The adoption of this ASU will be reflected in the Company's annual financial statements for the year ending December 31, 2025, and is not expected to have a material impact on our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which requires a PBE to disclose additional information about specific expense categories in the notes to financial statements at interim and annual periods. This information is generally not presented in the financial statements. The ASU requires that at each interim and annual period a PBE: (1) disclose the amounts of (a) purchases of inventory, (b) employee compensation, (c) depreciation, (d) intangible asset amortization, and (e) depreciation, depletion, and amortization; (2) include certain amounts that are already required to be disclosed under current U.S.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periods beginning after December 15, 2026, and interim periods beginning after December 15, 2027, with early adoption permitted. We are still assessing the impact of this ASU.</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No. 2025-06, Targeted Improvements to the Accounting for Internal-Use Software. This ASU is intended to improve the operability and application of guidance related to capitalized software development costs. The ASU is effective for annual periods beginning after December 15, 2027, and interim reporting periods within those annual reporting periods, with early adoption permitted. We are still assessing the impact of this ASU.</w:t>
      </w:r>
    </w:p>
    <w:p>
      <w:pPr>
        <w:pStyle w:val="TextBody"/>
        <w:bidi w:val="0"/>
        <w:spacing w:before="12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3. Property and Equipment, Net</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Property and equipment, net consisted of the following </w:t>
      </w:r>
      <w:r>
        <w:rPr>
          <w:rFonts w:ascii="Times New Roman" w:hAnsi="Times New Roman"/>
          <w:color w:val="231F20"/>
          <w:sz w:val="20"/>
        </w:rPr>
        <w:t>for the periods presented</w:t>
      </w:r>
      <w:r>
        <w:rPr>
          <w:rFonts w:ascii="Times New Roman" w:hAnsi="Times New Roman"/>
          <w:color w:val="000000"/>
          <w:sz w:val="20"/>
        </w:rPr>
        <w:t>:</w:t>
      </w:r>
    </w:p>
    <w:tbl>
      <w:tblPr>
        <w:tblW w:w="7575" w:type="dxa"/>
        <w:jc w:val="left"/>
        <w:tblInd w:w="0" w:type="dxa"/>
        <w:tblLayout w:type="fixed"/>
        <w:tblCellMar>
          <w:top w:w="28" w:type="dxa"/>
          <w:left w:w="28" w:type="dxa"/>
          <w:bottom w:w="28" w:type="dxa"/>
          <w:right w:w="28" w:type="dxa"/>
        </w:tblCellMar>
      </w:tblPr>
      <w:tblGrid>
        <w:gridCol w:w="3556"/>
        <w:gridCol w:w="146"/>
        <w:gridCol w:w="296"/>
        <w:gridCol w:w="1309"/>
        <w:gridCol w:w="166"/>
        <w:gridCol w:w="146"/>
        <w:gridCol w:w="285"/>
        <w:gridCol w:w="1260"/>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20"/>
        </w:rPr>
        <w:t>For the three months ended September 30, 2025 and 2024, depreciation expense was $21,700</w:t>
      </w:r>
      <w:r>
        <w:rPr>
          <w:rFonts w:ascii="Times New Roman" w:hAnsi="Times New Roman"/>
          <w:color w:val="231F20"/>
          <w:sz w:val="20"/>
        </w:rPr>
        <w:t xml:space="preserve"> and $19,682</w:t>
      </w:r>
      <w:r>
        <w:rPr>
          <w:rFonts w:ascii="Times New Roman" w:hAnsi="Times New Roman"/>
          <w:color w:val="000000"/>
          <w:sz w:val="20"/>
        </w:rPr>
        <w:t>, respectively. For the nine months ended September 30, 2025 and 2024, depreciation expense was $62,938 and $55,754, respectively.</w:t>
      </w:r>
    </w:p>
    <w:p>
      <w:pPr>
        <w:pStyle w:val="TextBody"/>
        <w:bidi w:val="0"/>
        <w:spacing w:before="0" w:after="120"/>
        <w:jc w:val="left"/>
        <w:rPr>
          <w:rFonts w:ascii="Times New Roman" w:hAnsi="Times New Roman"/>
          <w:sz w:val="20"/>
        </w:rPr>
      </w:pPr>
      <w:r>
        <w:rPr>
          <w:rFonts w:ascii="Times New Roman" w:hAnsi="Times New Roman"/>
          <w:color w:val="000000"/>
          <w:sz w:val="20"/>
        </w:rPr>
        <w:t>For the three months ended September 30, 2025 and 2024, amortization expense on finance leases was $242</w:t>
      </w:r>
      <w:r>
        <w:rPr>
          <w:rFonts w:ascii="Times New Roman" w:hAnsi="Times New Roman"/>
          <w:color w:val="231F20"/>
          <w:sz w:val="20"/>
        </w:rPr>
        <w:t xml:space="preserve"> and $254</w:t>
      </w:r>
      <w:r>
        <w:rPr>
          <w:rFonts w:ascii="Times New Roman" w:hAnsi="Times New Roman"/>
          <w:color w:val="000000"/>
          <w:sz w:val="20"/>
        </w:rPr>
        <w:t>, respectively. For the nine months ended September 30, 2025 and 2024, amortization expense on finance leases was $729 and $756, respectively.</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2025, the Company sold a car wash location that was classified as held for sale. Based on the net proceeds of the sale, a gain of $338 was recorded during the second quarter of 2025. The gain was recorded in (gain) loss on sale of assets, net on the consolidated statements of operations and comprehensive income for the nine months ended September 30,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2025, the two car wash locations classified as held for sale have a net book value of $3,294. The assets of these locations are recorded in property and equipment, net on the consolidated balance sheets.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4. Other Intangible Assets,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Other intangibles assets, net consisted of the following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1"/>
        <w:gridCol w:w="354"/>
        <w:gridCol w:w="1314"/>
        <w:gridCol w:w="146"/>
        <w:gridCol w:w="146"/>
        <w:gridCol w:w="437"/>
        <w:gridCol w:w="1407"/>
        <w:gridCol w:w="146"/>
        <w:gridCol w:w="146"/>
        <w:gridCol w:w="354"/>
        <w:gridCol w:w="1314"/>
        <w:gridCol w:w="146"/>
        <w:gridCol w:w="146"/>
        <w:gridCol w:w="437"/>
        <w:gridCol w:w="1407"/>
        <w:gridCol w:w="294"/>
      </w:tblGrid>
      <w:tr>
        <w:trPr/>
        <w:tc>
          <w:tcPr>
            <w:tcW w:w="20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trademarks</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Covenants not to compete</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intangible assets, net</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17,423</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For the three months ended September 30, 2025 and 2024, amortization expense associated with our finite-lived intangible assets was $458 and $1,246, respectively. For the nine months ended September 30, 2025 and 2024, amortization expense associated with our finite-lived intangible assets was $1,388 and $4,528,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estimated future amortization expense was as follows:</w:t>
      </w:r>
    </w:p>
    <w:tbl>
      <w:tblPr>
        <w:tblW w:w="5009" w:type="dxa"/>
        <w:jc w:val="left"/>
        <w:tblInd w:w="0" w:type="dxa"/>
        <w:tblLayout w:type="fixed"/>
        <w:tblCellMar>
          <w:top w:w="28" w:type="dxa"/>
          <w:left w:w="28" w:type="dxa"/>
          <w:bottom w:w="28" w:type="dxa"/>
          <w:right w:w="28" w:type="dxa"/>
        </w:tblCellMar>
      </w:tblPr>
      <w:tblGrid>
        <w:gridCol w:w="2985"/>
        <w:gridCol w:w="805"/>
        <w:gridCol w:w="146"/>
        <w:gridCol w:w="211"/>
        <w:gridCol w:w="571"/>
        <w:gridCol w:w="291"/>
      </w:tblGrid>
      <w:tr>
        <w:trPr/>
        <w:tc>
          <w:tcPr>
            <w:tcW w:w="298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estimated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5. Other Accrued Expenses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Other accrued expenses consisted of the following for the periods presented:</w:t>
      </w:r>
    </w:p>
    <w:tbl>
      <w:tblPr>
        <w:tblW w:w="6670" w:type="dxa"/>
        <w:jc w:val="left"/>
        <w:tblInd w:w="0" w:type="dxa"/>
        <w:tblLayout w:type="fixed"/>
        <w:tblCellMar>
          <w:top w:w="28" w:type="dxa"/>
          <w:left w:w="28" w:type="dxa"/>
          <w:bottom w:w="28" w:type="dxa"/>
          <w:right w:w="28" w:type="dxa"/>
        </w:tblCellMar>
      </w:tblPr>
      <w:tblGrid>
        <w:gridCol w:w="2791"/>
        <w:gridCol w:w="146"/>
        <w:gridCol w:w="381"/>
        <w:gridCol w:w="1224"/>
        <w:gridCol w:w="146"/>
        <w:gridCol w:w="146"/>
        <w:gridCol w:w="367"/>
        <w:gridCol w:w="1178"/>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Greenfield development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tax expense is comprised of federal, state, and local taxes payable for property, income, sales, use, and personal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Greenfield development accruals represent an obligation to pay for invoices not yet received, primarily related to land and buildings and improvements, on properties which we have taken control of as of September 30, 2025 and December 31, 2024.</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6. Income Taxes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effective income tax rates on continuing operations for the nine months ended September 30, 2025 and 2024 were 27.0% and 31.8%, respectively. In general, the effective tax rates differed from the U.S. federal statutory income tax rate primarily due to state income taxes, non-deductible expenses such as those related to certain executive compensation, and discrete tax expenses related to stock option exercises during the period.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year-to-date provision for income taxes for the nine months ended September 30, 2025 included taxes on earnings at an anticipated annual effective tax rate of 25.5% and a net, unfavorable tax impact of $1,782 related primarily to discrete tax expense originating from stock options exercised during the nine months ended September 30, 2025.</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year-to-date provision for income taxes for the nine months ended September 30, 2024 included taxes on earnings at an anticipated annual effective tax rate of 25.5% and a net, unfavorable tax impact of $5,652 related primarily to discrete tax expense originating from stock options exercised during the nine months ended September 30, 2024.</w:t>
      </w:r>
    </w:p>
    <w:p>
      <w:pPr>
        <w:pStyle w:val="TextBody"/>
        <w:bidi w:val="0"/>
        <w:jc w:val="left"/>
        <w:rPr>
          <w:rFonts w:ascii="Times New Roman" w:hAnsi="Times New Roman"/>
          <w:color w:val="231F20"/>
          <w:sz w:val="20"/>
        </w:rPr>
      </w:pPr>
      <w:r>
        <w:rPr>
          <w:rFonts w:ascii="Times New Roman" w:hAnsi="Times New Roman"/>
          <w:color w:val="231F20"/>
          <w:sz w:val="20"/>
        </w:rPr>
        <w:t>On July 4, 2025, the "One Big Beautiful Bill Act” (the "OBBBA") was signed into law. The OBBBA includes tax reform provisions including 100% bonus depreciation, full expensing of domestic research expenditures, and modifications to interest expense limitations. After initial evaluation, the Company does not currently expect these laws to have a material effect on tax expense or the anticipated annual effective tax rate. We expect certain provisions effective for the 2025 tax year will decrease current and future cash taxes paid on the consolidated financial statements.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For the nine months ended September 30, 2025 and 2024, we recorded $62 and $406, respectively, related to unrecognized tax benefits or interest and penalties related to any uncertain tax positions.</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7. Debt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Long-term debt consisted of the following as of the periods presented:</w:t>
      </w:r>
    </w:p>
    <w:tbl>
      <w:tblPr>
        <w:tblW w:w="10205" w:type="dxa"/>
        <w:jc w:val="left"/>
        <w:tblInd w:w="0" w:type="dxa"/>
        <w:tblLayout w:type="fixed"/>
        <w:tblCellMar>
          <w:top w:w="28" w:type="dxa"/>
          <w:left w:w="28" w:type="dxa"/>
          <w:bottom w:w="28" w:type="dxa"/>
          <w:right w:w="28" w:type="dxa"/>
        </w:tblCellMar>
      </w:tblPr>
      <w:tblGrid>
        <w:gridCol w:w="2676"/>
        <w:gridCol w:w="146"/>
        <w:gridCol w:w="1110"/>
        <w:gridCol w:w="146"/>
        <w:gridCol w:w="1200"/>
        <w:gridCol w:w="146"/>
        <w:gridCol w:w="1315"/>
        <w:gridCol w:w="146"/>
        <w:gridCol w:w="279"/>
        <w:gridCol w:w="1033"/>
        <w:gridCol w:w="166"/>
        <w:gridCol w:w="146"/>
        <w:gridCol w:w="272"/>
        <w:gridCol w:w="1009"/>
        <w:gridCol w:w="415"/>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Stated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lien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920,381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portion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September 30, 2025, there are no payments required until the maturity date.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and December 31, 2024, total unamortized discount and debt issuance costs were $5,438 and $6,304, respectively, and accumulated amortization of debt issuance costs was $1,742 and $4,018,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For the three months ended September 30, 2025 and 2024, the amortization of debt issuance costs in interest expense, net in the consolidated statements of operations and comprehensive income was approximately $292 and $248,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For the nine months ended September 30, 2025 and 2024, the amortization of debt issuance costs in interest expense, net in the consolidated statements of operations and comprehensive income was approximately $865 and $961, respectively.</w:t>
      </w:r>
    </w:p>
    <w:p>
      <w:pPr>
        <w:pStyle w:val="Heading2"/>
        <w:bidi w:val="0"/>
        <w:jc w:val="left"/>
        <w:rPr>
          <w:rFonts w:ascii="Times New Roman" w:hAnsi="Times New Roman"/>
          <w:i/>
          <w:color w:val="231F20"/>
          <w:sz w:val="20"/>
        </w:rPr>
      </w:pPr>
      <w:r>
        <w:rPr>
          <w:rFonts w:ascii="Times New Roman" w:hAnsi="Times New Roman"/>
          <w:i/>
          <w:color w:val="231F20"/>
          <w:sz w:val="20"/>
        </w:rPr>
        <w:t>Amended and Restated First Lien Credit Agreement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On August 21, 2014, we entered into a Credit Agreement (“Credit Agreement”) which was originally comprised of a term loan (“First Lien Term Loan”) and a revolving commitment (“Revolving Commitment”), which was subsequently amended and restated. The Credit Agreement was collateralized by substantially all personal property (including cash, inventory, property and equipment, and intangible assets), real property, and equity interests owned by us.</w:t>
      </w:r>
    </w:p>
    <w:p>
      <w:pPr>
        <w:pStyle w:val="Heading2"/>
        <w:bidi w:val="0"/>
        <w:jc w:val="left"/>
        <w:rPr>
          <w:rFonts w:ascii="Times New Roman" w:hAnsi="Times New Roman"/>
          <w:i/>
          <w:color w:val="231F20"/>
          <w:sz w:val="20"/>
        </w:rPr>
      </w:pPr>
      <w:r>
        <w:rPr>
          <w:rFonts w:ascii="Times New Roman" w:hAnsi="Times New Roman"/>
          <w:i/>
          <w:color w:val="231F20"/>
          <w:sz w:val="20"/>
        </w:rPr>
        <w:t>First Lien Term Loan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 March 2024, we entered into Amendment No. 5 to the Credit Agreement with the lenders party thereto, and Bank of America, N.A. (“BofA”)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 Starting September 30, 2024, the loans will be amortized in equal quarterly installments at an annual rate of 1.00% of the original principal amount. In connection with Amendment No. 5, we expensed $1,882 of previously unamortized debt issuance costs as a loss on extinguishment of debt in the consolidated statements of operations and comprehensive income.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In November 2024, we entered into Amendment No. 6 to the Credit Agreement with the lenders party thereto, and BofA as the successor administrative agent and collateral agent. This amendment further modified the Credit Agreement by resetting the soft call protection of 1% for voluntary prepayments of the Term Loans to last for six months after the effective date of this Amendment, as well as repricing the Term and Revolving Loans margins, where each was reduced by 0.25%. In connection with Amendment No. 6, we expensed $94 of previously unamortized debt issuance costs as a loss on extinguishment of debt in the consolidated statements of operations and comprehensive income.</w:t>
      </w:r>
    </w:p>
    <w:p>
      <w:pPr>
        <w:pStyle w:val="Heading2"/>
        <w:bidi w:val="0"/>
        <w:jc w:val="left"/>
        <w:rPr>
          <w:rFonts w:ascii="Times New Roman" w:hAnsi="Times New Roman"/>
          <w:i/>
          <w:color w:val="231F20"/>
          <w:sz w:val="20"/>
        </w:rPr>
      </w:pPr>
      <w:r>
        <w:rPr>
          <w:rFonts w:ascii="Times New Roman" w:hAnsi="Times New Roman"/>
          <w:i/>
          <w:color w:val="231F20"/>
          <w:sz w:val="20"/>
        </w:rPr>
        <w:t>Revolving Commitment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Amendment No. 5 to our Credit Agreement also increased our borrowing capacity under the Revolving Commitment from $150,000 to $300,000. Any unused commitment fee is also payable based on the First Lien Net Leverage Ratio. The Credit Agreement requires a Rent Adjusted Total Net Leverage Ratio no greater than 6.50 to 1.00, tested quarterly beginning with the quarter ending September 30, 2024, for the benefit of lenders holding the Revolving Commitment.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maximum available borrowing capacity under the Revolving Commitment is reduced by outstanding letters of credit under the Revolving Commitment. As of September 30, 2025 and December 31, 2024, the available borrowing capacity under the Revolving Commitment was $299,926 and $299,791,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In addition, an unused commitment fee based on our First Lien Net Leverage Ratio is payable on the average of the unused borrowing capacity under the Revolving Commitment. As of September 30, 2025 and December 31, 2024, the unused commitment fee was 0.20% and 0.25%, respectively.</w:t>
      </w:r>
    </w:p>
    <w:p>
      <w:pPr>
        <w:pStyle w:val="Heading2"/>
        <w:bidi w:val="0"/>
        <w:jc w:val="left"/>
        <w:rPr>
          <w:rFonts w:ascii="Times New Roman" w:hAnsi="Times New Roman"/>
          <w:i/>
          <w:color w:val="231F20"/>
          <w:sz w:val="20"/>
        </w:rPr>
      </w:pPr>
      <w:r>
        <w:rPr>
          <w:rFonts w:ascii="Times New Roman" w:hAnsi="Times New Roman"/>
          <w:i/>
          <w:color w:val="231F20"/>
          <w:sz w:val="20"/>
        </w:rPr>
        <w:t>Standby Letters of Credit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As of September 30, 2025, we have a letter of credit sublimit of $90,000 under the Revolving Commitment, provided that the total utilization of revolving commitments under the Revolving Commitment does not exceed $300,000. Any letter of credit issued under the Credit Agreement has an expiration date which is the earlier of (i) no later than 12 months from the date of issuance or (ii) five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color w:val="231F20"/>
          <w:sz w:val="20"/>
        </w:rPr>
        <w:t xml:space="preserve">business days prior to the maturity date of the Revolving Commitment, as amended under </w:t>
      </w:r>
      <w:r>
        <w:rPr>
          <w:rFonts w:ascii="Times New Roman" w:hAnsi="Times New Roman"/>
          <w:color w:val="000000"/>
          <w:sz w:val="20"/>
        </w:rPr>
        <w:t>Amendment No. 2 to the Credit Agreement</w:t>
      </w:r>
      <w:r>
        <w:rPr>
          <w:rFonts w:ascii="Times New Roman" w:hAnsi="Times New Roman"/>
          <w:color w:val="231F20"/>
          <w:sz w:val="20"/>
        </w:rPr>
        <w:t>. Letters of credit under the Revolving Commitments reduce the maximum available borrowing capacity under the Revolving Commitment. As of September 30, 2025 and December 31, 2024, the amounts associated with outstanding letters of credit were $74 and $209, respectively.</w:t>
      </w:r>
    </w:p>
    <w:p>
      <w:pPr>
        <w:pStyle w:val="Heading2"/>
        <w:bidi w:val="0"/>
        <w:jc w:val="left"/>
        <w:rPr>
          <w:rFonts w:ascii="Times New Roman" w:hAnsi="Times New Roman"/>
          <w:i/>
          <w:color w:val="231F20"/>
          <w:sz w:val="20"/>
        </w:rPr>
      </w:pPr>
      <w:r>
        <w:rPr>
          <w:rFonts w:ascii="Times New Roman" w:hAnsi="Times New Roman"/>
          <w:i/>
          <w:color w:val="231F20"/>
          <w:sz w:val="20"/>
        </w:rPr>
        <w:t>Covenants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September 30, 2025, we were in compliance with all covenants related to our long-term debt.</w:t>
      </w:r>
    </w:p>
    <w:p>
      <w:pPr>
        <w:pStyle w:val="TextBody"/>
        <w:bidi w:val="0"/>
        <w:spacing w:before="12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8. Fair Value Measurements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September 30, 2025:</w:t>
      </w:r>
    </w:p>
    <w:tbl>
      <w:tblPr>
        <w:tblW w:w="6805"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15"/>
        <w:gridCol w:w="430"/>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December 31, 2024:</w:t>
      </w:r>
    </w:p>
    <w:tbl>
      <w:tblPr>
        <w:tblW w:w="6805"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44"/>
        <w:gridCol w:w="401"/>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measure the fair value of our financial assets and liabilities using the highest level of inputs that are available as of the measurement date. The carrying amounts of cash and cash equivalents, accounts receivable, and accounts payable approximate their fair value due to the immediate or short-term maturity of these financial instruments. See Note 9 Interest Rate Swap for additional information on the interest rate swap.</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and December 31, 2024, we did not hold any cash investments.</w:t>
      </w:r>
    </w:p>
    <w:p>
      <w:pPr>
        <w:pStyle w:val="TextBody"/>
        <w:bidi w:val="0"/>
        <w:jc w:val="left"/>
        <w:rPr>
          <w:rFonts w:ascii="Times New Roman" w:hAnsi="Times New Roman"/>
          <w:color w:val="000000"/>
          <w:sz w:val="20"/>
        </w:rPr>
      </w:pPr>
      <w:r>
        <w:rPr>
          <w:rFonts w:ascii="Times New Roman" w:hAnsi="Times New Roman"/>
          <w:color w:val="000000"/>
          <w:sz w:val="20"/>
        </w:rPr>
        <w:t>We maintain a deferred compensation plan for a certain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September 30, 2025 and December 31, 2024, the fair value of our First Lien Term Loan approximated its carrying value </w:t>
      </w:r>
      <w:r>
        <w:rPr>
          <w:rFonts w:ascii="Times New Roman" w:hAnsi="Times New Roman"/>
          <w:color w:val="000000"/>
          <w:sz w:val="20"/>
        </w:rPr>
        <w:t>due to the debt’s variable interest rate terms</w:t>
      </w:r>
      <w:r>
        <w:rPr>
          <w:rFonts w:ascii="Times New Roman" w:hAnsi="Times New Roman"/>
          <w:color w:val="231F2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opened it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September 30, 2025. No payments were made during the three and nine months ended September 30, 2025 and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and nine months ended September 30, 2025 and 2024, there were no transfers between fair value measurement levels.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9. Interest Rate Swap</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On April 28, 2025, the Company executed a pay-fixed, receive-floating interest rate swap (the “Swap”) to mitigate variability in forecasted interest payments on an aggregate notional amount of $250,000 of the Company’s variable-rate First Lien Term Loan. The Swap has an effective date of June 30, 2025, with a maturity date of June 30, 2027. The Company designated the Swap as a cash flow hedge.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information pertaining to the Swap is as follows:</w:t>
      </w:r>
    </w:p>
    <w:tbl>
      <w:tblPr>
        <w:tblW w:w="6789" w:type="dxa"/>
        <w:jc w:val="left"/>
        <w:tblInd w:w="0" w:type="dxa"/>
        <w:tblLayout w:type="fixed"/>
        <w:tblCellMar>
          <w:top w:w="28" w:type="dxa"/>
          <w:left w:w="28" w:type="dxa"/>
          <w:bottom w:w="28" w:type="dxa"/>
          <w:right w:w="28" w:type="dxa"/>
        </w:tblCellMar>
      </w:tblPr>
      <w:tblGrid>
        <w:gridCol w:w="330"/>
        <w:gridCol w:w="1140"/>
        <w:gridCol w:w="146"/>
        <w:gridCol w:w="146"/>
        <w:gridCol w:w="305"/>
        <w:gridCol w:w="610"/>
        <w:gridCol w:w="146"/>
        <w:gridCol w:w="146"/>
        <w:gridCol w:w="871"/>
        <w:gridCol w:w="146"/>
        <w:gridCol w:w="1366"/>
        <w:gridCol w:w="146"/>
        <w:gridCol w:w="1291"/>
      </w:tblGrid>
      <w:tr>
        <w:trPr/>
        <w:tc>
          <w:tcPr>
            <w:tcW w:w="3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Pay-Fixed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Receive-Floating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Date</w:t>
            </w:r>
          </w:p>
        </w:tc>
      </w:tr>
      <w:tr>
        <w:trPr/>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2027</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current portion of the fair value of the Swap was $550 and $0, respectively, and is included in prepaid and other current assets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long-term portion of the fair value of the Swap was $438 and $0, respectively, and is included in other long-term liabilities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2025 and 2024, amounts reported in other comprehensive income in the accompanying consolidated statements of operations and comprehensive income are net of tax of $88 and $0,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and 2024, amounts reported in other comprehensive income in the accompanying consolidated statements of operations and comprehensive income are net of tax of $28 and $0, respectively.</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10. Leases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Balance sheet information related to leases consisted of the following for the periods presented:</w:t>
      </w:r>
    </w:p>
    <w:tbl>
      <w:tblPr>
        <w:tblW w:w="9922" w:type="dxa"/>
        <w:jc w:val="left"/>
        <w:tblInd w:w="0" w:type="dxa"/>
        <w:tblLayout w:type="fixed"/>
        <w:tblCellMar>
          <w:top w:w="28" w:type="dxa"/>
          <w:left w:w="28" w:type="dxa"/>
          <w:bottom w:w="28" w:type="dxa"/>
          <w:right w:w="28" w:type="dxa"/>
        </w:tblCellMar>
      </w:tblPr>
      <w:tblGrid>
        <w:gridCol w:w="2031"/>
        <w:gridCol w:w="146"/>
        <w:gridCol w:w="3766"/>
        <w:gridCol w:w="146"/>
        <w:gridCol w:w="341"/>
        <w:gridCol w:w="1264"/>
        <w:gridCol w:w="146"/>
        <w:gridCol w:w="146"/>
        <w:gridCol w:w="328"/>
        <w:gridCol w:w="1217"/>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Components of total lease cost, net, consisted of the following for the periods presented:</w:t>
      </w:r>
    </w:p>
    <w:tbl>
      <w:tblPr>
        <w:tblW w:w="8994" w:type="dxa"/>
        <w:jc w:val="left"/>
        <w:tblInd w:w="0" w:type="dxa"/>
        <w:tblLayout w:type="fixed"/>
        <w:tblCellMar>
          <w:top w:w="28" w:type="dxa"/>
          <w:left w:w="28" w:type="dxa"/>
          <w:bottom w:w="28" w:type="dxa"/>
          <w:right w:w="28" w:type="dxa"/>
        </w:tblCellMar>
      </w:tblPr>
      <w:tblGrid>
        <w:gridCol w:w="2471"/>
        <w:gridCol w:w="146"/>
        <w:gridCol w:w="295"/>
        <w:gridCol w:w="947"/>
        <w:gridCol w:w="204"/>
        <w:gridCol w:w="204"/>
        <w:gridCol w:w="295"/>
        <w:gridCol w:w="947"/>
        <w:gridCol w:w="146"/>
        <w:gridCol w:w="146"/>
        <w:gridCol w:w="272"/>
        <w:gridCol w:w="1009"/>
        <w:gridCol w:w="188"/>
        <w:gridCol w:w="188"/>
        <w:gridCol w:w="272"/>
        <w:gridCol w:w="873"/>
        <w:gridCol w:w="39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107,808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231F20"/>
          <w:sz w:val="16"/>
        </w:rPr>
      </w:pPr>
      <w:r>
        <w:rPr>
          <w:rFonts w:ascii="Times New Roman" w:hAnsi="Times New Roman"/>
          <w:color w:val="231F20"/>
          <w:sz w:val="16"/>
        </w:rPr>
        <w:t>a)</w:t>
      </w:r>
    </w:p>
    <w:p>
      <w:pPr>
        <w:pStyle w:val="TextBody"/>
        <w:bidi w:val="0"/>
        <w:spacing w:before="120" w:after="283"/>
        <w:jc w:val="left"/>
        <w:rPr>
          <w:rFonts w:ascii="Times New Roman" w:hAnsi="Times New Roman"/>
          <w:color w:val="231F20"/>
          <w:sz w:val="16"/>
        </w:rPr>
      </w:pPr>
      <w:r>
        <w:rPr>
          <w:rFonts w:ascii="Times New Roman" w:hAnsi="Times New Roman"/>
          <w:color w:val="231F20"/>
          <w:sz w:val="16"/>
        </w:rPr>
        <w:t>Operating lease expense includes an immaterial amount of sublease income and is included in other store operating expenses and general and administrative expenses in the accompanying consolidated statements of operations and comprehensive income.</w:t>
      </w:r>
    </w:p>
    <w:p>
      <w:pPr>
        <w:pStyle w:val="TextBody"/>
        <w:bidi w:val="0"/>
        <w:spacing w:before="120" w:after="120"/>
        <w:jc w:val="left"/>
        <w:rPr>
          <w:rFonts w:ascii="Times New Roman" w:hAnsi="Times New Roman"/>
          <w:color w:val="231F20"/>
          <w:sz w:val="16"/>
        </w:rPr>
      </w:pPr>
      <w:r>
        <w:rPr>
          <w:rFonts w:ascii="Times New Roman" w:hAnsi="Times New Roman"/>
          <w:color w:val="231F20"/>
          <w:sz w:val="16"/>
        </w:rPr>
        <w:t>b)</w:t>
      </w:r>
    </w:p>
    <w:p>
      <w:pPr>
        <w:pStyle w:val="TextBody"/>
        <w:bidi w:val="0"/>
        <w:spacing w:before="120" w:after="120"/>
        <w:jc w:val="left"/>
        <w:rPr>
          <w:rFonts w:ascii="Times New Roman" w:hAnsi="Times New Roman"/>
          <w:color w:val="231F20"/>
          <w:sz w:val="16"/>
        </w:rPr>
      </w:pPr>
      <w:r>
        <w:rPr>
          <w:rFonts w:ascii="Times New Roman" w:hAnsi="Times New Roman"/>
          <w:color w:val="231F20"/>
          <w:sz w:val="16"/>
        </w:rPr>
        <w:t>Variable lease costs consist of property taxes, property insurance, and common area or other maintenance costs for our leases of land and buildings and is included in other store operating expenses in the accompanying consolidated statements of operations and comprehensive income.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following includes supplemental information for the periods presented:</w:t>
      </w:r>
    </w:p>
    <w:tbl>
      <w:tblPr>
        <w:tblW w:w="10205" w:type="dxa"/>
        <w:jc w:val="left"/>
        <w:tblInd w:w="0" w:type="dxa"/>
        <w:tblLayout w:type="fixed"/>
        <w:tblCellMar>
          <w:top w:w="28" w:type="dxa"/>
          <w:left w:w="28" w:type="dxa"/>
          <w:bottom w:w="28" w:type="dxa"/>
          <w:right w:w="28" w:type="dxa"/>
        </w:tblCellMar>
      </w:tblPr>
      <w:tblGrid>
        <w:gridCol w:w="4131"/>
        <w:gridCol w:w="146"/>
        <w:gridCol w:w="252"/>
        <w:gridCol w:w="810"/>
        <w:gridCol w:w="324"/>
        <w:gridCol w:w="174"/>
        <w:gridCol w:w="252"/>
        <w:gridCol w:w="810"/>
        <w:gridCol w:w="271"/>
        <w:gridCol w:w="146"/>
        <w:gridCol w:w="247"/>
        <w:gridCol w:w="792"/>
        <w:gridCol w:w="318"/>
        <w:gridCol w:w="170"/>
        <w:gridCol w:w="247"/>
        <w:gridCol w:w="792"/>
        <w:gridCol w:w="323"/>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60,768</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ROU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operating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finance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operating lease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finance lease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September 30, 2025, lease obligation maturities were as follows:</w:t>
      </w:r>
    </w:p>
    <w:tbl>
      <w:tblPr>
        <w:tblW w:w="8255" w:type="dxa"/>
        <w:jc w:val="left"/>
        <w:tblInd w:w="0" w:type="dxa"/>
        <w:tblLayout w:type="fixed"/>
        <w:tblCellMar>
          <w:top w:w="28" w:type="dxa"/>
          <w:left w:w="28" w:type="dxa"/>
          <w:bottom w:w="28" w:type="dxa"/>
          <w:right w:w="28" w:type="dxa"/>
        </w:tblCellMar>
      </w:tblPr>
      <w:tblGrid>
        <w:gridCol w:w="4686"/>
        <w:gridCol w:w="146"/>
        <w:gridCol w:w="266"/>
        <w:gridCol w:w="1174"/>
        <w:gridCol w:w="166"/>
        <w:gridCol w:w="146"/>
        <w:gridCol w:w="280"/>
        <w:gridCol w:w="980"/>
        <w:gridCol w:w="41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future minimum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Forward-Starting Leases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September 30, 2025, we entered into 11 leases that had not yet commenced related to build-to-suit arrangements for car wash locations. These leases will commence in years 2025 through 2028 with initial lease terms of 15 to 20 years.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we entered into 10 leases that had not yet commenced related to build-to-suit arrangements for car wash locations. These leases will commence in years 2025 through 2027 with initial lease terms of 15 to 20 years.</w:t>
      </w:r>
    </w:p>
    <w:p>
      <w:pPr>
        <w:pStyle w:val="Heading2"/>
        <w:bidi w:val="0"/>
        <w:jc w:val="left"/>
        <w:rPr>
          <w:rFonts w:ascii="Times New Roman" w:hAnsi="Times New Roman"/>
          <w:i/>
          <w:color w:val="231F20"/>
          <w:sz w:val="20"/>
        </w:rPr>
      </w:pPr>
      <w:r>
        <w:rPr>
          <w:rFonts w:ascii="Times New Roman" w:hAnsi="Times New Roman"/>
          <w:i/>
          <w:color w:val="231F20"/>
          <w:sz w:val="20"/>
        </w:rPr>
        <w:t>Sale-Leaseback Transactions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During the three months ended September 30, 2025 and 2024, we completed one and four sale-leaseback transactions related to car wash locations, respectively, with aggregate consideration of $5,000 and $18,636, respectively, resulting in a net loss and net gain of $1,377 and $2,514, respectively, which are included in (gain) loss on sale of assets in the accompanying consolidated statements of operations and comprehensive income. Contemporaneously with the closing of the sales, we entered into lease agreements for the properties for initial 20-year terms. For the sale-leaseback transactions consummated in the three months ended September 30, 2025 and 2024, the cumulative initial annual rent for the properties was approximately $307 and $1,239, respectively, subject to annual escalations. These leases are accounted for as operating leases.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During the nine months ended September 30, 2025 and 2024, we completed one and eight sale-leaseback transactions related to car wash locations, respectively, with aggregate consideration of $5,000 and $37,381, respectively, resulting in a net loss and net gain of $1,377 and $1,553, respectively, which are included in (gain) loss on sale of assets in the accompanying consolidated statements of operations and comprehensive income. Contemporaneously with the closing of the sales, we entered into lease agreements for the properties for initial 20-year terms. For the sale-leaseback transactions consummated in nine months ended September 30, 2025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2024, the cumulative initial annual rent for the property was approximately $307 and $2,426, respectively, subject to annual escalations. These leases are accounted for as operating leases.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11. Stockholders’ Equity</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September 30, 2025, there were 1,000,000,000 shares of common stock authorized, 333,704,973 shares of common stock issued, and 327,532,052 shares of common stock outstanding.</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there were 1,000,000,000 shares of common stock authorized, 329,866,784 shares of common stock issued, and 323,693,863 shares of common stock outstanding.</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and December 31, 2024, there were 5,000,000 shares of preferred stock authorized, and none were issued or outstanding.</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We use the cost method to account for treasury stock. As of September 30, 2025 and December 31, 2024, we had 6,172,921 shares of treasury stock. As of September 30, 2025 and December 31, 2024, the cost of treasury stock included in additional paid-in capital in </w:t>
      </w:r>
      <w:r>
        <w:rPr>
          <w:rFonts w:ascii="Times New Roman" w:hAnsi="Times New Roman"/>
          <w:color w:val="000000"/>
          <w:sz w:val="20"/>
        </w:rPr>
        <w:t>the accompanying consolidated balance sheets was $28,895.</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12. 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recognize stock-based compensation expense associated with stock options and restricted stock units ("RSUs"), and stock purchase rights. Stock options and RSUs are granted under the 2014 Stock Option Plan of Hotshine Holdings, Inc. (the “2014 Plan”) and 2021 Incentive Award Plan (the “2021 Plan”) while stock purchase rights are granted under the 2021 Employee Stock Purchase Plan (“2021 ESPP”).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Refer to our 2024 Form 10-K for additional details on employee stock incentive plans.</w:t>
      </w:r>
    </w:p>
    <w:p>
      <w:pPr>
        <w:pStyle w:val="Heading2"/>
        <w:bidi w:val="0"/>
        <w:jc w:val="left"/>
        <w:rPr>
          <w:rFonts w:ascii="Times New Roman" w:hAnsi="Times New Roman"/>
          <w:i/>
          <w:color w:val="231F20"/>
          <w:sz w:val="20"/>
        </w:rPr>
      </w:pPr>
      <w:r>
        <w:rPr>
          <w:rFonts w:ascii="Times New Roman" w:hAnsi="Times New Roman"/>
          <w:i/>
          <w:color w:val="231F20"/>
          <w:sz w:val="20"/>
        </w:rPr>
        <w:t>Share-Based Payment Valuation</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The grant date fair value of Time Vesting Options granted is determined using the Black-Scholes option-pricing model. The grant date fair value of </w:t>
      </w:r>
      <w:r>
        <w:rPr>
          <w:rFonts w:ascii="Times New Roman" w:hAnsi="Times New Roman"/>
          <w:color w:val="000000"/>
          <w:sz w:val="20"/>
        </w:rPr>
        <w:t xml:space="preserve">stock purchase rights </w:t>
      </w:r>
      <w:r>
        <w:rPr>
          <w:rFonts w:ascii="Times New Roman" w:hAnsi="Times New Roman"/>
          <w:color w:val="231F20"/>
          <w:sz w:val="20"/>
        </w:rPr>
        <w:t>granted under the 2021 ESPP is determined using the Black-Scholes option-pricing model.</w:t>
      </w:r>
    </w:p>
    <w:p>
      <w:pPr>
        <w:pStyle w:val="TextBody"/>
        <w:bidi w:val="0"/>
        <w:jc w:val="left"/>
        <w:rPr>
          <w:rFonts w:ascii="Times New Roman" w:hAnsi="Times New Roman"/>
          <w:i/>
          <w:color w:val="231F20"/>
          <w:sz w:val="20"/>
        </w:rPr>
      </w:pPr>
      <w:r>
        <w:rPr>
          <w:rFonts w:ascii="Times New Roman" w:hAnsi="Times New Roman"/>
          <w:i/>
          <w:color w:val="231F20"/>
          <w:sz w:val="20"/>
        </w:rPr>
        <w:t>2021 ESPP</w:t>
      </w:r>
    </w:p>
    <w:p>
      <w:pPr>
        <w:pStyle w:val="TextBody"/>
        <w:bidi w:val="0"/>
        <w:spacing w:before="120" w:after="120"/>
        <w:jc w:val="left"/>
        <w:rPr>
          <w:rFonts w:ascii="Times New Roman" w:hAnsi="Times New Roman"/>
          <w:sz w:val="20"/>
        </w:rPr>
      </w:pPr>
      <w:r>
        <w:rPr>
          <w:rFonts w:ascii="Times New Roman" w:hAnsi="Times New Roman"/>
          <w:color w:val="231F20"/>
          <w:sz w:val="20"/>
        </w:rPr>
        <w:t>The following table presents, on a weighted-average basis, the assumptions used in the Black-Scholes option-pricing model to determine the grant date fair value of</w:t>
      </w:r>
      <w:r>
        <w:rPr>
          <w:rFonts w:ascii="Times New Roman" w:hAnsi="Times New Roman"/>
          <w:color w:val="000000"/>
          <w:sz w:val="20"/>
        </w:rPr>
        <w:t xml:space="preserve"> stock purchase rights granted under the 2021 ESPP</w:t>
      </w:r>
      <w:r>
        <w:rPr>
          <w:rFonts w:ascii="Times New Roman" w:hAnsi="Times New Roman"/>
          <w:color w:val="231F20"/>
          <w:sz w:val="20"/>
        </w:rPr>
        <w:t xml:space="preserve"> during the periods presented:</w:t>
      </w:r>
    </w:p>
    <w:tbl>
      <w:tblPr>
        <w:tblW w:w="5545" w:type="dxa"/>
        <w:jc w:val="left"/>
        <w:tblInd w:w="0" w:type="dxa"/>
        <w:tblLayout w:type="fixed"/>
        <w:tblCellMar>
          <w:top w:w="28" w:type="dxa"/>
          <w:left w:w="28" w:type="dxa"/>
          <w:bottom w:w="28" w:type="dxa"/>
          <w:right w:w="28" w:type="dxa"/>
        </w:tblCellMar>
      </w:tblPr>
      <w:tblGrid>
        <w:gridCol w:w="2131"/>
        <w:gridCol w:w="146"/>
        <w:gridCol w:w="1561"/>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39.42 % - 42.14%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49.59% - 50.14%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 - 4.44%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5.38% - 5.41%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Time Vesting Options</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The following table presents, on a weighted-average basis, the assumptions used in the Black-Scholes option-pricing model to determine the grant date fair value of </w:t>
      </w:r>
      <w:r>
        <w:rPr>
          <w:rFonts w:ascii="Times New Roman" w:hAnsi="Times New Roman"/>
          <w:color w:val="000000"/>
          <w:sz w:val="20"/>
        </w:rPr>
        <w:t>Time Vesting Options granted under the 2021 Plan</w:t>
      </w:r>
      <w:r>
        <w:rPr>
          <w:rFonts w:ascii="Times New Roman" w:hAnsi="Times New Roman"/>
          <w:color w:val="231F20"/>
          <w:sz w:val="20"/>
        </w:rPr>
        <w:t xml:space="preserve"> during the periods presented:</w:t>
      </w:r>
    </w:p>
    <w:tbl>
      <w:tblPr>
        <w:tblW w:w="5126" w:type="dxa"/>
        <w:jc w:val="left"/>
        <w:tblInd w:w="0" w:type="dxa"/>
        <w:tblLayout w:type="fixed"/>
        <w:tblCellMar>
          <w:top w:w="28" w:type="dxa"/>
          <w:left w:w="28" w:type="dxa"/>
          <w:bottom w:w="28" w:type="dxa"/>
          <w:right w:w="28" w:type="dxa"/>
        </w:tblCellMar>
      </w:tblPr>
      <w:tblGrid>
        <w:gridCol w:w="2131"/>
        <w:gridCol w:w="146"/>
        <w:gridCol w:w="1261"/>
        <w:gridCol w:w="250"/>
        <w:gridCol w:w="1338"/>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46.74%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45.98%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4.52%</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our stock option activity during the period presented is as follows:</w:t>
      </w:r>
    </w:p>
    <w:tbl>
      <w:tblPr>
        <w:tblW w:w="10205" w:type="dxa"/>
        <w:jc w:val="left"/>
        <w:tblInd w:w="0" w:type="dxa"/>
        <w:tblLayout w:type="fixed"/>
        <w:tblCellMar>
          <w:top w:w="28" w:type="dxa"/>
          <w:left w:w="28" w:type="dxa"/>
          <w:bottom w:w="28" w:type="dxa"/>
          <w:right w:w="28" w:type="dxa"/>
        </w:tblCellMar>
      </w:tblPr>
      <w:tblGrid>
        <w:gridCol w:w="2427"/>
        <w:gridCol w:w="146"/>
        <w:gridCol w:w="173"/>
        <w:gridCol w:w="1180"/>
        <w:gridCol w:w="166"/>
        <w:gridCol w:w="146"/>
        <w:gridCol w:w="204"/>
        <w:gridCol w:w="1309"/>
        <w:gridCol w:w="166"/>
        <w:gridCol w:w="146"/>
        <w:gridCol w:w="202"/>
        <w:gridCol w:w="1434"/>
        <w:gridCol w:w="166"/>
        <w:gridCol w:w="146"/>
        <w:gridCol w:w="591"/>
        <w:gridCol w:w="1307"/>
        <w:gridCol w:w="296"/>
      </w:tblGrid>
      <w:tr>
        <w:trPr/>
        <w:tc>
          <w:tcPr>
            <w:tcW w:w="2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 vest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number and weighted-average grant date fair value of stock options during the period presented are as follows:</w:t>
      </w:r>
    </w:p>
    <w:tbl>
      <w:tblPr>
        <w:tblW w:w="10205" w:type="dxa"/>
        <w:jc w:val="left"/>
        <w:tblInd w:w="0" w:type="dxa"/>
        <w:tblLayout w:type="fixed"/>
        <w:tblCellMar>
          <w:top w:w="28" w:type="dxa"/>
          <w:left w:w="28" w:type="dxa"/>
          <w:bottom w:w="28" w:type="dxa"/>
          <w:right w:w="28" w:type="dxa"/>
        </w:tblCellMar>
      </w:tblPr>
      <w:tblGrid>
        <w:gridCol w:w="2000"/>
        <w:gridCol w:w="146"/>
        <w:gridCol w:w="198"/>
        <w:gridCol w:w="1348"/>
        <w:gridCol w:w="177"/>
        <w:gridCol w:w="156"/>
        <w:gridCol w:w="569"/>
        <w:gridCol w:w="1354"/>
        <w:gridCol w:w="146"/>
        <w:gridCol w:w="146"/>
        <w:gridCol w:w="427"/>
        <w:gridCol w:w="947"/>
        <w:gridCol w:w="184"/>
        <w:gridCol w:w="184"/>
        <w:gridCol w:w="566"/>
        <w:gridCol w:w="1357"/>
        <w:gridCol w:w="300"/>
      </w:tblGrid>
      <w:tr>
        <w:trPr/>
        <w:tc>
          <w:tcPr>
            <w:tcW w:w="2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 Vesting Options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Vesting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 Vesting Options</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Vesting Options</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3,544,956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1,583,512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(166,713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3,511,373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granted 1,583,512 Time Vesting Options with a grant date fair value of $5,637 during the nine months ended September 30, 2025. There were no Performance Vesting Options granted during the nine months ended September 30, 2025.</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The fair value of shares attributable to stock options that vested during the nine months ended September 30, 2025 was </w:t>
      </w:r>
      <w:r>
        <w:rPr>
          <w:rFonts w:ascii="Times New Roman" w:hAnsi="Times New Roman"/>
          <w:color w:val="000000"/>
          <w:sz w:val="20"/>
        </w:rPr>
        <w:t>$10,426</w:t>
      </w:r>
      <w:r>
        <w:rPr>
          <w:rFonts w:ascii="Times New Roman" w:hAnsi="Times New Roman"/>
          <w:color w:val="231F20"/>
          <w:sz w:val="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September 30, 2025, the weighted-average remaining contractual life of outstanding stock options was approximately 5.80 years.</w:t>
      </w:r>
    </w:p>
    <w:p>
      <w:pPr>
        <w:pStyle w:val="Heading2"/>
        <w:bidi w:val="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our RSU activity during the period presented is as follows:</w:t>
      </w:r>
    </w:p>
    <w:tbl>
      <w:tblPr>
        <w:tblW w:w="8850" w:type="dxa"/>
        <w:jc w:val="left"/>
        <w:tblInd w:w="0" w:type="dxa"/>
        <w:tblLayout w:type="fixed"/>
        <w:tblCellMar>
          <w:top w:w="28" w:type="dxa"/>
          <w:left w:w="28" w:type="dxa"/>
          <w:bottom w:w="28" w:type="dxa"/>
          <w:right w:w="28" w:type="dxa"/>
        </w:tblCellMar>
      </w:tblPr>
      <w:tblGrid>
        <w:gridCol w:w="2971"/>
        <w:gridCol w:w="146"/>
        <w:gridCol w:w="235"/>
        <w:gridCol w:w="1595"/>
        <w:gridCol w:w="166"/>
        <w:gridCol w:w="146"/>
        <w:gridCol w:w="1028"/>
        <w:gridCol w:w="2272"/>
        <w:gridCol w:w="2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granted 3,037,300 RSUs with a grant date fair value of $21,503 during the nine months ended September 30, 2025.</w:t>
      </w:r>
    </w:p>
    <w:p>
      <w:pPr>
        <w:pStyle w:val="TextBody"/>
        <w:bidi w:val="0"/>
        <w:spacing w:before="0" w:after="120"/>
        <w:jc w:val="left"/>
        <w:rPr>
          <w:rFonts w:ascii="Times New Roman" w:hAnsi="Times New Roman"/>
          <w:sz w:val="20"/>
        </w:rPr>
      </w:pPr>
      <w:r>
        <w:rPr>
          <w:rFonts w:ascii="Times New Roman" w:hAnsi="Times New Roman"/>
          <w:color w:val="231F20"/>
          <w:sz w:val="20"/>
        </w:rPr>
        <w:t>The fair value of shares attributable to RSUs that vested during the</w:t>
      </w:r>
      <w:r>
        <w:rPr>
          <w:rFonts w:ascii="Times New Roman" w:hAnsi="Times New Roman"/>
          <w:color w:val="000000"/>
          <w:sz w:val="20"/>
        </w:rPr>
        <w:t xml:space="preserve"> nine months ended September 30, 2025 was $13,067.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September 30, 2025, the weighted-average remaining contractual life of outstanding RSUs was approximately 9.00 years.</w:t>
      </w:r>
    </w:p>
    <w:p>
      <w:pPr>
        <w:pStyle w:val="Heading2"/>
        <w:bidi w:val="0"/>
        <w:jc w:val="left"/>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estimated a forfeiture rate of 10.26%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Total stock-based compensation expense, by caption, recorded in the consolidated statements of operations and comprehensive income for the periods presented is as follows: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tbl>
      <w:tblPr>
        <w:tblW w:w="9976" w:type="dxa"/>
        <w:jc w:val="left"/>
        <w:tblInd w:w="0" w:type="dxa"/>
        <w:tblLayout w:type="fixed"/>
        <w:tblCellMar>
          <w:top w:w="28" w:type="dxa"/>
          <w:left w:w="28" w:type="dxa"/>
          <w:bottom w:w="28" w:type="dxa"/>
          <w:right w:w="28" w:type="dxa"/>
        </w:tblCellMar>
      </w:tblPr>
      <w:tblGrid>
        <w:gridCol w:w="3551"/>
        <w:gridCol w:w="146"/>
        <w:gridCol w:w="329"/>
        <w:gridCol w:w="890"/>
        <w:gridCol w:w="227"/>
        <w:gridCol w:w="227"/>
        <w:gridCol w:w="329"/>
        <w:gridCol w:w="890"/>
        <w:gridCol w:w="146"/>
        <w:gridCol w:w="146"/>
        <w:gridCol w:w="286"/>
        <w:gridCol w:w="918"/>
        <w:gridCol w:w="198"/>
        <w:gridCol w:w="198"/>
        <w:gridCol w:w="286"/>
        <w:gridCol w:w="918"/>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2,800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8,376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7,657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3,773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11,517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11,186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Total stock-based compensation expense, by award type, recorded in the consolidated statements of operations and comprehensive income for the periods presented is as follows:</w:t>
      </w:r>
    </w:p>
    <w:tbl>
      <w:tblPr>
        <w:tblW w:w="9976" w:type="dxa"/>
        <w:jc w:val="left"/>
        <w:tblInd w:w="0" w:type="dxa"/>
        <w:tblLayout w:type="fixed"/>
        <w:tblCellMar>
          <w:top w:w="28" w:type="dxa"/>
          <w:left w:w="28" w:type="dxa"/>
          <w:bottom w:w="28" w:type="dxa"/>
          <w:right w:w="28" w:type="dxa"/>
        </w:tblCellMar>
      </w:tblPr>
      <w:tblGrid>
        <w:gridCol w:w="3551"/>
        <w:gridCol w:w="146"/>
        <w:gridCol w:w="329"/>
        <w:gridCol w:w="890"/>
        <w:gridCol w:w="227"/>
        <w:gridCol w:w="227"/>
        <w:gridCol w:w="329"/>
        <w:gridCol w:w="890"/>
        <w:gridCol w:w="146"/>
        <w:gridCol w:w="146"/>
        <w:gridCol w:w="286"/>
        <w:gridCol w:w="918"/>
        <w:gridCol w:w="198"/>
        <w:gridCol w:w="198"/>
        <w:gridCol w:w="286"/>
        <w:gridCol w:w="918"/>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Vesting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1,515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4,889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4,566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4,886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14,448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13,652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172</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556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September 30, 2025, total </w:t>
      </w:r>
      <w:r>
        <w:rPr>
          <w:rFonts w:ascii="Times New Roman" w:hAnsi="Times New Roman"/>
          <w:color w:val="000000"/>
          <w:sz w:val="20"/>
        </w:rPr>
        <w:t xml:space="preserve">unrecognized </w:t>
      </w:r>
      <w:r>
        <w:rPr>
          <w:rFonts w:ascii="Times New Roman" w:hAnsi="Times New Roman"/>
          <w:color w:val="231F20"/>
          <w:sz w:val="20"/>
        </w:rPr>
        <w:t xml:space="preserve">compensation expense related to unvested Time Vesting Options was </w:t>
      </w:r>
      <w:r>
        <w:rPr>
          <w:rFonts w:ascii="Times New Roman" w:hAnsi="Times New Roman"/>
          <w:color w:val="000000"/>
          <w:sz w:val="20"/>
        </w:rPr>
        <w:t>$7,567</w:t>
      </w:r>
      <w:r>
        <w:rPr>
          <w:rFonts w:ascii="Times New Roman" w:hAnsi="Times New Roman"/>
          <w:color w:val="231F20"/>
          <w:sz w:val="20"/>
        </w:rPr>
        <w:t>, which is expected to be recognized over a weighted-average period of 3.48</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September 30, 2025, </w:t>
      </w:r>
      <w:r>
        <w:rPr>
          <w:rFonts w:ascii="Times New Roman" w:hAnsi="Times New Roman"/>
          <w:color w:val="000000"/>
          <w:sz w:val="20"/>
        </w:rPr>
        <w:t xml:space="preserve">there was no unrecognized compensation expense related to unvested </w:t>
      </w:r>
      <w:r>
        <w:rPr>
          <w:rFonts w:ascii="Times New Roman" w:hAnsi="Times New Roman"/>
          <w:color w:val="231F20"/>
          <w:sz w:val="20"/>
        </w:rPr>
        <w:t xml:space="preserve">Performance Vesting Options </w:t>
      </w:r>
      <w:r>
        <w:rPr>
          <w:rFonts w:ascii="Times New Roman" w:hAnsi="Times New Roman"/>
          <w:color w:val="000000"/>
          <w:sz w:val="20"/>
        </w:rPr>
        <w:t>as the completion of the IPO satisfied the performance condition and as a result, all outstanding</w:t>
      </w:r>
      <w:r>
        <w:rPr>
          <w:rFonts w:ascii="Times New Roman" w:hAnsi="Times New Roman"/>
          <w:color w:val="231F20"/>
          <w:sz w:val="20"/>
        </w:rPr>
        <w:t xml:space="preserve"> Performance Vesting Options vested.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September 30, 2025, total unrecognized compensation expense related to unvested RSUs was </w:t>
      </w:r>
      <w:r>
        <w:rPr>
          <w:rFonts w:ascii="Times New Roman" w:hAnsi="Times New Roman"/>
          <w:color w:val="000000"/>
          <w:sz w:val="20"/>
        </w:rPr>
        <w:t>$20,976</w:t>
      </w:r>
      <w:r>
        <w:rPr>
          <w:rFonts w:ascii="Times New Roman" w:hAnsi="Times New Roman"/>
          <w:color w:val="231F20"/>
          <w:sz w:val="20"/>
        </w:rPr>
        <w:t>, which is expected to be recognized over a weighted-average period of 2.08</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September 30, 2025, total unrecognized compensation expense related to unvested stock purchase rights under the 2021 ESPP was </w:t>
      </w:r>
      <w:r>
        <w:rPr>
          <w:rFonts w:ascii="Times New Roman" w:hAnsi="Times New Roman"/>
          <w:color w:val="000000"/>
          <w:sz w:val="20"/>
        </w:rPr>
        <w:t>$96</w:t>
      </w:r>
      <w:r>
        <w:rPr>
          <w:rFonts w:ascii="Times New Roman" w:hAnsi="Times New Roman"/>
          <w:color w:val="231F20"/>
          <w:sz w:val="20"/>
        </w:rPr>
        <w:t>, which is expected to be recognized over a weighted-average period of 0.13</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13. Commitments and Contingencies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Litigation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are involved from time to time in various legal proceedings related to employment practices, environmental issues, commercial disputes, antitrust and other regulatory matters concerning our business. We record liabilities for losses from legal proceedings when we determine that it is probable that the outcome in a legal proceeding will be unfavorable and the amount of loss can be reasonably estimated. The Company does not believe that any proceeding or litigation, either alone or in the aggregate, will have a material adverse effect on the Company’s financial position, results of operations or cash flows; it is possible that an unfavorable outcome of some or all of the matters, however unlikely, could result in a charge that might be material to the results of an individual fiscal quarter or year.</w:t>
      </w:r>
    </w:p>
    <w:p>
      <w:pPr>
        <w:pStyle w:val="TextBody"/>
        <w:bidi w:val="0"/>
        <w:jc w:val="left"/>
        <w:rPr>
          <w:rFonts w:ascii="Times New Roman" w:hAnsi="Times New Roman"/>
          <w:b/>
          <w:color w:val="231F20"/>
          <w:sz w:val="20"/>
        </w:rPr>
      </w:pPr>
      <w:r>
        <w:rPr>
          <w:rFonts w:ascii="Times New Roman" w:hAnsi="Times New Roman"/>
          <w:b/>
          <w:color w:val="231F20"/>
          <w:sz w:val="20"/>
        </w:rPr>
        <w:t>Insurance</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We carry a broad range of insurance coverage, including general and business auto liability, commercial property, workers’ compensation, cyber risk, and general umbrella policies. As of September 30, 2025 and December 31, 2024, we accrued </w:t>
      </w:r>
      <w:r>
        <w:rPr>
          <w:rFonts w:ascii="Times New Roman" w:hAnsi="Times New Roman"/>
          <w:color w:val="000000"/>
          <w:sz w:val="20"/>
        </w:rPr>
        <w:t xml:space="preserve">$6,529 and </w:t>
      </w:r>
      <w:r>
        <w:rPr>
          <w:rFonts w:ascii="Times New Roman" w:hAnsi="Times New Roman"/>
          <w:color w:val="231F20"/>
          <w:sz w:val="20"/>
        </w:rPr>
        <w:t xml:space="preserve">$4,803, respectively, for assessments on insurance claims filed, which are included in other accrued expenses in the accompanying consolidated balance sheets. As of September 30, 2025 and December 31, 2024, we recorded </w:t>
      </w:r>
      <w:r>
        <w:rPr>
          <w:rFonts w:ascii="Times New Roman" w:hAnsi="Times New Roman"/>
          <w:color w:val="000000"/>
          <w:sz w:val="20"/>
        </w:rPr>
        <w:t>$5,341</w:t>
      </w:r>
      <w:r>
        <w:rPr>
          <w:rFonts w:ascii="Times New Roman" w:hAnsi="Times New Roman"/>
          <w:color w:val="231F20"/>
          <w:sz w:val="20"/>
        </w:rPr>
        <w:t xml:space="preserve"> </w:t>
      </w:r>
      <w:r>
        <w:rPr>
          <w:rFonts w:ascii="Times New Roman" w:hAnsi="Times New Roman"/>
          <w:color w:val="000000"/>
          <w:sz w:val="20"/>
        </w:rPr>
        <w:t>and</w:t>
      </w:r>
      <w:r>
        <w:rPr>
          <w:rFonts w:ascii="Times New Roman" w:hAnsi="Times New Roman"/>
          <w:color w:val="231F20"/>
          <w:sz w:val="20"/>
        </w:rPr>
        <w:t xml:space="preserve"> $4,250, respectively, in receivables from its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14. Segment Information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operates as one operating segment where it derives its revenues from activities related to providing car wash services at its car wash locations that are geographically diversified throughout the United States and have similar economic characteristics and nature of services.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To assess consolidated performance the chief operating decision maker (“CODM”), who is the Chief Executive Officer, evaluates the operating results and performance through net income. Our CODM regularly reviews net income as reported on the consolidated statement of operations and comprehensive income and total assets as reported on the consolidated balance sheet for purposes of evaluating performance, allocating resources, setting incentive compensation targets, and planning and forecasting future periods. As presented on the consolidated statements of operations and comprehensive income, the CODM views consolidated expense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information related to the cost of labor and chemicals, other store operating expenses, and general and administrative expenses to be significant and there are no other significant segment expenses or items that would require disclosure.</w:t>
      </w:r>
    </w:p>
    <w:p>
      <w:pPr>
        <w:pStyle w:val="TextBody"/>
        <w:bidi w:val="0"/>
        <w:spacing w:before="0" w:after="120"/>
        <w:jc w:val="left"/>
        <w:rPr>
          <w:rFonts w:ascii="Times New Roman" w:hAnsi="Times New Roman"/>
          <w:b/>
          <w:color w:val="231F20"/>
          <w:sz w:val="20"/>
        </w:rPr>
      </w:pPr>
      <w:r>
        <w:rPr>
          <w:rFonts w:ascii="Times New Roman" w:hAnsi="Times New Roman"/>
          <w:b/>
          <w:color w:val="231F20"/>
          <w:sz w:val="20"/>
        </w:rPr>
        <w:t>15. Subsequent Events</w:t>
      </w:r>
    </w:p>
    <w:p>
      <w:pPr>
        <w:pStyle w:val="TextBody"/>
        <w:bidi w:val="0"/>
        <w:jc w:val="left"/>
        <w:rPr>
          <w:rFonts w:ascii="Times New Roman" w:hAnsi="Times New Roman"/>
          <w:color w:val="000000"/>
          <w:sz w:val="20"/>
        </w:rPr>
      </w:pPr>
      <w:r>
        <w:rPr>
          <w:rFonts w:ascii="Times New Roman" w:hAnsi="Times New Roman"/>
          <w:color w:val="000000"/>
          <w:sz w:val="20"/>
        </w:rPr>
        <w:t>On October 20, 2025, we acquired the assets of five express car wash locations in Lubbock, Texas from Whistle Express. Due to the timing of this acquisition, the initial accounting, including estimating the fair value of assets acquired, has not yet been completed.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u w:val="single"/>
        </w:rPr>
      </w:pPr>
      <w:bookmarkStart w:id="10" w:name="i_item2"/>
      <w:bookmarkEnd w:id="10"/>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included elsewhere in this Quarterly Report on Form 10-Q and the audited consolidated financial statements and related notes included in our 2024 Form 10-K. This discussion contains forward-looking statements based upon our current plans, expectations and beliefs, which are subject to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2024 Form 10-K.</w:t>
      </w:r>
    </w:p>
    <w:p>
      <w:pPr>
        <w:pStyle w:val="TextBody"/>
        <w:bidi w:val="0"/>
        <w:jc w:val="left"/>
        <w:rPr>
          <w:rFonts w:ascii="Times New Roman" w:hAnsi="Times New Roman"/>
          <w:b/>
          <w:color w:val="000000"/>
          <w:sz w:val="20"/>
        </w:rPr>
      </w:pPr>
      <w:r>
        <w:rPr>
          <w:rFonts w:ascii="Times New Roman" w:hAnsi="Times New Roman"/>
          <w:b/>
          <w:color w:val="000000"/>
          <w:sz w:val="20"/>
        </w:rPr>
        <w:t>Who We Are</w:t>
      </w:r>
    </w:p>
    <w:p>
      <w:pPr>
        <w:pStyle w:val="TextBody"/>
        <w:bidi w:val="0"/>
        <w:spacing w:before="120" w:after="120"/>
        <w:jc w:val="left"/>
        <w:rPr>
          <w:rFonts w:ascii="Times New Roman" w:hAnsi="Times New Roman"/>
          <w:sz w:val="20"/>
        </w:rPr>
      </w:pPr>
      <w:r>
        <w:rPr>
          <w:rFonts w:ascii="Times New Roman" w:hAnsi="Times New Roman"/>
          <w:color w:val="000000"/>
          <w:sz w:val="20"/>
        </w:rPr>
        <w:t>Mister Car Wash, Inc. is the nation's leading car wash brand, primarily offering express exterior cleaning services, with interior cleaning services at select locations, across 527 car washes in 21 states as of September 30, 2025. We offer a monthly subscription program, which we call the Unlimited Wash Club</w:t>
      </w:r>
      <w:r>
        <w:rPr>
          <w:rFonts w:ascii="Times New Roman" w:hAnsi="Times New Roman"/>
          <w:color w:val="000000"/>
          <w:sz w:val="16"/>
        </w:rPr>
        <w:t>®</w:t>
      </w:r>
      <w:r>
        <w:rPr>
          <w:rFonts w:ascii="Times New Roman" w:hAnsi="Times New Roman"/>
          <w:color w:val="000000"/>
          <w:sz w:val="20"/>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Factors Affecting Our Business and Trends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that our business and growth depend on a number of factors that present significant opportunities for us and may involve risks and challenges, including those discussed below and in Part I, Item 1A. “Risk Factors” of our 2024 Form 10-K.</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Growth in comparable store sales.</w:t>
            </w:r>
            <w:r>
              <w:rPr>
                <w:rFonts w:ascii="Times New Roman" w:hAnsi="Times New Roman"/>
                <w:color w:val="000000"/>
                <w:sz w:val="20"/>
              </w:rPr>
              <w:t> Comparable store sales have been a driver of our net revenue growth. We will seek to continue to grow our comparable store sales by increasing the number of UWC Members, maximizing efficiency and throughput of our car wash locations, optimizing marketing spend to add new customers, and increasing customer visitation frequency.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Number and loyalty of UWC Members</w:t>
            </w:r>
            <w:r>
              <w:rPr>
                <w:rFonts w:ascii="Times New Roman" w:hAnsi="Times New Roman"/>
                <w:color w:val="000000"/>
                <w:sz w:val="20"/>
              </w:rPr>
              <w:t xml:space="preserve">. The UWC program is an important element of our business. UWC Members contribute a large portion of our net revenue and provide recurring revenue through their monthly membership fees.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Labor management.</w:t>
            </w:r>
            <w:r>
              <w:rPr>
                <w:rFonts w:ascii="Times New Roman" w:hAnsi="Times New Roman"/>
                <w:color w:val="000000"/>
                <w:sz w:val="20"/>
              </w:rPr>
              <w:t> Hiring and retaining skilled team members and experienced management represents one of our largest investments. We believe people 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beginning in the first half of 2025, the United States government announced new tariffs on goods imported from various countries to the United States. Countries subject to such tariffs have imposed, or may in the future impose, reciprocal or retaliatory tariffs or trade policies. While we believe in the strength of our business, the potential macroeconomic impacts of these actions, if implemented, are difficult to predict and may have a material adverse impact on our business, results of operations and financial condition. Specifically, negative macroeconomic impact on consumers affecting general discretionary income, consumer confidence, or purchasing patterns may reduce demand for our services.</w:t>
      </w:r>
    </w:p>
    <w:p>
      <w:pPr>
        <w:pStyle w:val="TextBody"/>
        <w:bidi w:val="0"/>
        <w:jc w:val="left"/>
        <w:rPr>
          <w:rFonts w:ascii="Times New Roman" w:hAnsi="Times New Roman"/>
          <w:b/>
          <w:color w:val="000000"/>
          <w:sz w:val="20"/>
        </w:rPr>
      </w:pPr>
      <w:r>
        <w:rPr>
          <w:rFonts w:ascii="Times New Roman" w:hAnsi="Times New Roman"/>
          <w:b/>
          <w:color w:val="000000"/>
          <w:sz w:val="20"/>
        </w:rPr>
        <w:t>Factors Affecting the Comparability of Our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results have been affected by, and may in the future be affected by, the following factors, which must be understood in order to assess the comparability of our period-to-period financial performance and condition.</w:t>
      </w:r>
    </w:p>
    <w:p>
      <w:pPr>
        <w:pStyle w:val="Heading2"/>
        <w:bidi w:val="0"/>
        <w:jc w:val="left"/>
        <w:rPr>
          <w:rFonts w:ascii="Times New Roman" w:hAnsi="Times New Roman"/>
          <w:i/>
          <w:color w:val="000000"/>
          <w:sz w:val="20"/>
        </w:rPr>
      </w:pPr>
      <w:r>
        <w:rPr>
          <w:rFonts w:ascii="Times New Roman" w:hAnsi="Times New Roman"/>
          <w:i/>
          <w:color w:val="000000"/>
          <w:sz w:val="20"/>
        </w:rPr>
        <w:t>Greenfield Location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While we continue to explore and evaluate acquisition opportunities, more recently, a component of our growth strategy has been to grow through greenfield development of Mister Car Wash locations, with particular focus on Express Exterior Locations, and we anticipate further pursuit of this strategy in the future. We believe such a strategy will provide a more controllable pipeline of unit growth for future locations in existing and adjacent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prepare and analyze various operating and financial data to assess the performance of our business and to help in the allocation of our resources. The key operating performance and financial metrics and indicators we use are set forth below, as of and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3679"/>
        <w:gridCol w:w="146"/>
        <w:gridCol w:w="275"/>
        <w:gridCol w:w="883"/>
        <w:gridCol w:w="354"/>
        <w:gridCol w:w="190"/>
        <w:gridCol w:w="275"/>
        <w:gridCol w:w="883"/>
        <w:gridCol w:w="271"/>
        <w:gridCol w:w="146"/>
        <w:gridCol w:w="244"/>
        <w:gridCol w:w="906"/>
        <w:gridCol w:w="314"/>
        <w:gridCol w:w="168"/>
        <w:gridCol w:w="244"/>
        <w:gridCol w:w="906"/>
        <w:gridCol w:w="321"/>
      </w:tblGrid>
      <w:tr>
        <w:trPr/>
        <w:tc>
          <w:tcPr>
            <w:tcW w:w="3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and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 count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store sales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Members (in thousands,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sales as a percentage of total wash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83,006</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Location Count (end of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location count refers to the total number of car wash locations at the end of a period, inclusive of new greenfield locations and acquired locations and offset by closed locations. The total number of locations that we operate, as well as the timing of location openings, acquisitions, and closings, have, and will continue to have, an impact on our performance. In the three and nine months ended September 30, 2025, we increased our location count by 5 and 13 greenfield locations,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Express Exterior Locations, which offer express exterior cleaning services, comprise 464 of our current locations and our Interior Cleaning Locations, which offer both express exterior cleaning services and interior cleaning services, comprise 63 of our current locations.</w:t>
      </w:r>
    </w:p>
    <w:p>
      <w:pPr>
        <w:pStyle w:val="Heading2"/>
        <w:bidi w:val="0"/>
        <w:jc w:val="left"/>
        <w:rPr>
          <w:rFonts w:ascii="Times New Roman" w:hAnsi="Times New Roman"/>
          <w:i/>
          <w:color w:val="000000"/>
          <w:sz w:val="20"/>
        </w:rPr>
      </w:pPr>
      <w:r>
        <w:rPr>
          <w:rFonts w:ascii="Times New Roman" w:hAnsi="Times New Roman"/>
          <w:i/>
          <w:color w:val="000000"/>
          <w:sz w:val="20"/>
        </w:rPr>
        <w:t>Comparable Store Sales Growth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pStyle w:val="Heading2"/>
        <w:bidi w:val="0"/>
        <w:jc w:val="left"/>
        <w:rPr>
          <w:rFonts w:ascii="Times New Roman" w:hAnsi="Times New Roman"/>
          <w:i/>
          <w:color w:val="000000"/>
          <w:sz w:val="20"/>
        </w:rPr>
      </w:pPr>
      <w:r>
        <w:rPr>
          <w:rFonts w:ascii="Times New Roman" w:hAnsi="Times New Roman"/>
          <w:i/>
          <w:color w:val="000000"/>
          <w:sz w:val="20"/>
        </w:rPr>
        <w:t>UWC Members (end of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2.2 million UWC Members as of September 30, 2025. UWC Members grew by approximately 5% from December 31, 2024 through September 30, 2025. </w:t>
      </w:r>
    </w:p>
    <w:p>
      <w:pPr>
        <w:pStyle w:val="Heading2"/>
        <w:bidi w:val="0"/>
        <w:jc w:val="left"/>
        <w:rPr>
          <w:rFonts w:ascii="Times New Roman" w:hAnsi="Times New Roman"/>
          <w:i/>
          <w:color w:val="000000"/>
          <w:sz w:val="20"/>
        </w:rPr>
      </w:pPr>
      <w:r>
        <w:rPr>
          <w:rFonts w:ascii="Times New Roman" w:hAnsi="Times New Roman"/>
          <w:i/>
          <w:color w:val="000000"/>
          <w:sz w:val="20"/>
        </w:rPr>
        <w:t>UWC Sales as a Percentage of Total Wash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UWC sales were 77% and 74% of our total wash sales for the three months ended September 30, 2025 and 2024, respectively. UWC sales were 75% and 73% of our total wash sales for the nine months ended September 30, 2025 and 2024,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Adjusted EBITDA and Adjusted EBITDA Margin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debt refinancing costs, and other nonrecurring charges. Adjusted EBITDA margin is defined as Adjusted EBITDA divided by net revenues for a given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evaluate in conjunction with U.S. GAAP measures of performance, the effectiveness of our business strategies; to make budgeting decisions; and because our Credit Agreement uses measures similar to Adjusted EBITDA to measure our compliance with certain covenants.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and Adjusted EBITDA Margin are not recognized terms under GAAP and should not be considered as a substitute for net income, net income margin, or any other financial measure presented in accordance with GAAP. Adjusted EBITDA has its limitations as an analytical tool, and you should not consider it in isolation or as a substitute for analysis of our results as reported under U.S. GAAP.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net income to Adjusted EBITDA for the periods presented.</w:t>
      </w:r>
    </w:p>
    <w:tbl>
      <w:tblPr>
        <w:tblW w:w="10051" w:type="dxa"/>
        <w:jc w:val="left"/>
        <w:tblInd w:w="0" w:type="dxa"/>
        <w:tblLayout w:type="fixed"/>
        <w:tblCellMar>
          <w:top w:w="28" w:type="dxa"/>
          <w:left w:w="28" w:type="dxa"/>
          <w:bottom w:w="28" w:type="dxa"/>
          <w:right w:w="28" w:type="dxa"/>
        </w:tblCellMar>
      </w:tblPr>
      <w:tblGrid>
        <w:gridCol w:w="3401"/>
        <w:gridCol w:w="146"/>
        <w:gridCol w:w="254"/>
        <w:gridCol w:w="942"/>
        <w:gridCol w:w="326"/>
        <w:gridCol w:w="176"/>
        <w:gridCol w:w="254"/>
        <w:gridCol w:w="942"/>
        <w:gridCol w:w="271"/>
        <w:gridCol w:w="146"/>
        <w:gridCol w:w="246"/>
        <w:gridCol w:w="912"/>
        <w:gridCol w:w="316"/>
        <w:gridCol w:w="170"/>
        <w:gridCol w:w="246"/>
        <w:gridCol w:w="912"/>
        <w:gridCol w:w="39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sale of assets,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expenses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costs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retention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86,792</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263,417</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Consists of losses on the disposition of assets associated with sale leaseback transactions, the sale of property and equipment, and store closures or the impairments associated with store closures and relocations.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non-cash expense associated with our stock-based compensation as well as related taxes.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expenses incurred in strategic acquisitions and greenfield development. Expenses include professional fees for accounting and auditing services, appraisals, legal fees and financial services, dead deal costs, one-time costs associated with supplies for rebranding the acquired stores, and distinct travel expenses for related, distinct integration efforts by team members who are not part of our dedicated integration team.</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the difference between cash paid for rent expense and U.S. GAAP rent expense.</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(e)</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Represents non-deferred legal fees and other expenses related to Credit Agreement amendments, and loss on extinguishment of debt associated with amendments to the debt facilities.</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(f)</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Consists of other items as determined by management not to be reflective of our ongoing operating performance, such as costs associated with severance pay, legal settlements and legal fees related to contract terminations, and nonrecurring strategic project costs.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 for the Three and Nine Months Ended September 30, 2025 and 2024</w:t>
      </w:r>
      <w:r>
        <w:rPr>
          <w:rFonts w:ascii="Times New Roman" w:hAnsi="Times New Roman"/>
          <w:color w:val="000000"/>
          <w:sz w:val="20"/>
        </w:rPr>
        <w:t xml:space="preserve"> </w:t>
      </w:r>
    </w:p>
    <w:tbl>
      <w:tblPr>
        <w:tblW w:w="10213" w:type="dxa"/>
        <w:jc w:val="left"/>
        <w:tblInd w:w="0" w:type="dxa"/>
        <w:tblLayout w:type="fixed"/>
        <w:tblCellMar>
          <w:top w:w="28" w:type="dxa"/>
          <w:left w:w="28" w:type="dxa"/>
          <w:bottom w:w="28" w:type="dxa"/>
          <w:right w:w="28" w:type="dxa"/>
        </w:tblCellMar>
      </w:tblPr>
      <w:tblGrid>
        <w:gridCol w:w="1496"/>
        <w:gridCol w:w="146"/>
        <w:gridCol w:w="196"/>
        <w:gridCol w:w="691"/>
        <w:gridCol w:w="146"/>
        <w:gridCol w:w="146"/>
        <w:gridCol w:w="146"/>
        <w:gridCol w:w="376"/>
        <w:gridCol w:w="256"/>
        <w:gridCol w:w="146"/>
        <w:gridCol w:w="196"/>
        <w:gridCol w:w="691"/>
        <w:gridCol w:w="166"/>
        <w:gridCol w:w="146"/>
        <w:gridCol w:w="146"/>
        <w:gridCol w:w="376"/>
        <w:gridCol w:w="256"/>
        <w:gridCol w:w="146"/>
        <w:gridCol w:w="196"/>
        <w:gridCol w:w="691"/>
        <w:gridCol w:w="166"/>
        <w:gridCol w:w="146"/>
        <w:gridCol w:w="146"/>
        <w:gridCol w:w="376"/>
        <w:gridCol w:w="256"/>
        <w:gridCol w:w="146"/>
        <w:gridCol w:w="196"/>
        <w:gridCol w:w="691"/>
        <w:gridCol w:w="166"/>
        <w:gridCol w:w="146"/>
        <w:gridCol w:w="146"/>
        <w:gridCol w:w="376"/>
        <w:gridCol w:w="501"/>
      </w:tblGrid>
      <w:tr>
        <w:trPr/>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Heading2"/>
        <w:bidi w:val="0"/>
        <w:spacing w:before="120" w:after="120"/>
        <w:jc w:val="left"/>
        <w:rPr/>
      </w:pPr>
      <w:r>
        <w:rPr/>
        <w:t> </w:t>
      </w:r>
    </w:p>
    <w:p>
      <w:pPr>
        <w:pStyle w:val="Heading2"/>
        <w:bidi w:val="0"/>
        <w:spacing w:before="0" w:after="120"/>
        <w:jc w:val="left"/>
        <w:rPr>
          <w:rFonts w:ascii="Times New Roman" w:hAnsi="Times New Roman"/>
          <w:i/>
          <w:color w:val="000000"/>
          <w:sz w:val="20"/>
        </w:rPr>
      </w:pPr>
      <w:r>
        <w:rPr>
          <w:rFonts w:ascii="Times New Roman" w:hAnsi="Times New Roman"/>
          <w:i/>
          <w:color w:val="000000"/>
          <w:sz w:val="20"/>
        </w:rPr>
        <w:t>Net Revenues</w:t>
      </w:r>
    </w:p>
    <w:tbl>
      <w:tblPr>
        <w:tblW w:w="9751" w:type="dxa"/>
        <w:jc w:val="left"/>
        <w:tblInd w:w="0" w:type="dxa"/>
        <w:tblLayout w:type="fixed"/>
        <w:tblCellMar>
          <w:top w:w="28" w:type="dxa"/>
          <w:left w:w="28" w:type="dxa"/>
          <w:bottom w:w="28" w:type="dxa"/>
          <w:right w:w="28" w:type="dxa"/>
        </w:tblCellMar>
      </w:tblPr>
      <w:tblGrid>
        <w:gridCol w:w="3326"/>
        <w:gridCol w:w="146"/>
        <w:gridCol w:w="260"/>
        <w:gridCol w:w="919"/>
        <w:gridCol w:w="340"/>
        <w:gridCol w:w="194"/>
        <w:gridCol w:w="260"/>
        <w:gridCol w:w="919"/>
        <w:gridCol w:w="146"/>
        <w:gridCol w:w="146"/>
        <w:gridCol w:w="252"/>
        <w:gridCol w:w="891"/>
        <w:gridCol w:w="330"/>
        <w:gridCol w:w="188"/>
        <w:gridCol w:w="252"/>
        <w:gridCol w:w="891"/>
        <w:gridCol w:w="29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263,417</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790,488</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743,555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14,088</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46,933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net revenues for the three months ended September 30, 2025 was primarily attributable to growth in UWC Members, favorable wash package mix, price increases, and the year-over-year addition of 26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net revenues for the nine months ended September 30, 2025 was primarily attributable to growth in UWC Members, favorable wash package mix, price increases, and the year-over-year addition of 26 locations.</w:t>
      </w:r>
    </w:p>
    <w:p>
      <w:pPr>
        <w:pStyle w:val="Heading2"/>
        <w:bidi w:val="0"/>
        <w:spacing w:before="120" w:after="120"/>
        <w:jc w:val="left"/>
        <w:rPr/>
      </w:pPr>
      <w:r>
        <w:rPr/>
        <w:t> </w:t>
      </w:r>
    </w:p>
    <w:p>
      <w:pPr>
        <w:pStyle w:val="Heading2"/>
        <w:bidi w:val="0"/>
        <w:spacing w:before="0" w:after="120"/>
        <w:jc w:val="left"/>
        <w:rPr>
          <w:rFonts w:ascii="Times New Roman" w:hAnsi="Times New Roman"/>
          <w:i/>
          <w:color w:val="000000"/>
          <w:sz w:val="20"/>
        </w:rPr>
      </w:pPr>
      <w:r>
        <w:rPr>
          <w:rFonts w:ascii="Times New Roman" w:hAnsi="Times New Roman"/>
          <w:i/>
          <w:color w:val="000000"/>
          <w:sz w:val="20"/>
        </w:rPr>
        <w:t>Cost of Labor and Chemicals</w:t>
      </w:r>
    </w:p>
    <w:tbl>
      <w:tblPr>
        <w:tblW w:w="9971" w:type="dxa"/>
        <w:jc w:val="left"/>
        <w:tblInd w:w="0" w:type="dxa"/>
        <w:tblLayout w:type="fixed"/>
        <w:tblCellMar>
          <w:top w:w="28" w:type="dxa"/>
          <w:left w:w="28" w:type="dxa"/>
          <w:bottom w:w="28" w:type="dxa"/>
          <w:right w:w="28" w:type="dxa"/>
        </w:tblCellMar>
      </w:tblPr>
      <w:tblGrid>
        <w:gridCol w:w="3326"/>
        <w:gridCol w:w="146"/>
        <w:gridCol w:w="284"/>
        <w:gridCol w:w="871"/>
        <w:gridCol w:w="371"/>
        <w:gridCol w:w="211"/>
        <w:gridCol w:w="284"/>
        <w:gridCol w:w="871"/>
        <w:gridCol w:w="256"/>
        <w:gridCol w:w="146"/>
        <w:gridCol w:w="252"/>
        <w:gridCol w:w="891"/>
        <w:gridCol w:w="330"/>
        <w:gridCol w:w="188"/>
        <w:gridCol w:w="252"/>
        <w:gridCol w:w="891"/>
        <w:gridCol w:w="40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76,581</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227,460</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217,966</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2,964</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9,494</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cost of labor and chemicals for the three months ended September 30, 2025 was primarily attributable to an increase in volume and the year-over-year addition of 26 locations, as well as increased store labor rates, partially offset by labor optimization and lower chemical costs due to new formulations and strategic partnerships.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cost of labor and chemicals for the nine months ended September 30, 2025 was primarily attributable to an increase in volume and the year-over-year addition of 26 locations, as well as increased store labor rates, partially offset by labor optimization and lower chemical costs due to new formulations and strategic partnerships.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Other Store Operating Expenses</w:t>
      </w:r>
    </w:p>
    <w:tbl>
      <w:tblPr>
        <w:tblW w:w="9971" w:type="dxa"/>
        <w:jc w:val="left"/>
        <w:tblInd w:w="0" w:type="dxa"/>
        <w:tblLayout w:type="fixed"/>
        <w:tblCellMar>
          <w:top w:w="28" w:type="dxa"/>
          <w:left w:w="28" w:type="dxa"/>
          <w:bottom w:w="28" w:type="dxa"/>
          <w:right w:w="28" w:type="dxa"/>
        </w:tblCellMar>
      </w:tblPr>
      <w:tblGrid>
        <w:gridCol w:w="3326"/>
        <w:gridCol w:w="146"/>
        <w:gridCol w:w="260"/>
        <w:gridCol w:w="919"/>
        <w:gridCol w:w="340"/>
        <w:gridCol w:w="194"/>
        <w:gridCol w:w="260"/>
        <w:gridCol w:w="919"/>
        <w:gridCol w:w="256"/>
        <w:gridCol w:w="146"/>
        <w:gridCol w:w="252"/>
        <w:gridCol w:w="891"/>
        <w:gridCol w:w="330"/>
        <w:gridCol w:w="188"/>
        <w:gridCol w:w="252"/>
        <w:gridCol w:w="891"/>
        <w:gridCol w:w="40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109,531</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328,048</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298,953</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6,924</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29,095</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store operating expenses for the three months ended September 30, 2025 was primarily attributable to the year-over-year addition of 26 locations, increased utilities and facilities expenses, as well as additional rent expense for the addition of 30 net new land and building leases between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store operating expenses for the nine months ended September 30, 2025 was primarily attributable to the year-over-year addition of 26 locations, increased utilities and maintenance expenses, as well as additional rent expense for the addition of 30 net new land and building leases between periods.</w:t>
      </w:r>
    </w:p>
    <w:p>
      <w:pPr>
        <w:pStyle w:val="Heading2"/>
        <w:bidi w:val="0"/>
        <w:spacing w:before="120" w:after="120"/>
        <w:jc w:val="left"/>
        <w:rPr/>
      </w:pPr>
      <w:r>
        <w:rPr/>
        <w:t> </w:t>
      </w:r>
    </w:p>
    <w:p>
      <w:pPr>
        <w:pStyle w:val="Heading2"/>
        <w:bidi w:val="0"/>
        <w:spacing w:before="0" w:after="120"/>
        <w:jc w:val="left"/>
        <w:rPr>
          <w:rFonts w:ascii="Times New Roman" w:hAnsi="Times New Roman"/>
          <w:i/>
          <w:color w:val="000000"/>
          <w:sz w:val="20"/>
        </w:rPr>
      </w:pPr>
      <w:r>
        <w:rPr>
          <w:rFonts w:ascii="Times New Roman" w:hAnsi="Times New Roman"/>
          <w:i/>
          <w:color w:val="000000"/>
          <w:sz w:val="20"/>
        </w:rPr>
        <w:t>General and Administrative</w:t>
      </w:r>
    </w:p>
    <w:tbl>
      <w:tblPr>
        <w:tblW w:w="9973" w:type="dxa"/>
        <w:jc w:val="left"/>
        <w:tblInd w:w="0" w:type="dxa"/>
        <w:tblLayout w:type="fixed"/>
        <w:tblCellMar>
          <w:top w:w="28" w:type="dxa"/>
          <w:left w:w="28" w:type="dxa"/>
          <w:bottom w:w="28" w:type="dxa"/>
          <w:right w:w="28" w:type="dxa"/>
        </w:tblCellMar>
      </w:tblPr>
      <w:tblGrid>
        <w:gridCol w:w="3326"/>
        <w:gridCol w:w="146"/>
        <w:gridCol w:w="276"/>
        <w:gridCol w:w="846"/>
        <w:gridCol w:w="445"/>
        <w:gridCol w:w="205"/>
        <w:gridCol w:w="276"/>
        <w:gridCol w:w="846"/>
        <w:gridCol w:w="256"/>
        <w:gridCol w:w="146"/>
        <w:gridCol w:w="267"/>
        <w:gridCol w:w="820"/>
        <w:gridCol w:w="431"/>
        <w:gridCol w:w="199"/>
        <w:gridCol w:w="267"/>
        <w:gridCol w:w="820"/>
        <w:gridCol w:w="40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22,693</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72,465</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80,058</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(2,743</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(7,593</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for the three months ended September 30, 2025 was primarily attributable to lower amortization expense due to intangible assets that fully amortized in the prior year and decreases in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for the nine months ended September 30, 2025 was primarily attributable to the debt refinancing costs in the prior year and decreased amortization expense due to intangible assets that fully amortized in the prior year, partially offset by investments in marketing as well as other costs to support strategic growth initiatives.</w:t>
      </w:r>
    </w:p>
    <w:p>
      <w:pPr>
        <w:pStyle w:val="Heading2"/>
        <w:bidi w:val="0"/>
        <w:spacing w:before="120" w:after="120"/>
        <w:jc w:val="left"/>
        <w:rPr/>
      </w:pPr>
      <w:r>
        <w:rPr/>
        <w:t> </w:t>
      </w:r>
    </w:p>
    <w:p>
      <w:pPr>
        <w:pStyle w:val="Heading2"/>
        <w:bidi w:val="0"/>
        <w:spacing w:before="0" w:after="120"/>
        <w:jc w:val="left"/>
        <w:rPr>
          <w:rFonts w:ascii="Times New Roman" w:hAnsi="Times New Roman"/>
          <w:i/>
          <w:color w:val="000000"/>
          <w:sz w:val="20"/>
        </w:rPr>
      </w:pPr>
      <w:r>
        <w:rPr>
          <w:rFonts w:ascii="Times New Roman" w:hAnsi="Times New Roman"/>
          <w:i/>
          <w:color w:val="000000"/>
          <w:sz w:val="20"/>
        </w:rPr>
        <w:t>(Gain) Loss on Sale of Assets, Net</w:t>
      </w:r>
    </w:p>
    <w:tbl>
      <w:tblPr>
        <w:tblW w:w="10093" w:type="dxa"/>
        <w:jc w:val="left"/>
        <w:tblInd w:w="0" w:type="dxa"/>
        <w:tblLayout w:type="fixed"/>
        <w:tblCellMar>
          <w:top w:w="28" w:type="dxa"/>
          <w:left w:w="28" w:type="dxa"/>
          <w:bottom w:w="28" w:type="dxa"/>
          <w:right w:w="28" w:type="dxa"/>
        </w:tblCellMar>
      </w:tblPr>
      <w:tblGrid>
        <w:gridCol w:w="3326"/>
        <w:gridCol w:w="146"/>
        <w:gridCol w:w="293"/>
        <w:gridCol w:w="764"/>
        <w:gridCol w:w="472"/>
        <w:gridCol w:w="218"/>
        <w:gridCol w:w="293"/>
        <w:gridCol w:w="854"/>
        <w:gridCol w:w="316"/>
        <w:gridCol w:w="146"/>
        <w:gridCol w:w="305"/>
        <w:gridCol w:w="796"/>
        <w:gridCol w:w="492"/>
        <w:gridCol w:w="227"/>
        <w:gridCol w:w="305"/>
        <w:gridCol w:w="679"/>
        <w:gridCol w:w="46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4,101</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(gain) loss on sale of assets, net for the three months ended September 30, 2025 was primarily driven by gains associated with sale-leaseback activity in the prior year compared to losses associated with sale-leaseback activity and asset retirements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(gain) loss on sale of assets, net for the nine months ended September 30, 2025 was primarily driven by gains associated with sale-leaseback activity in the prior year compared to losses associated with sale-leaseback activity and asset retirements in the current year.</w:t>
      </w:r>
    </w:p>
    <w:p>
      <w:pPr>
        <w:pStyle w:val="Heading2"/>
        <w:bidi w:val="0"/>
        <w:spacing w:before="12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120"/>
        <w:jc w:val="left"/>
        <w:rPr>
          <w:rFonts w:ascii="Times New Roman" w:hAnsi="Times New Roman"/>
          <w:i/>
          <w:color w:val="000000"/>
          <w:sz w:val="20"/>
        </w:rPr>
      </w:pPr>
      <w:r>
        <w:rPr>
          <w:rFonts w:ascii="Times New Roman" w:hAnsi="Times New Roman"/>
          <w:i/>
          <w:color w:val="000000"/>
          <w:sz w:val="20"/>
        </w:rPr>
        <w:t>Total Other Expense, Net</w:t>
      </w:r>
    </w:p>
    <w:tbl>
      <w:tblPr>
        <w:tblW w:w="9971" w:type="dxa"/>
        <w:jc w:val="left"/>
        <w:tblInd w:w="0" w:type="dxa"/>
        <w:tblLayout w:type="fixed"/>
        <w:tblCellMar>
          <w:top w:w="28" w:type="dxa"/>
          <w:left w:w="28" w:type="dxa"/>
          <w:bottom w:w="28" w:type="dxa"/>
          <w:right w:w="28" w:type="dxa"/>
        </w:tblCellMar>
      </w:tblPr>
      <w:tblGrid>
        <w:gridCol w:w="3326"/>
        <w:gridCol w:w="146"/>
        <w:gridCol w:w="276"/>
        <w:gridCol w:w="846"/>
        <w:gridCol w:w="445"/>
        <w:gridCol w:w="205"/>
        <w:gridCol w:w="276"/>
        <w:gridCol w:w="846"/>
        <w:gridCol w:w="256"/>
        <w:gridCol w:w="146"/>
        <w:gridCol w:w="259"/>
        <w:gridCol w:w="876"/>
        <w:gridCol w:w="419"/>
        <w:gridCol w:w="193"/>
        <w:gridCol w:w="259"/>
        <w:gridCol w:w="796"/>
        <w:gridCol w:w="40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14,054</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45,228</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57,624</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(6,599</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(12,396</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total other expense, net for the three months ended September 30, 2025 was attributable to a decrease in interest expense, net driven by lower average interest rates, $91.6 million of principal payments on the First Lien Term Loan, effective interest rate swap, and reduction in outstanding borrowings under the Revolving Commitment between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total other expense, net for the nine months ended September 30, 2025 was attributable to a decrease in interest expense, net driven by lower average interest rates, and $91.6 million of principal payments on the First Lien Term Loan between periods, as well as $1.9 million loss on extinguishment of debt related to our debt refinancing activity in the prior year, partially offset by the $5.2 million gain related to the recognition of an employee retention credit in the prior year.</w:t>
      </w:r>
    </w:p>
    <w:p>
      <w:pPr>
        <w:pStyle w:val="Heading2"/>
        <w:bidi w:val="0"/>
        <w:spacing w:before="120" w:after="120"/>
        <w:jc w:val="left"/>
        <w:rPr/>
      </w:pPr>
      <w:r>
        <w:rPr/>
        <w:t> </w:t>
      </w:r>
    </w:p>
    <w:p>
      <w:pPr>
        <w:pStyle w:val="Heading2"/>
        <w:bidi w:val="0"/>
        <w:spacing w:before="0" w:after="120"/>
        <w:jc w:val="left"/>
        <w:rPr>
          <w:rFonts w:ascii="Times New Roman" w:hAnsi="Times New Roman"/>
          <w:i/>
          <w:color w:val="000000"/>
          <w:sz w:val="20"/>
        </w:rPr>
      </w:pPr>
      <w:r>
        <w:rPr>
          <w:rFonts w:ascii="Times New Roman" w:hAnsi="Times New Roman"/>
          <w:i/>
          <w:color w:val="000000"/>
          <w:sz w:val="20"/>
        </w:rPr>
        <w:t>Income Tax Provision</w:t>
      </w:r>
    </w:p>
    <w:tbl>
      <w:tblPr>
        <w:tblW w:w="9969" w:type="dxa"/>
        <w:jc w:val="left"/>
        <w:tblInd w:w="0" w:type="dxa"/>
        <w:tblLayout w:type="fixed"/>
        <w:tblCellMar>
          <w:top w:w="28" w:type="dxa"/>
          <w:left w:w="28" w:type="dxa"/>
          <w:bottom w:w="28" w:type="dxa"/>
          <w:right w:w="28" w:type="dxa"/>
        </w:tblCellMar>
      </w:tblPr>
      <w:tblGrid>
        <w:gridCol w:w="3326"/>
        <w:gridCol w:w="146"/>
        <w:gridCol w:w="297"/>
        <w:gridCol w:w="913"/>
        <w:gridCol w:w="388"/>
        <w:gridCol w:w="221"/>
        <w:gridCol w:w="297"/>
        <w:gridCol w:w="776"/>
        <w:gridCol w:w="256"/>
        <w:gridCol w:w="146"/>
        <w:gridCol w:w="275"/>
        <w:gridCol w:w="844"/>
        <w:gridCol w:w="359"/>
        <w:gridCol w:w="205"/>
        <w:gridCol w:w="275"/>
        <w:gridCol w:w="844"/>
        <w:gridCol w:w="401"/>
      </w:tblGrid>
      <w:tr>
        <w:trPr/>
        <w:tc>
          <w:tcPr>
            <w:tcW w:w="3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10,388</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30,732</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28,436</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Dollar change compared to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Percentage change compared to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income tax provision for the three months ended September 30, 2025 was primarily driven by the increase in pre-tax income, tax benefits from discrete items in the prior year and unfavorable income tax impact from equity awards activity as compared to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income tax provision for the nine months ended September 30, 2025 was primarily driven by the increase in pre-tax income reduced by the favorable income tax impact from equity awards activity compared to the prior year.</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primary requirements for liquidity and capital are to fund our investments in our core business, which includes lease payments, pursue greenfield location development and acquisitions of new locations, and to service our indebtedness. Our primary sources of liquidity are cash provided by operations, sale-leaseback transactions, and utilization of our credit facilities.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of September 30, 2025 and December 31, 2024, we had cash and cash equivalents of $35.7 million and $67.5 million, respectively, and </w:t>
      </w:r>
      <w:r>
        <w:rPr>
          <w:rFonts w:ascii="Times New Roman" w:hAnsi="Times New Roman"/>
          <w:color w:val="231F20"/>
          <w:sz w:val="20"/>
        </w:rPr>
        <w:t xml:space="preserve">$299.9 million and $299.8 million, respectively, </w:t>
      </w:r>
      <w:r>
        <w:rPr>
          <w:rFonts w:ascii="Times New Roman" w:hAnsi="Times New Roman"/>
          <w:color w:val="000000"/>
          <w:sz w:val="20"/>
        </w:rPr>
        <w:t xml:space="preserve">of available borrowing capacity under our Revolving Commitment.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a description of our credit facilities and our recent debt refinancing, please see Note 7 Debt in the consolidated financial statements included elsewhere in this Quarterly Report on Form 10-Q. As of September 30, 2025, we were in compliance with the covenants under the Credit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that our existing sources of liquidity and capital will be sufficient to finance our growth strategy and operations, as well as planned capital expenditures, for at least the next 12 months and for the foreseeable future.</w:t>
      </w:r>
    </w:p>
    <w:p>
      <w:pPr>
        <w:pStyle w:val="Heading2"/>
        <w:bidi w:val="0"/>
        <w:jc w:val="left"/>
        <w:rPr>
          <w:rFonts w:ascii="Times New Roman" w:hAnsi="Times New Roman"/>
          <w:i/>
          <w:color w:val="000000"/>
          <w:sz w:val="20"/>
        </w:rPr>
      </w:pPr>
      <w:r>
        <w:rPr>
          <w:rFonts w:ascii="Times New Roman" w:hAnsi="Times New Roman"/>
          <w:i/>
          <w:color w:val="000000"/>
          <w:sz w:val="20"/>
        </w:rPr>
        <w:t>Cash Flows for the Nine Months Ended September 30, 2025 and 2024</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For the nine months ended September 30, 2025, net cash provided by operating activities was $225.7 million and was comprised of net income of $83.0 million, increased by $159.3 million as a result of non-cash adjustments including depreciation and amortization expense, stock-based compensation expense, non-cash lease expense, deferred income taxes, (gain) loss on sale of assets, net, and amortization of debt issuance costs. Changes in working capital balances decreased cash provided by operating activities by $16.6 million and were primarily driven by operating lease payments partially offset by the change in timing of payment and receipt of receivables, payables, and accrued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nine months ended September 30, 2024, net cash provided by operating activities was $198.8 million and was comprised of net income of $61.1 million, increased by $144.5 million as a result of non-cash adjustments comprised primarily of depreciation and amortization expense, stock-based compensation expense, non-cash lease expense, deferred income taxes, a gain on disposal of property and equipment, a loss on extinguishment of debt, and amortization of debt issuance costs. Changes in working capital balances decreased cash provided by operating activities by $6.8 million and were primarily driven by operating lease payments and increases in other receivables, prepaid expenses and other current assets, partially offset by decreases to accounts receivable, net, inventory and other noncurrent assets and liabilities and increases in accounts payable, accrued expenses, and deferred revenue.</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Investing Activities. </w:t>
      </w:r>
      <w:r>
        <w:rPr>
          <w:rFonts w:ascii="Times New Roman" w:hAnsi="Times New Roman"/>
          <w:color w:val="000000"/>
          <w:sz w:val="20"/>
        </w:rPr>
        <w:t>For the nine months ended September 30, 2025, net cash used in investing activities was $171.8 million and was primarily comprised of investments in property and equipment to support our greenfield development and other initiatives, offset by the sale of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nine months ended September 30, 2024, net cash used in investing activities was $223.5 million and was primarily comprised of investments in property and equipment to support our greenfield development and other initiatives, offset by the sale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For the nine months ended September 30, 2025, net cash used in financing activities was $85.8 million and was primarily comprised of payments for the First Lien Term Loan and finance lease obligations, partially offset by proceeds related to the issuance of common stock under employee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nine months ended September 30, 2024, net cash provided by financing activities was $22.1 million and was primarily comprised of proceeds from our refinancing of the First Lien Term Loan and Revolving Commitment, partially offset by payments for payroll tax withholdings to settle cashless stock option exercises, payments on debt borrowings and Revolving Commitment, and payments of deferred financing costs due to our debt refinancing.</w:t>
      </w:r>
    </w:p>
    <w:p>
      <w:pPr>
        <w:pStyle w:val="TextBody"/>
        <w:bidi w:val="0"/>
        <w:jc w:val="left"/>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Free cash flow and free cash flow excluding growth capital expenditures are non-GAAP liquidity measures used by management as additional cash flow metrics. Free cash flow is defined as net cash provided by operating activities less purchases of property and equipment in a period. Free cash flow excluding growth capital expenditures is defined as operating cash flows less purchases of maintenance property and equipment. Free cash flow includes the impact of capital expenditures, providing a supplemental view of cash generation. Free cash flow excluding growth capital expenditures includes purchases of property and equipment in a period, which are uses of cash that are necessary to maintain the Company's existing business operations, including its washes and support functions. Free cash flow excluding growth capital expenditures provides a supplemental view of cash flow generation before investments in growth capital, which expand future business operations, including the opening or improvement of washes and service capabilities. Free cash flow and free cash flow excluding growth capital expenditures have certain limitations, including that they do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reflect adjustments for certain non-discretionary cash expenditures, such as mandatory debt repayments or payments made for business acquisitions.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free cash flow and free cash flow excluding growth capital expenditures to net cash provided by operating activities for the periods presented.</w:t>
      </w:r>
    </w:p>
    <w:tbl>
      <w:tblPr>
        <w:tblW w:w="7846" w:type="dxa"/>
        <w:jc w:val="left"/>
        <w:tblInd w:w="0" w:type="dxa"/>
        <w:tblLayout w:type="fixed"/>
        <w:tblCellMar>
          <w:top w:w="28" w:type="dxa"/>
          <w:left w:w="28" w:type="dxa"/>
          <w:bottom w:w="28" w:type="dxa"/>
          <w:right w:w="28" w:type="dxa"/>
        </w:tblCellMar>
      </w:tblPr>
      <w:tblGrid>
        <w:gridCol w:w="4606"/>
        <w:gridCol w:w="146"/>
        <w:gridCol w:w="245"/>
        <w:gridCol w:w="976"/>
        <w:gridCol w:w="192"/>
        <w:gridCol w:w="169"/>
        <w:gridCol w:w="245"/>
        <w:gridCol w:w="976"/>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225,733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Maintenance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 excluding growth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Growth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(235,272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47,079</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 On an ongoing basis, we evaluate the continued appropriateness of our accounting policies and estimates based on the facts and circumstances. Actual results could differ from those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significant accounting policies and estimates used in preparation of the consolidated financial statements are described in our 2024 Form 10-K. There have been no material changes to our significant accounting policies during the three and nine months ended September 30, 2025.</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2 Summary of Significant Accounting Policies to our consolidated financial statements included elsewhere in this Quarterly Report on Form 10-Q for a discussion of recent accounting pronouncements.</w:t>
      </w:r>
    </w:p>
    <w:p>
      <w:pPr>
        <w:pStyle w:val="TextBody"/>
        <w:bidi w:val="0"/>
        <w:jc w:val="left"/>
        <w:rPr>
          <w:rFonts w:ascii="Times New Roman" w:hAnsi="Times New Roman"/>
          <w:b/>
          <w:color w:val="000000"/>
          <w:sz w:val="20"/>
          <w:u w:val="single"/>
        </w:rPr>
      </w:pPr>
      <w:bookmarkStart w:id="11" w:name="i_item3"/>
      <w:bookmarkEnd w:id="11"/>
      <w:r>
        <w:rPr>
          <w:rFonts w:ascii="Times New Roman" w:hAnsi="Times New Roman"/>
          <w:b/>
          <w:color w:val="000000"/>
          <w:sz w:val="20"/>
          <w:u w:val="single"/>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in our exposure to market risk from the information provided in "Item 7A. Quantitative and Qualitative Disclosures About Market Risk" in our 2024 Form 10-K.</w:t>
      </w:r>
    </w:p>
    <w:p>
      <w:pPr>
        <w:pStyle w:val="TextBody"/>
        <w:bidi w:val="0"/>
        <w:jc w:val="left"/>
        <w:rPr>
          <w:rFonts w:ascii="Times New Roman" w:hAnsi="Times New Roman"/>
          <w:b/>
          <w:color w:val="000000"/>
          <w:sz w:val="20"/>
          <w:u w:val="single"/>
        </w:rPr>
      </w:pPr>
      <w:bookmarkStart w:id="12" w:name="i_item4"/>
      <w:bookmarkEnd w:id="12"/>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President and Chief Executive Officer and our Chief Financial Officer, have evaluated the effectiveness of our disclosure controls and procedures (as such term is defined in Rules 13a-15(e) and 15d-15(e) under the Securities Exchange Act of 1934, as amended (the “Exchange Act”)) as of September 30, 2025 and concluded our disclosure controls and procedures were effective as of such date to ensure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the Chief Financial Officer, as appropriate to allow timely decisions regarding required disclosure.</w:t>
      </w:r>
    </w:p>
    <w:p>
      <w:pPr>
        <w:pStyle w:val="TextBody"/>
        <w:bidi w:val="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September 30, 2025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u w:val="single"/>
        </w:rPr>
      </w:pPr>
      <w:bookmarkStart w:id="13" w:name="ii_item1"/>
      <w:bookmarkEnd w:id="13"/>
      <w:r>
        <w:rPr>
          <w:rFonts w:ascii="Times New Roman" w:hAnsi="Times New Roman"/>
          <w:b/>
          <w:color w:val="000000"/>
          <w:sz w:val="20"/>
          <w:u w:val="single"/>
        </w:rPr>
        <w:t>Item 1. Legal Proceedings.</w:t>
      </w:r>
    </w:p>
    <w:p>
      <w:pPr>
        <w:pStyle w:val="TextBody"/>
        <w:bidi w:val="0"/>
        <w:spacing w:before="120" w:after="120"/>
        <w:jc w:val="left"/>
        <w:rPr>
          <w:rFonts w:ascii="Times New Roman" w:hAnsi="Times New Roman"/>
          <w:sz w:val="20"/>
        </w:rPr>
      </w:pPr>
      <w:r>
        <w:rPr>
          <w:rFonts w:ascii="Times New Roman" w:hAnsi="Times New Roman"/>
          <w:color w:val="000000"/>
          <w:sz w:val="20"/>
        </w:rPr>
        <w:t>Except as set forth in Note 13 - Commitments &amp; Contingencies to our consolidated financial statements included elsewhere in this Quarterly Report on Form 10-Q, there have been no material changes to the legal proceedings described in Part I "Item 3. Legal Proceedings" and Note 18 Commitments &amp; Contingencies to the consolidated financial statements of our 2024 Form 10-K</w:t>
      </w:r>
      <w:r>
        <w:rPr>
          <w:rFonts w:ascii="Times New Roman" w:hAnsi="Times New Roman"/>
          <w:color w:val="231F20"/>
          <w:sz w:val="20"/>
        </w:rPr>
        <w:t xml:space="preserve">. </w:t>
      </w:r>
    </w:p>
    <w:p>
      <w:pPr>
        <w:pStyle w:val="TextBody"/>
        <w:bidi w:val="0"/>
        <w:jc w:val="left"/>
        <w:rPr>
          <w:rFonts w:ascii="Times New Roman" w:hAnsi="Times New Roman"/>
          <w:b/>
          <w:color w:val="000000"/>
          <w:sz w:val="20"/>
          <w:u w:val="single"/>
        </w:rPr>
      </w:pPr>
      <w:bookmarkStart w:id="14" w:name="ii_item1a"/>
      <w:bookmarkEnd w:id="14"/>
      <w:r>
        <w:rPr>
          <w:rFonts w:ascii="Times New Roman" w:hAnsi="Times New Roman"/>
          <w:b/>
          <w:color w:val="000000"/>
          <w:sz w:val="20"/>
          <w:u w:val="single"/>
        </w:rPr>
        <w:t>Item 1A. Risk Factors.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to the risk factors described in Part I. Item 1A. "Risk Factors" of our 2024 Form 10-K.</w:t>
      </w:r>
    </w:p>
    <w:p>
      <w:pPr>
        <w:pStyle w:val="TextBody"/>
        <w:bidi w:val="0"/>
        <w:jc w:val="left"/>
        <w:rPr>
          <w:rFonts w:ascii="Times New Roman" w:hAnsi="Times New Roman"/>
          <w:b/>
          <w:color w:val="000000"/>
          <w:sz w:val="20"/>
          <w:u w:val="single"/>
        </w:rPr>
      </w:pPr>
      <w:bookmarkStart w:id="15" w:name="ii_item2"/>
      <w:bookmarkEnd w:id="15"/>
      <w:r>
        <w:rPr>
          <w:rFonts w:ascii="Times New Roman" w:hAnsi="Times New Roman"/>
          <w:b/>
          <w:color w:val="000000"/>
          <w:sz w:val="20"/>
          <w:u w:val="single"/>
        </w:rPr>
        <w:t>Item 2. 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16" w:name="ii_item3"/>
      <w:bookmarkEnd w:id="16"/>
      <w:r>
        <w:rPr>
          <w:rFonts w:ascii="Times New Roman" w:hAnsi="Times New Roman"/>
          <w:b/>
          <w:color w:val="000000"/>
          <w:sz w:val="20"/>
          <w:u w:val="single"/>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17" w:name="ii_item4"/>
      <w:bookmarkEnd w:id="17"/>
      <w:r>
        <w:rPr>
          <w:rFonts w:ascii="Times New Roman" w:hAnsi="Times New Roman"/>
          <w:b/>
          <w:color w:val="000000"/>
          <w:sz w:val="20"/>
          <w:u w:val="single"/>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b/>
          <w:color w:val="000000"/>
          <w:sz w:val="20"/>
          <w:u w:val="single"/>
        </w:rPr>
      </w:pPr>
      <w:bookmarkStart w:id="18" w:name="ii_item5"/>
      <w:bookmarkEnd w:id="18"/>
      <w:r>
        <w:rPr>
          <w:rFonts w:ascii="Times New Roman" w:hAnsi="Times New Roman"/>
          <w:b/>
          <w:color w:val="000000"/>
          <w:sz w:val="20"/>
          <w:u w:val="single"/>
        </w:rPr>
        <w:t>Item 5. Other Information.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Rule 10b5-1 Trading Plan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September 30, 2025, none of the directors or officers of the Company adopted, modified or terminated any “Rule 10b5-1 trading arrangement” or “non-Rule 10b5-1 trading arrangement”, as those terms are defined under Item 408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u w:val="single"/>
        </w:rPr>
      </w:pPr>
      <w:bookmarkStart w:id="19" w:name="ii_item6"/>
      <w:bookmarkEnd w:id="19"/>
      <w:r>
        <w:rPr>
          <w:rFonts w:ascii="Times New Roman" w:hAnsi="Times New Roman"/>
          <w:b/>
          <w:color w:val="000000"/>
          <w:sz w:val="20"/>
          <w:u w:val="single"/>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46"/>
        <w:gridCol w:w="5620"/>
        <w:gridCol w:w="511"/>
        <w:gridCol w:w="664"/>
        <w:gridCol w:w="631"/>
        <w:gridCol w:w="654"/>
        <w:gridCol w:w="1244"/>
      </w:tblGrid>
      <w:tr>
        <w:trPr/>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7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Certificate of Incorporation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06/01/2022</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Certificate of Amendment of Amended and Restated Certificate of Incorporation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06/01/2023</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Amended and Restated Bylaws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07/02/2021</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817" w:type="dxa"/>
        <w:jc w:val="left"/>
        <w:tblInd w:w="0" w:type="dxa"/>
        <w:tblLayout w:type="fixed"/>
        <w:tblCellMar>
          <w:top w:w="28" w:type="dxa"/>
          <w:left w:w="28" w:type="dxa"/>
          <w:bottom w:w="28" w:type="dxa"/>
          <w:right w:w="28" w:type="dxa"/>
        </w:tblCellMar>
      </w:tblPr>
      <w:tblGrid>
        <w:gridCol w:w="2011"/>
        <w:gridCol w:w="109"/>
        <w:gridCol w:w="406"/>
        <w:gridCol w:w="429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Mister Car Wash, Inc.</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Chairperson,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1" w:name="mcw-ex31_1.htm"/>
      <w:bookmarkStart w:id="22" w:name="ksmcw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Lai,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2025 of Mister Car Wash,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2011"/>
        <w:gridCol w:w="109"/>
        <w:gridCol w:w="406"/>
        <w:gridCol w:w="409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cw-ex31_2.htm"/>
      <w:bookmarkStart w:id="24" w:name="ksmcw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Jedidiah Gold,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September 30, 2025 of Mister Car Wash,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42" w:type="dxa"/>
        <w:jc w:val="left"/>
        <w:tblInd w:w="0" w:type="dxa"/>
        <w:tblLayout w:type="fixed"/>
        <w:tblCellMar>
          <w:top w:w="28" w:type="dxa"/>
          <w:left w:w="28" w:type="dxa"/>
          <w:bottom w:w="28" w:type="dxa"/>
          <w:right w:w="28" w:type="dxa"/>
        </w:tblCellMar>
      </w:tblPr>
      <w:tblGrid>
        <w:gridCol w:w="2011"/>
        <w:gridCol w:w="109"/>
        <w:gridCol w:w="406"/>
        <w:gridCol w:w="241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mcw-ex32_1.htm"/>
      <w:bookmarkStart w:id="26" w:name="ksmcw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Mister Car Wash, Inc. (the “Company”) on Form 10-Q for the quarterly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2011"/>
        <w:gridCol w:w="109"/>
        <w:gridCol w:w="406"/>
        <w:gridCol w:w="409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mcw-ex32_2.htm"/>
      <w:bookmarkStart w:id="28" w:name="ksmcw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Mister Car Wash, Inc. (the “Company”) on Form 10-Q for the quarterly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942" w:type="dxa"/>
        <w:jc w:val="left"/>
        <w:tblInd w:w="0" w:type="dxa"/>
        <w:tblLayout w:type="fixed"/>
        <w:tblCellMar>
          <w:top w:w="28" w:type="dxa"/>
          <w:left w:w="28" w:type="dxa"/>
          <w:bottom w:w="28" w:type="dxa"/>
          <w:right w:w="28" w:type="dxa"/>
        </w:tblCellMar>
      </w:tblPr>
      <w:tblGrid>
        <w:gridCol w:w="2011"/>
        <w:gridCol w:w="109"/>
        <w:gridCol w:w="406"/>
        <w:gridCol w:w="241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3513/000095017022010967/mcw-ex3_2.htm" TargetMode="External"/><Relationship Id="rId4" Type="http://schemas.openxmlformats.org/officeDocument/2006/relationships/hyperlink" Target="https://www.sec.gov/Archives/edgar/data/1853513/000095017023025696/mcw-ex3_1.htm" TargetMode="External"/><Relationship Id="rId5" Type="http://schemas.openxmlformats.org/officeDocument/2006/relationships/hyperlink" Target="https://www.sec.gov/Archives/edgar/data/1853513/000119312521207571/d197509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15707</Words>
  <Characters>85673</Characters>
  <CharactersWithSpaces>102750</CharactersWithSpaces>
  <Paragraphs>6877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