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175260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207010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7" w:lineRule="exact"/>
        <w:rPr>
          <w:sz w:val="24"/>
          <w:szCs w:val="24"/>
          <w:color w:val="auto"/>
        </w:rPr>
      </w:pPr>
    </w:p>
    <w:p>
      <w:pPr>
        <w:ind w:left="3880" w:right="1620" w:hanging="3859"/>
        <w:spacing w:after="0" w:line="361" w:lineRule="auto"/>
        <w:tabs>
          <w:tab w:leader="none" w:pos="4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8" w:lineRule="exact"/>
        <w:rPr>
          <w:sz w:val="24"/>
          <w:szCs w:val="24"/>
          <w:color w:val="auto"/>
        </w:rPr>
      </w:pPr>
    </w:p>
    <w:p>
      <w:pPr>
        <w:ind w:left="306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191135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Mister Car Wash, Inc.</w:t>
      </w:r>
    </w:p>
    <w:p>
      <w:pPr>
        <w:sectPr>
          <w:pgSz w:w="11900" w:h="16838" w:orient="portrait"/>
          <w:cols w:equalWidth="0" w:num="1">
            <w:col w:w="11240"/>
          </w:cols>
          <w:pgMar w:left="320" w:top="672"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175895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Delaware</w:t>
      </w:r>
    </w:p>
    <w:p>
      <w:pPr>
        <w:ind w:left="2040"/>
        <w:spacing w:after="0" w:line="237"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ind w:left="2200"/>
        <w:spacing w:after="0" w:line="215" w:lineRule="auto"/>
        <w:rPr>
          <w:sz w:val="20"/>
          <w:szCs w:val="20"/>
          <w:color w:val="auto"/>
        </w:rPr>
      </w:pPr>
      <w:r>
        <w:rPr>
          <w:rFonts w:ascii="Times New Roman" w:cs="Times New Roman" w:eastAsia="Times New Roman" w:hAnsi="Times New Roman"/>
          <w:sz w:val="18"/>
          <w:szCs w:val="18"/>
          <w:b w:val="1"/>
          <w:bCs w:val="1"/>
          <w:color w:val="auto"/>
        </w:rPr>
        <w:t>222 E. 5</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8"/>
          <w:szCs w:val="18"/>
          <w:b w:val="1"/>
          <w:bCs w:val="1"/>
          <w:color w:val="auto"/>
        </w:rPr>
        <w:t xml:space="preserve"> Street</w:t>
      </w:r>
    </w:p>
    <w:p>
      <w:pPr>
        <w:ind w:left="2200"/>
        <w:spacing w:after="0"/>
        <w:rPr>
          <w:sz w:val="20"/>
          <w:szCs w:val="20"/>
          <w:color w:val="auto"/>
        </w:rPr>
      </w:pPr>
      <w:r>
        <w:rPr>
          <w:rFonts w:ascii="Times New Roman" w:cs="Times New Roman" w:eastAsia="Times New Roman" w:hAnsi="Times New Roman"/>
          <w:sz w:val="18"/>
          <w:szCs w:val="18"/>
          <w:b w:val="1"/>
          <w:bCs w:val="1"/>
          <w:color w:val="auto"/>
        </w:rPr>
        <w:t>Tucson,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47-1393909</w:t>
      </w:r>
    </w:p>
    <w:p>
      <w:pPr>
        <w:spacing w:after="0" w:line="1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35"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85705</w:t>
      </w:r>
    </w:p>
    <w:p>
      <w:pPr>
        <w:spacing w:after="0" w:line="26" w:lineRule="exact"/>
        <w:rPr>
          <w:sz w:val="24"/>
          <w:szCs w:val="24"/>
          <w:color w:val="auto"/>
        </w:rPr>
      </w:pPr>
    </w:p>
    <w:p>
      <w:pPr>
        <w:sectPr>
          <w:pgSz w:w="11900" w:h="16838" w:orient="portrait"/>
          <w:cols w:equalWidth="0" w:num="2">
            <w:col w:w="7600" w:space="340"/>
            <w:col w:w="3300"/>
          </w:cols>
          <w:pgMar w:left="320" w:top="672"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(520) 615-4000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191135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MCW</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right="20"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100" w:firstLine="599"/>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right="28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3" w:lineRule="exact"/>
        <w:rPr>
          <w:sz w:val="24"/>
          <w:szCs w:val="24"/>
          <w:color w:val="auto"/>
        </w:rPr>
      </w:pPr>
    </w:p>
    <w:p>
      <w:pPr>
        <w:ind w:right="500" w:firstLine="599"/>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 2022, the registrant had 304,292,739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401955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6360" w:type="dxa"/>
            <w:vAlign w:val="bottom"/>
            <w:gridSpan w:val="10"/>
            <w:vMerge w:val="restart"/>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40" w:type="dxa"/>
            <w:vAlign w:val="bottom"/>
            <w:tcBorders>
              <w:bottom w:val="single" w:sz="8" w:color="0000FF"/>
            </w:tcBorders>
            <w:gridSpan w:val="9"/>
            <w:vMerge w:val="continue"/>
          </w:tcPr>
          <w:p>
            <w:pPr>
              <w:spacing w:after="0"/>
              <w:rPr>
                <w:sz w:val="13"/>
                <w:szCs w:val="13"/>
                <w:color w:val="auto"/>
              </w:rPr>
            </w:pPr>
          </w:p>
        </w:tc>
        <w:tc>
          <w:tcPr>
            <w:tcW w:w="6360" w:type="dxa"/>
            <w:vAlign w:val="bottom"/>
            <w:gridSpan w:val="10"/>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auto"/>
              </w:rPr>
              <w:t>Financial Statements (Unaudited)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tcBorders>
              <w:bottom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6"/>
                <w:szCs w:val="16"/>
                <w:color w:val="auto"/>
              </w:rPr>
            </w:pPr>
          </w:p>
        </w:tc>
        <w:tc>
          <w:tcPr>
            <w:tcW w:w="6340" w:type="dxa"/>
            <w:vAlign w:val="bottom"/>
            <w:gridSpan w:val="9"/>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6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34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Operations and Comprehensive Income</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2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1980" w:type="dxa"/>
            <w:vAlign w:val="bottom"/>
            <w:tcBorders>
              <w:top w:val="single" w:sz="8" w:color="0000FF"/>
            </w:tcBorders>
            <w:gridSpan w:val="5"/>
          </w:tcPr>
          <w:p>
            <w:pPr>
              <w:spacing w:after="0"/>
              <w:rPr>
                <w:sz w:val="15"/>
                <w:szCs w:val="15"/>
                <w:color w:val="auto"/>
              </w:rPr>
            </w:pPr>
          </w:p>
        </w:tc>
        <w:tc>
          <w:tcPr>
            <w:tcW w:w="7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6"/>
              </w:rPr>
              <w:t>Condensed Consolidated Statements of Stockholders'</w:t>
            </w:r>
          </w:p>
        </w:tc>
        <w:tc>
          <w:tcPr>
            <w:tcW w:w="5560" w:type="dxa"/>
            <w:vAlign w:val="bottom"/>
            <w:gridSpan w:val="7"/>
          </w:tcPr>
          <w:p>
            <w:pPr>
              <w:ind w:left="140"/>
              <w:spacing w:after="0" w:line="182" w:lineRule="exact"/>
              <w:rPr>
                <w:sz w:val="20"/>
                <w:szCs w:val="20"/>
                <w:color w:val="auto"/>
              </w:rPr>
            </w:pPr>
            <w:r>
              <w:rPr>
                <w:rFonts w:ascii="Times New Roman" w:cs="Times New Roman" w:eastAsia="Times New Roman" w:hAnsi="Times New Roman"/>
                <w:sz w:val="18"/>
                <w:szCs w:val="18"/>
                <w:color w:val="0000FF"/>
              </w:rPr>
              <w:t>Equity</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8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08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400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w:t>
            </w:r>
          </w:p>
        </w:tc>
        <w:tc>
          <w:tcPr>
            <w:tcW w:w="530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60" w:type="dxa"/>
            <w:vAlign w:val="bottom"/>
            <w:tcBorders>
              <w:top w:val="single" w:sz="8" w:color="0000FF"/>
            </w:tcBorders>
            <w:gridSpan w:val="8"/>
          </w:tcPr>
          <w:p>
            <w:pPr>
              <w:spacing w:after="0"/>
              <w:rPr>
                <w:sz w:val="15"/>
                <w:szCs w:val="15"/>
                <w:color w:val="auto"/>
              </w:rPr>
            </w:pPr>
          </w:p>
        </w:tc>
        <w:tc>
          <w:tcPr>
            <w:tcW w:w="49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980" w:type="dxa"/>
            <w:vAlign w:val="bottom"/>
            <w:gridSpan w:val="3"/>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6"/>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8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3"/>
          </w:tcPr>
          <w:p>
            <w:pPr>
              <w:jc w:val="center"/>
              <w:ind w:right="4760"/>
              <w:spacing w:after="0"/>
              <w:rPr>
                <w:sz w:val="20"/>
                <w:szCs w:val="20"/>
                <w:color w:val="auto"/>
              </w:rPr>
            </w:pPr>
            <w:r>
              <w:rPr>
                <w:rFonts w:ascii="Times New Roman" w:cs="Times New Roman" w:eastAsia="Times New Roman" w:hAnsi="Times New Roman"/>
                <w:sz w:val="18"/>
                <w:szCs w:val="18"/>
                <w:color w:val="auto"/>
                <w:w w:val="78"/>
              </w:rPr>
              <w:t>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may be forward-looking. You can generally identify forward-looking statements by our use of forward-looking terminology such as “anticipate,” “believe,” “continue,” “could,” “estimate,” “expect,” “intend,” “may,” “might,” “plan,” “potential,” “predict,” “seek,” “vision,” or “should,” or the negative thereof or other variations thereon or comparable terminology.</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1A. “Risk Factors” and in Part II. Item 7. “Management's Discussion and Analysis of Financial Condition and Results of Operations” of our Annual Report on Form 10-K for the fiscal year ended December 31, 2021 (the “2021 10-K”) and in Part I. Item 2. “Management’s Discussion and Analysis of Financial Condition and Results of Operations” of this Quarterly Report on Form 10-Q. These risks and uncertainties include, but are not limited to:</w:t>
      </w:r>
    </w:p>
    <w:p>
      <w:pPr>
        <w:spacing w:after="0" w:line="257" w:lineRule="exact"/>
        <w:rPr>
          <w:sz w:val="20"/>
          <w:szCs w:val="20"/>
          <w:color w:val="auto"/>
        </w:rPr>
      </w:pPr>
    </w:p>
    <w:p>
      <w:pPr>
        <w:ind w:left="520" w:hanging="512"/>
        <w:spacing w:after="0" w:line="278"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attract new customers, retain existing customers and maintain or grow the number of Unlimited Wash Club (“UWC”) Members, which could adversely affect our business, financial condition and results of operations and rate of growth.</w:t>
      </w:r>
    </w:p>
    <w:p>
      <w:pPr>
        <w:spacing w:after="0" w:line="58" w:lineRule="exact"/>
        <w:rPr>
          <w:rFonts w:ascii="Times New Roman" w:cs="Times New Roman" w:eastAsia="Times New Roman" w:hAnsi="Times New Roman"/>
          <w:sz w:val="14"/>
          <w:szCs w:val="14"/>
          <w:color w:val="auto"/>
        </w:rPr>
      </w:pPr>
    </w:p>
    <w:p>
      <w:pPr>
        <w:ind w:left="520" w:hanging="512"/>
        <w:spacing w:after="0" w:line="278"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acquire or operate new locations in a timely and cost-effective manner, enter into new markets or leverage new technologies, our competitive advantage or financial performance could be materially and adversely affected.</w:t>
      </w:r>
    </w:p>
    <w:p>
      <w:pPr>
        <w:spacing w:after="0" w:line="72"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successfully implement our growth strategies on a timely basis or at all.</w:t>
      </w:r>
    </w:p>
    <w:p>
      <w:pPr>
        <w:spacing w:after="0" w:line="108"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a number of risks and regulations related to credit card and debit card payments we accept.</w:t>
      </w:r>
    </w:p>
    <w:p>
      <w:pPr>
        <w:spacing w:after="0" w:line="108" w:lineRule="exact"/>
        <w:rPr>
          <w:rFonts w:ascii="Times New Roman" w:cs="Times New Roman" w:eastAsia="Times New Roman" w:hAnsi="Times New Roman"/>
          <w:sz w:val="14"/>
          <w:szCs w:val="14"/>
          <w:color w:val="auto"/>
        </w:rPr>
      </w:pPr>
    </w:p>
    <w:p>
      <w:pPr>
        <w:ind w:left="520" w:right="20" w:hanging="512"/>
        <w:spacing w:after="0" w:line="278"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overall decline in the health of the economy and other factors impacting consumer spending, such as natural disasters and fluctuations in inflation, may affect consumer purchases, reduce demand for our services and materially and adversely affect our business, results of operations and financial condition.</w:t>
      </w:r>
    </w:p>
    <w:p>
      <w:pPr>
        <w:spacing w:after="0" w:line="72"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inflation, supply chain disruption and other increased operating costs could materially and adversely affect our results of operations.</w:t>
      </w:r>
    </w:p>
    <w:p>
      <w:pPr>
        <w:spacing w:after="0" w:line="108"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locations may experience difficulty hiring and retaining qualified personnel, resulting in higher labor costs.</w:t>
      </w:r>
    </w:p>
    <w:p>
      <w:pPr>
        <w:spacing w:after="0" w:line="108"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lease or sublease the land and buildings where a number of our locations are situated, which could expose us to possible liabilities and losses.</w:t>
      </w:r>
    </w:p>
    <w:p>
      <w:pPr>
        <w:spacing w:after="0" w:line="108"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could adversely affect our financial health and competitive position.</w:t>
      </w:r>
    </w:p>
    <w:p>
      <w:pPr>
        <w:spacing w:after="0" w:line="122" w:lineRule="exact"/>
        <w:rPr>
          <w:rFonts w:ascii="Times New Roman" w:cs="Times New Roman" w:eastAsia="Times New Roman" w:hAnsi="Times New Roman"/>
          <w:sz w:val="14"/>
          <w:szCs w:val="14"/>
          <w:color w:val="auto"/>
        </w:rPr>
      </w:pPr>
    </w:p>
    <w:p>
      <w:pPr>
        <w:ind w:left="520" w:hanging="512"/>
        <w:spacing w:after="0" w:line="278"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various laws and regulations and changes in such laws and regulations, or failure to comply with existing or future laws and regulations, may result in litigation, investigation or claims by third parties or employees that could adversely affect our business.</w:t>
      </w:r>
    </w:p>
    <w:p>
      <w:pPr>
        <w:spacing w:after="0" w:line="58"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locations are subject to certain environmental laws and regulations.</w:t>
      </w:r>
    </w:p>
    <w:p>
      <w:pPr>
        <w:spacing w:after="0" w:line="108"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data security and privacy risks that could negatively impact our results of operations or reputation.</w:t>
      </w:r>
    </w:p>
    <w:p>
      <w:pPr>
        <w:spacing w:after="0" w:line="122"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adequately protect, and we may incur significant costs in enforcing or defending, our intellectual property and other proprietary rights.</w:t>
      </w:r>
    </w:p>
    <w:p>
      <w:pPr>
        <w:spacing w:after="0" w:line="108" w:lineRule="exact"/>
        <w:rPr>
          <w:rFonts w:ascii="Times New Roman" w:cs="Times New Roman" w:eastAsia="Times New Roman" w:hAnsi="Times New Roman"/>
          <w:sz w:val="14"/>
          <w:szCs w:val="14"/>
          <w:color w:val="auto"/>
        </w:rPr>
      </w:pPr>
    </w:p>
    <w:p>
      <w:pPr>
        <w:ind w:left="520" w:hanging="512"/>
        <w:spacing w:after="0" w:line="278"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 ability to influence corporate matters may be limited because a small number of stockholders beneficially own a substantial amount of our common stock and continue to have substantial control over us.</w:t>
      </w:r>
    </w:p>
    <w:p>
      <w:pPr>
        <w:spacing w:after="0" w:line="58"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may be volatile or may decline regardless of our operating performance, resulting in substantial losses for investors purchasing shares of our common stock.</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Given these and other risks and uncertainties applicable to us, you are cautioned not to place undue reliance on such forward-looking statements. The forward-looking statements included elsewhere in this Quarterly Report on Form 10-Q are not guarantees of future performance and our actual results of operations, financial condition and liquidity, and the development of the industry in which we operate, may differ materially from the forward-looking statements included elsewhere in this Quarterly Report on Form 10-Q. In addition, even if our results of operations, financial condition and liquidity, and events in the industry in which we operate, are consistent with the forward-looking statements included elsewhere in this Quarterly Report on Form 10-Q, they may not be predictive of results or developments in future periods.</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used in this Quarterly Report on Form 10-Q, unless otherwise stated or the context requires otherwise, references to “Mister Car Wash,” “Mister,” the “Company,” “we,” “us,” and “our,” refer to Mister Car Wash, Inc. and its subsidiaries on a consolidated basis.</w:t>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Pr>
          <w:p>
            <w:pPr>
              <w:spacing w:after="0"/>
              <w:rPr>
                <w:sz w:val="17"/>
                <w:szCs w:val="17"/>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37,724</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receivables</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Inventory, net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7,102</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14,312</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75,817</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58,844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521,874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 net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727,107</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718,533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1,100,963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1,060,221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8,090</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2,560,961</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2,448,102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25,512</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payroll and related expenses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accrued expenses</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maturities of operating lease liability</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38,548</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maturities of finance lease liability</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29,353</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27,815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135,863</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portion of debt, net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895,027</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896,336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722,941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717,552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Financing lease liability</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15,123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tax liability</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1,813,555</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1,790,950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620" w:type="dxa"/>
            <w:vAlign w:val="bottom"/>
          </w:tcPr>
          <w:p>
            <w:pPr>
              <w:ind w:left="120"/>
              <w:spacing w:after="0" w:line="148" w:lineRule="exact"/>
              <w:rPr>
                <w:sz w:val="20"/>
                <w:szCs w:val="20"/>
                <w:color w:val="auto"/>
              </w:rPr>
            </w:pPr>
            <w:r>
              <w:rPr>
                <w:rFonts w:ascii="Times New Roman" w:cs="Times New Roman" w:eastAsia="Times New Roman" w:hAnsi="Times New Roman"/>
                <w:sz w:val="16"/>
                <w:szCs w:val="16"/>
                <w:color w:val="auto"/>
              </w:rPr>
              <w:t>Common stock, $0.01 par value, 1,000,000,000 shares authorized, 303,917,168 and 300,120,451 shares</w:t>
            </w:r>
          </w:p>
        </w:tc>
        <w:tc>
          <w:tcPr>
            <w:tcW w:w="2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 as of June 30, 2022 and December 31, 2021, respectively</w:t>
            </w: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769,242</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752,343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(27,276 )</w:t>
            </w: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(98,423 )</w:t>
            </w:r>
          </w:p>
        </w:tc>
        <w:tc>
          <w:tcPr>
            <w:tcW w:w="0" w:type="dxa"/>
            <w:vAlign w:val="bottom"/>
          </w:tcPr>
          <w:p>
            <w:pPr>
              <w:spacing w:after="0"/>
              <w:rPr>
                <w:sz w:val="1"/>
                <w:szCs w:val="1"/>
                <w:color w:val="auto"/>
              </w:rPr>
            </w:pPr>
          </w:p>
        </w:tc>
      </w:tr>
      <w:tr>
        <w:trPr>
          <w:trHeight w:val="196"/>
        </w:trPr>
        <w:tc>
          <w:tcPr>
            <w:tcW w:w="7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747,406</w:t>
            </w: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657,152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2,560,961</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2,448,102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-4331970</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-4331970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-3415665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-3398520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-3415665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-3398520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-2233930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-2233930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-1318260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-299085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-24765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unaudited condensed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ind w:left="476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60" w:type="dxa"/>
            <w:vAlign w:val="bottom"/>
          </w:tcPr>
          <w:p>
            <w:pPr>
              <w:spacing w:after="0"/>
              <w:rPr>
                <w:sz w:val="20"/>
                <w:szCs w:val="20"/>
                <w:color w:val="auto"/>
              </w:rPr>
            </w:pPr>
          </w:p>
        </w:tc>
        <w:tc>
          <w:tcPr>
            <w:tcW w:w="2540" w:type="dxa"/>
            <w:vAlign w:val="bottom"/>
            <w:gridSpan w:val="5"/>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6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225,159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197,080</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444,578</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372,588</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139,613</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79,029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65,363</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156,830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126,446</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188,896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203,857</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(3,146 )</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(7,097 )</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(2,687 )</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(6,307 )</w:t>
            </w:r>
          </w:p>
        </w:tc>
      </w:tr>
      <w:tr>
        <w:trPr>
          <w:trHeight w:val="209"/>
        </w:trPr>
        <w:tc>
          <w:tcPr>
            <w:tcW w:w="5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170,844</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335,026</w:t>
            </w:r>
          </w:p>
        </w:tc>
        <w:tc>
          <w:tcPr>
            <w:tcW w:w="3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338,329</w:t>
            </w:r>
          </w:p>
        </w:tc>
        <w:tc>
          <w:tcPr>
            <w:tcW w:w="3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463,609</w:t>
            </w:r>
          </w:p>
        </w:tc>
        <w:tc>
          <w:tcPr>
            <w:tcW w:w="100" w:type="dxa"/>
            <w:vAlign w:val="bottom"/>
            <w:tcBorders>
              <w:top w:val="single" w:sz="8" w:color="CFF0FC"/>
            </w:tcBorders>
          </w:tcPr>
          <w:p>
            <w:pPr>
              <w:spacing w:after="0"/>
              <w:rPr>
                <w:sz w:val="18"/>
                <w:szCs w:val="18"/>
                <w:color w:val="auto"/>
              </w:rPr>
            </w:pPr>
          </w:p>
        </w:tc>
      </w:tr>
      <w:tr>
        <w:trPr>
          <w:trHeight w:val="20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(137,946</w:t>
            </w:r>
          </w:p>
        </w:tc>
        <w:tc>
          <w:tcPr>
            <w:tcW w:w="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106,249</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(91,021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31"/>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16,928</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27,699</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Pr>
          <w:p>
            <w:pPr>
              <w:spacing w:after="0"/>
              <w:rPr>
                <w:sz w:val="18"/>
                <w:szCs w:val="18"/>
                <w:color w:val="auto"/>
              </w:rPr>
            </w:pPr>
          </w:p>
        </w:tc>
      </w:tr>
      <w:tr>
        <w:trPr>
          <w:trHeight w:val="209"/>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16,923</w:t>
            </w: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16,928</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(154,869 )</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(121,903 )</w:t>
            </w: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(44,569 )</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18,174</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(36,187 )</w:t>
            </w:r>
          </w:p>
        </w:tc>
      </w:tr>
      <w:tr>
        <w:trPr>
          <w:trHeight w:val="20"/>
        </w:trPr>
        <w:tc>
          <w:tcPr>
            <w:tcW w:w="56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(110,300 )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71,147</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(85,716 )</w:t>
            </w:r>
          </w:p>
        </w:tc>
      </w:tr>
      <w:tr>
        <w:trPr>
          <w:trHeight w:val="209"/>
        </w:trPr>
        <w:tc>
          <w:tcPr>
            <w:tcW w:w="5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r>
      <w:tr>
        <w:trPr>
          <w:trHeight w:val="249"/>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35,960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(110,272</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73,317</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12"/>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(0.42 )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(0.33 )</w:t>
            </w: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6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2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(0.42 )</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3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(0.33 )</w:t>
            </w:r>
          </w:p>
        </w:tc>
      </w:tr>
      <w:tr>
        <w:trPr>
          <w:trHeight w:val="20"/>
        </w:trPr>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6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302,666,291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264,274,968</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301,803,664</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263,218,870</w:t>
            </w:r>
          </w:p>
        </w:tc>
        <w:tc>
          <w:tcPr>
            <w:tcW w:w="100" w:type="dxa"/>
            <w:vAlign w:val="bottom"/>
          </w:tcPr>
          <w:p>
            <w:pPr>
              <w:spacing w:after="0"/>
              <w:rPr>
                <w:sz w:val="18"/>
                <w:szCs w:val="18"/>
                <w:color w:val="auto"/>
              </w:rPr>
            </w:pPr>
          </w:p>
        </w:tc>
      </w:tr>
      <w:tr>
        <w:trPr>
          <w:trHeight w:val="209"/>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327,229,531</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264,274,968</w:t>
            </w: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328,205,776</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263,218,870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-3030220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-3030220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-3030220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-3030220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-2045970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-2045970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-2045970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-1763395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-1763395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-1763395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-1763395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-1052830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-1035685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-1052830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-1035685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-1052830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-1035685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-615950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-598805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-615950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-598805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-615950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-598805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-615950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unaudited condensed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ind w:left="476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(Amounts in thousands)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6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71,147</w:t>
            </w:r>
          </w:p>
        </w:tc>
        <w:tc>
          <w:tcPr>
            <w:tcW w:w="280" w:type="dxa"/>
            <w:vAlign w:val="bottom"/>
          </w:tcPr>
          <w:p>
            <w:pPr>
              <w:spacing w:after="0"/>
              <w:rPr>
                <w:sz w:val="17"/>
                <w:szCs w:val="17"/>
                <w:color w:val="auto"/>
              </w:rPr>
            </w:pP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(85,716 )</w:t>
            </w: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30,081</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23,550</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11,498</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203,541</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sale of assets</w:t>
            </w:r>
          </w:p>
        </w:tc>
        <w:tc>
          <w:tcPr>
            <w:tcW w:w="10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(2,687 )</w:t>
            </w:r>
          </w:p>
        </w:tc>
        <w:tc>
          <w:tcPr>
            <w:tcW w:w="10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(6,307 )</w:t>
            </w:r>
          </w:p>
        </w:tc>
      </w:tr>
      <w:tr>
        <w:trPr>
          <w:trHeight w:val="202"/>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19,433</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17,182</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13,983</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(38,440 )</w:t>
            </w:r>
          </w:p>
        </w:tc>
      </w:tr>
      <w:tr>
        <w:trPr>
          <w:trHeight w:val="202"/>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(1,017 )</w:t>
            </w:r>
          </w:p>
        </w:tc>
        <w:tc>
          <w:tcPr>
            <w:tcW w:w="10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(1,783 )</w:t>
            </w:r>
          </w:p>
        </w:tc>
      </w:tr>
      <w:tr>
        <w:trPr>
          <w:trHeight w:val="202"/>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receivables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(1,998 )</w:t>
            </w:r>
          </w:p>
        </w:tc>
      </w:tr>
      <w:tr>
        <w:trPr>
          <w:trHeight w:val="202"/>
        </w:trPr>
        <w:tc>
          <w:tcPr>
            <w:tcW w:w="7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Inventory, net</w:t>
            </w:r>
          </w:p>
        </w:tc>
        <w:tc>
          <w:tcPr>
            <w:tcW w:w="10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(692 )</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(3,129 )</w:t>
            </w:r>
          </w:p>
        </w:tc>
        <w:tc>
          <w:tcPr>
            <w:tcW w:w="10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(2,196 )</w:t>
            </w:r>
          </w:p>
        </w:tc>
      </w:tr>
      <w:tr>
        <w:trPr>
          <w:trHeight w:val="202"/>
        </w:trPr>
        <w:tc>
          <w:tcPr>
            <w:tcW w:w="7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14,926</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Accrued expenses</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(1,119 )</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8,614</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(18,374 )</w:t>
            </w:r>
          </w:p>
        </w:tc>
        <w:tc>
          <w:tcPr>
            <w:tcW w:w="10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(16,446 )</w:t>
            </w:r>
          </w:p>
        </w:tc>
      </w:tr>
      <w:tr>
        <w:trPr>
          <w:trHeight w:val="202"/>
        </w:trPr>
        <w:tc>
          <w:tcPr>
            <w:tcW w:w="7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0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(1,359 )</w:t>
            </w:r>
          </w:p>
        </w:tc>
        <w:tc>
          <w:tcPr>
            <w:tcW w:w="10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(1,012 )</w:t>
            </w:r>
          </w:p>
        </w:tc>
      </w:tr>
      <w:tr>
        <w:trPr>
          <w:trHeight w:val="196"/>
        </w:trPr>
        <w:tc>
          <w:tcPr>
            <w:tcW w:w="7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top w:val="single" w:sz="8" w:color="auto"/>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134,615</w:t>
            </w:r>
          </w:p>
        </w:tc>
        <w:tc>
          <w:tcPr>
            <w:tcW w:w="2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395"/>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(76,399 )</w:t>
            </w:r>
          </w:p>
        </w:tc>
        <w:tc>
          <w:tcPr>
            <w:tcW w:w="10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(44,194 )</w:t>
            </w: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car wash operations, net of cash</w:t>
            </w:r>
          </w:p>
        </w:tc>
        <w:tc>
          <w:tcPr>
            <w:tcW w:w="10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(47,039 )</w:t>
            </w:r>
          </w:p>
        </w:tc>
        <w:tc>
          <w:tcPr>
            <w:tcW w:w="10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(44,652 )</w:t>
            </w:r>
          </w:p>
        </w:tc>
      </w:tr>
      <w:tr>
        <w:trPr>
          <w:trHeight w:val="202"/>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3,672</w:t>
            </w:r>
          </w:p>
        </w:tc>
        <w:tc>
          <w:tcPr>
            <w:tcW w:w="2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8"/>
              </w:rPr>
              <w:t>(119,766 )</w:t>
            </w: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(66,645 )</w:t>
            </w:r>
          </w:p>
        </w:tc>
      </w:tr>
      <w:tr>
        <w:trPr>
          <w:trHeight w:val="196"/>
        </w:trPr>
        <w:tc>
          <w:tcPr>
            <w:tcW w:w="76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pursuant to initial public offering</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468,750</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employee plans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5,436</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repurchases of common stock</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(308 )</w:t>
            </w: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secondary public offering for employee tax withholdings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14,874</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withholdings paid on behalf of employees for secondary public offering</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(14,874 )</w:t>
            </w: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on debt borrowings</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(2,100 )</w:t>
            </w:r>
          </w:p>
        </w:tc>
        <w:tc>
          <w:tcPr>
            <w:tcW w:w="10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8"/>
              </w:rPr>
              <w:t>(454,872 )</w:t>
            </w: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debt extinguishment costs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of deferred debt issuance costs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(226 )</w:t>
            </w: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10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(274 )</w:t>
            </w:r>
          </w:p>
        </w:tc>
        <w:tc>
          <w:tcPr>
            <w:tcW w:w="10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(240 )</w:t>
            </w: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of issuance costs pursuant to initial public offering</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(25,761 )</w:t>
            </w:r>
          </w:p>
        </w:tc>
      </w:tr>
      <w:tr>
        <w:trPr>
          <w:trHeight w:val="20"/>
        </w:trPr>
        <w:tc>
          <w:tcPr>
            <w:tcW w:w="76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280" w:type="dxa"/>
            <w:vAlign w:val="bottom"/>
          </w:tcPr>
          <w:p>
            <w:pPr>
              <w:spacing w:after="0"/>
              <w:rPr>
                <w:sz w:val="17"/>
                <w:szCs w:val="17"/>
                <w:color w:val="auto"/>
              </w:rPr>
            </w:pP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(12,564 )</w:t>
            </w:r>
          </w:p>
        </w:tc>
      </w:tr>
      <w:tr>
        <w:trPr>
          <w:trHeight w:val="196"/>
        </w:trPr>
        <w:tc>
          <w:tcPr>
            <w:tcW w:w="76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 during period</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17,911</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40,466</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19,858</w:t>
            </w:r>
          </w:p>
        </w:tc>
        <w:tc>
          <w:tcPr>
            <w:tcW w:w="2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117,874</w:t>
            </w:r>
          </w:p>
        </w:tc>
        <w:tc>
          <w:tcPr>
            <w:tcW w:w="100" w:type="dxa"/>
            <w:vAlign w:val="bottom"/>
          </w:tcPr>
          <w:p>
            <w:pPr>
              <w:spacing w:after="0"/>
              <w:rPr>
                <w:sz w:val="17"/>
                <w:szCs w:val="17"/>
                <w:color w:val="auto"/>
              </w:rPr>
            </w:pPr>
          </w:p>
        </w:tc>
      </w:tr>
      <w:tr>
        <w:trPr>
          <w:trHeight w:val="23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100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37,769</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158,340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0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16,134</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27,577</w:t>
            </w:r>
          </w:p>
        </w:tc>
        <w:tc>
          <w:tcPr>
            <w:tcW w:w="100" w:type="dxa"/>
            <w:vAlign w:val="bottom"/>
            <w:shd w:val="clear" w:color="auto" w:fill="CFF0FC"/>
          </w:tcPr>
          <w:p>
            <w:pPr>
              <w:spacing w:after="0"/>
              <w:rPr>
                <w:sz w:val="17"/>
                <w:szCs w:val="17"/>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280" w:type="dxa"/>
            <w:vAlign w:val="bottom"/>
          </w:tcPr>
          <w:p>
            <w:pPr>
              <w:spacing w:after="0"/>
              <w:rPr>
                <w:sz w:val="18"/>
                <w:szCs w:val="18"/>
                <w:color w:val="auto"/>
              </w:rPr>
            </w:pP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5,594</w:t>
            </w:r>
          </w:p>
        </w:tc>
        <w:tc>
          <w:tcPr>
            <w:tcW w:w="100" w:type="dxa"/>
            <w:vAlign w:val="bottom"/>
          </w:tcPr>
          <w:p>
            <w:pPr>
              <w:spacing w:after="0"/>
              <w:rPr>
                <w:sz w:val="18"/>
                <w:szCs w:val="18"/>
                <w:color w:val="auto"/>
              </w:rPr>
            </w:pPr>
          </w:p>
        </w:tc>
      </w:tr>
      <w:tr>
        <w:trPr>
          <w:trHeight w:val="194"/>
        </w:trPr>
        <w:tc>
          <w:tcPr>
            <w:tcW w:w="7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in accounts payable</w:t>
            </w: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9,182</w:t>
            </w:r>
          </w:p>
        </w:tc>
        <w:tc>
          <w:tcPr>
            <w:tcW w:w="280" w:type="dxa"/>
            <w:vAlign w:val="bottom"/>
          </w:tcPr>
          <w:p>
            <w:pPr>
              <w:spacing w:after="0"/>
              <w:rPr>
                <w:sz w:val="17"/>
                <w:szCs w:val="17"/>
                <w:color w:val="auto"/>
              </w:rPr>
            </w:pP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accrued in other accrued expenses</w:t>
            </w:r>
          </w:p>
        </w:tc>
        <w:tc>
          <w:tcPr>
            <w:tcW w:w="10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employee plans in other receivables</w:t>
            </w: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7"/>
                <w:szCs w:val="17"/>
                <w:color w:val="auto"/>
              </w:rPr>
            </w:pP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offering costs in accounts payable and other accrued expenses</w:t>
            </w:r>
          </w:p>
        </w:tc>
        <w:tc>
          <w:tcPr>
            <w:tcW w:w="10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-4314825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-4314825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-3663950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-3663950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-1977390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-1977390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-1309370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-1292225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-1309370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unaudited condensed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Mister Car Wash,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(Amounts in thousands, except share and per share data)</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79"/>
              <w:spacing w:after="0" w:line="165"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4"/>
                <w:szCs w:val="14"/>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32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300,120,45</w:t>
            </w:r>
          </w:p>
        </w:tc>
        <w:tc>
          <w:tcPr>
            <w:tcW w:w="5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4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752,343</w:t>
            </w:r>
          </w:p>
        </w:tc>
        <w:tc>
          <w:tcPr>
            <w:tcW w:w="4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38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(98,423 )</w:t>
            </w:r>
          </w:p>
        </w:tc>
        <w:tc>
          <w:tcPr>
            <w:tcW w:w="2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657,152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200" w:type="dxa"/>
            <w:vAlign w:val="bottom"/>
            <w:vMerge w:val="continue"/>
            <w:shd w:val="clear" w:color="auto" w:fill="CFF0FC"/>
          </w:tcPr>
          <w:p>
            <w:pPr>
              <w:spacing w:after="0"/>
              <w:rPr>
                <w:sz w:val="10"/>
                <w:szCs w:val="10"/>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40" w:type="dxa"/>
            <w:vAlign w:val="bottom"/>
            <w:gridSpan w:val="2"/>
            <w:vMerge w:val="continue"/>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440" w:type="dxa"/>
            <w:vAlign w:val="bottom"/>
            <w:gridSpan w:val="2"/>
            <w:vMerge w:val="continue"/>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440" w:type="dxa"/>
            <w:vAlign w:val="bottom"/>
            <w:gridSpan w:val="2"/>
            <w:vMerge w:val="continue"/>
            <w:shd w:val="clear" w:color="auto" w:fill="CFF0FC"/>
          </w:tcPr>
          <w:p>
            <w:pPr>
              <w:spacing w:after="0"/>
              <w:rPr>
                <w:sz w:val="10"/>
                <w:szCs w:val="10"/>
                <w:color w:val="auto"/>
              </w:rPr>
            </w:pPr>
          </w:p>
        </w:tc>
        <w:tc>
          <w:tcPr>
            <w:tcW w:w="1260" w:type="dxa"/>
            <w:vAlign w:val="bottom"/>
            <w:vMerge w:val="continue"/>
            <w:shd w:val="clear" w:color="auto" w:fill="CFF0FC"/>
          </w:tcPr>
          <w:p>
            <w:pPr>
              <w:spacing w:after="0"/>
              <w:rPr>
                <w:sz w:val="10"/>
                <w:szCs w:val="10"/>
                <w:color w:val="auto"/>
              </w:rPr>
            </w:pPr>
          </w:p>
        </w:tc>
        <w:tc>
          <w:tcPr>
            <w:tcW w:w="380" w:type="dxa"/>
            <w:vAlign w:val="bottom"/>
            <w:gridSpan w:val="2"/>
            <w:vMerge w:val="continue"/>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9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200" w:type="dxa"/>
            <w:vAlign w:val="bottom"/>
            <w:shd w:val="clear" w:color="auto" w:fill="CFF0FC"/>
          </w:tcPr>
          <w:p>
            <w:pPr>
              <w:spacing w:after="0"/>
              <w:rPr>
                <w:sz w:val="7"/>
                <w:szCs w:val="7"/>
                <w:color w:val="auto"/>
              </w:rPr>
            </w:pPr>
          </w:p>
        </w:tc>
        <w:tc>
          <w:tcPr>
            <w:tcW w:w="880" w:type="dxa"/>
            <w:vAlign w:val="bottom"/>
            <w:vMerge w:val="continue"/>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1,486,727</w:t>
            </w: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35,488</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2022</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301,607,17</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759,173</w:t>
            </w: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(62,935 )</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701,354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00" w:type="dxa"/>
            <w:vAlign w:val="bottom"/>
            <w:vMerge w:val="continue"/>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54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200" w:type="dxa"/>
            <w:vAlign w:val="bottom"/>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-264795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-264795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-264795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-264795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-264795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2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12" w:lineRule="exact"/>
        <w:rPr>
          <w:sz w:val="20"/>
          <w:szCs w:val="20"/>
          <w:color w:val="auto"/>
        </w:rPr>
      </w:pPr>
    </w:p>
    <w:p>
      <w:pPr>
        <w:ind w:left="120"/>
        <w:spacing w:after="0" w:line="244" w:lineRule="auto"/>
        <w:rPr>
          <w:sz w:val="20"/>
          <w:szCs w:val="20"/>
          <w:color w:val="auto"/>
        </w:rPr>
      </w:pPr>
      <w:r>
        <w:rPr>
          <w:rFonts w:ascii="Times New Roman" w:cs="Times New Roman" w:eastAsia="Times New Roman" w:hAnsi="Times New Roman"/>
          <w:sz w:val="16"/>
          <w:szCs w:val="16"/>
          <w:color w:val="auto"/>
        </w:rPr>
        <w:t>Issuance of common stock under employee plans</w:t>
      </w:r>
    </w:p>
    <w:p>
      <w:pPr>
        <w:ind w:left="120"/>
        <w:spacing w:after="0"/>
        <w:rPr>
          <w:sz w:val="20"/>
          <w:szCs w:val="20"/>
          <w:color w:val="auto"/>
        </w:rPr>
      </w:pPr>
      <w:r>
        <w:rPr>
          <w:rFonts w:ascii="Times New Roman" w:cs="Times New Roman" w:eastAsia="Times New Roman" w:hAnsi="Times New Roman"/>
          <w:sz w:val="16"/>
          <w:szCs w:val="16"/>
          <w:color w:val="auto"/>
        </w:rPr>
        <w:t>Vesting of restricted stock units</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Gain on interest rate swap</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 income</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0" w:type="dxa"/>
            <w:vAlign w:val="bottom"/>
          </w:tcPr>
          <w:p>
            <w:pPr>
              <w:spacing w:after="0"/>
              <w:rPr>
                <w:sz w:val="1"/>
                <w:szCs w:val="1"/>
                <w:color w:val="auto"/>
              </w:rPr>
            </w:pPr>
          </w:p>
        </w:tc>
      </w:tr>
      <w:tr>
        <w:trPr>
          <w:trHeight w:val="269"/>
        </w:trPr>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251,003</w:t>
            </w: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0" w:type="dxa"/>
            <w:vAlign w:val="bottom"/>
          </w:tcPr>
          <w:p>
            <w:pPr>
              <w:spacing w:after="0"/>
              <w:rPr>
                <w:sz w:val="1"/>
                <w:szCs w:val="1"/>
                <w:color w:val="auto"/>
              </w:rPr>
            </w:pPr>
          </w:p>
        </w:tc>
      </w:tr>
      <w:tr>
        <w:trPr>
          <w:trHeight w:val="275"/>
        </w:trPr>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457,372</w:t>
            </w: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(5 )</w:t>
            </w: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1,601,615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0" w:type="dxa"/>
            <w:vAlign w:val="bottom"/>
          </w:tcPr>
          <w:p>
            <w:pPr>
              <w:spacing w:after="0"/>
              <w:rPr>
                <w:sz w:val="1"/>
                <w:szCs w:val="1"/>
                <w:color w:val="auto"/>
              </w:rPr>
            </w:pPr>
          </w:p>
        </w:tc>
      </w:tr>
      <w:tr>
        <w:trPr>
          <w:trHeight w:val="202"/>
        </w:trPr>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3"/>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35,659</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35,659</w:t>
            </w:r>
          </w:p>
        </w:tc>
        <w:tc>
          <w:tcPr>
            <w:tcW w:w="0" w:type="dxa"/>
            <w:vAlign w:val="bottom"/>
          </w:tcPr>
          <w:p>
            <w:pPr>
              <w:spacing w:after="0"/>
              <w:rPr>
                <w:sz w:val="1"/>
                <w:szCs w:val="1"/>
                <w:color w:val="auto"/>
              </w:rPr>
            </w:pPr>
          </w:p>
        </w:tc>
      </w:tr>
      <w:tr>
        <w:trPr>
          <w:trHeight w:val="158"/>
        </w:trPr>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303,917,16</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769,242</w:t>
            </w:r>
          </w:p>
        </w:tc>
        <w:tc>
          <w:tcPr>
            <w:tcW w:w="340" w:type="dxa"/>
            <w:vAlign w:val="bottom"/>
          </w:tcPr>
          <w:p>
            <w:pPr>
              <w:spacing w:after="0"/>
              <w:rPr>
                <w:sz w:val="13"/>
                <w:szCs w:val="13"/>
                <w:color w:val="auto"/>
              </w:rPr>
            </w:pPr>
          </w:p>
        </w:tc>
        <w:tc>
          <w:tcPr>
            <w:tcW w:w="54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5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(27,276 )  $</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747,406</w:t>
            </w:r>
          </w:p>
        </w:tc>
        <w:tc>
          <w:tcPr>
            <w:tcW w:w="0" w:type="dxa"/>
            <w:vAlign w:val="bottom"/>
          </w:tcPr>
          <w:p>
            <w:pPr>
              <w:spacing w:after="0"/>
              <w:rPr>
                <w:sz w:val="1"/>
                <w:szCs w:val="1"/>
                <w:color w:val="auto"/>
              </w:rPr>
            </w:pPr>
          </w:p>
        </w:tc>
      </w:tr>
      <w:tr>
        <w:trPr>
          <w:trHeight w:val="116"/>
        </w:trPr>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76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8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-757555</wp:posOffset>
            </wp:positionV>
            <wp:extent cx="7132320" cy="1282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-501015</wp:posOffset>
            </wp:positionV>
            <wp:extent cx="7132320" cy="1282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-235585</wp:posOffset>
            </wp:positionV>
            <wp:extent cx="7132320" cy="2311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280"/>
            <w:col w:w="8040"/>
          </w:cols>
          <w:pgMar w:left="320" w:top="3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2"/>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40"/>
              <w:spacing w:after="0" w:line="165"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144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34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6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261,907,62</w:t>
            </w:r>
          </w:p>
        </w:tc>
        <w:tc>
          <w:tcPr>
            <w:tcW w:w="38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91,523</w:t>
            </w:r>
          </w:p>
        </w:tc>
        <w:tc>
          <w:tcPr>
            <w:tcW w:w="3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(1,117 )</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(76,378 )</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16,650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3180" w:type="dxa"/>
            <w:vAlign w:val="bottom"/>
            <w:vMerge w:val="continue"/>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688,430</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Shares repurchased</w:t>
            </w:r>
          </w:p>
        </w:tc>
        <w:tc>
          <w:tcPr>
            <w:tcW w:w="1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(180,681 )</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(534 )</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(534 )</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24,584</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24,584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2021</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262,415,37</w:t>
            </w:r>
          </w:p>
        </w:tc>
        <w:tc>
          <w:tcPr>
            <w:tcW w:w="3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91,559</w:t>
            </w:r>
          </w:p>
        </w:tc>
        <w:tc>
          <w:tcPr>
            <w:tcW w:w="3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(798 )</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(51,794 )</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41,596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180" w:type="dxa"/>
            <w:vAlign w:val="bottom"/>
            <w:vMerge w:val="continue"/>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318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6"/>
                <w:szCs w:val="16"/>
                <w:color w:val="auto"/>
              </w:rPr>
              <w:t>Issuance of common stock pursuant to initial</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31,250,000</w:t>
            </w: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439,243</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439,556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318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public offering, net of issuance of $29,194</w:t>
            </w:r>
          </w:p>
        </w:tc>
        <w:tc>
          <w:tcPr>
            <w:tcW w:w="880" w:type="dxa"/>
            <w:vAlign w:val="bottom"/>
            <w:vMerge w:val="continue"/>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4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3180" w:type="dxa"/>
            <w:vAlign w:val="bottom"/>
            <w:vMerge w:val="continue"/>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203,231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7,680</w:t>
            </w: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2,516,784</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Shares repurchased</w:t>
            </w:r>
          </w:p>
        </w:tc>
        <w:tc>
          <w:tcPr>
            <w:tcW w:w="1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(127,357 )</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(1,716 )</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(1,716 )</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(110,300 )</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(110,300 )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3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2021</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296,062,47</w:t>
            </w:r>
          </w:p>
        </w:tc>
        <w:tc>
          <w:tcPr>
            <w:tcW w:w="3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2,967</w:t>
            </w:r>
          </w:p>
        </w:tc>
        <w:tc>
          <w:tcPr>
            <w:tcW w:w="300" w:type="dxa"/>
            <w:vAlign w:val="bottom"/>
            <w:vMerge w:val="restart"/>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733,914</w:t>
            </w:r>
          </w:p>
        </w:tc>
        <w:tc>
          <w:tcPr>
            <w:tcW w:w="3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(770 )</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(162,094 )</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574,017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3180" w:type="dxa"/>
            <w:vAlign w:val="bottom"/>
            <w:vMerge w:val="continue"/>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8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-1511300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-1511300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-1511300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-1511300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-1511300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-1511300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-243840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-243840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-243840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-243840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-243840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-243840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See accompanying notes to unaudited condensed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64135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60" w:top="312" w:right="39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  Nature of Business</w:t>
      </w:r>
    </w:p>
    <w:p>
      <w:pPr>
        <w:spacing w:after="0" w:line="1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231F20"/>
        </w:rPr>
        <w:t xml:space="preserve">Mister Car Wash, Inc., together with its subsidiaries (collectively,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is a Delaware corporation based in Tucson, Arizona and provider of conveyorized car wash services. The Company primarily operates Express Exterior Locations, which offers express exterior cleaning services along with free vacuum services, and interior cleaning services at select locations. As of June 30, 2022, the Company operated 409 car washes in 21 states.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Stock Split</w:t>
      </w:r>
    </w:p>
    <w:p>
      <w:pPr>
        <w:spacing w:after="0" w:line="10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In June 2021, the Company's board of directors (the “Board”) and the stockholders of the Company approved a 96-for-1 forward stock split of the Company’s outstanding common stock, which was effective on June 16, 2021. All common stock and per share information has been retroactively adjusted to give effect to this forward stock split for all periods presented. Shares of common stock underlying outstanding stock options and other equity instruments were proportionately increased and the respective per share value and exercise prices, if applicable, were proportionately decreased in accordance with the terms of the agreements governing such securities. There were no changes to the par value per share of the Company’s common stock as a result of the forward stock split. Additionally, the Board and the stockholders of the Company approved an increase in the authorized shares of common stock to 1,000,000,000 shares.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0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 xml:space="preserve">In June 2021, the Company completed its initial public offering (“IPO”) of 43,125,000 shares of common stock at a public offering price of $15.00 per share. The Company sold 31,250,000 shares of common stock and the selling stockholders identified </w:t>
      </w:r>
      <w:r>
        <w:rPr>
          <w:rFonts w:ascii="Times New Roman" w:cs="Times New Roman" w:eastAsia="Times New Roman" w:hAnsi="Times New Roman"/>
          <w:sz w:val="18"/>
          <w:szCs w:val="18"/>
          <w:color w:val="231F20"/>
        </w:rPr>
        <w:t>in the Company’s final prospectus that forms a part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Company’s Registration Statement on Form S-1 (File No. 333-256697), filed with the SEC pursuant to Rule 424(b)(4) on June 28, 2021 (the “Prospectus”), </w:t>
      </w:r>
      <w:r>
        <w:rPr>
          <w:rFonts w:ascii="Times New Roman" w:cs="Times New Roman" w:eastAsia="Times New Roman" w:hAnsi="Times New Roman"/>
          <w:sz w:val="18"/>
          <w:szCs w:val="18"/>
          <w:color w:val="000000"/>
        </w:rPr>
        <w:t>sold an aggregate amount of 11,875,000 shares of common stock, which selling stockholder amount included the underwriters' option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purchase up to an additional 5,625,000 shares of common stock. The Company received gross proceeds of approximately $468,750 before deducting underwriting discounts, commissions and offering related issuance costs; the Company did not receive any proceeds from the sale of shares by the selling stockholders. The unaudited condensed consolidated financial statements as of June 30, 2022, including share and per share amounts, include the effects of the IPO.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Public Offering</w:t>
      </w:r>
    </w:p>
    <w:p>
      <w:pPr>
        <w:spacing w:after="0" w:line="12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 xml:space="preserve">In August 2021, the Company completed a secondary public offering of 12,000,000 shares of common stock sold by the selling stockholders identified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Company’s final prospectus that forms a part of the Company’s Registration Statement on Form S-1 (File No. 333-258186), filed with the SEC pursuant to Rule 424(b)(5) on August 24, 2021. T</w:t>
      </w:r>
      <w:r>
        <w:rPr>
          <w:rFonts w:ascii="Times New Roman" w:cs="Times New Roman" w:eastAsia="Times New Roman" w:hAnsi="Times New Roman"/>
          <w:sz w:val="18"/>
          <w:szCs w:val="18"/>
          <w:color w:val="000000"/>
        </w:rPr>
        <w:t>he Company did not receive any proceeds from the sale of shares by the selling stockholders, and the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incurred $498 of expenses in connection with the secondary public offering, which were recorded in general and administrative expenses in </w:t>
      </w:r>
      <w:r>
        <w:rPr>
          <w:rFonts w:ascii="Times New Roman" w:cs="Times New Roman" w:eastAsia="Times New Roman" w:hAnsi="Times New Roman"/>
          <w:sz w:val="18"/>
          <w:szCs w:val="18"/>
          <w:color w:val="231F20"/>
        </w:rPr>
        <w:t>the unaudited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condensed consolidated statements of operations and comprehensive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Summary of Significant Accounting Policies</w:t>
      </w:r>
    </w:p>
    <w:p>
      <w:pPr>
        <w:spacing w:after="0" w:line="12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231F20"/>
        </w:rPr>
        <w:t>The accompanying unaudited condensed consolidated financial statements as of June 30, 2022 and for the three and six months ended June 30, 2022 and 2021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condensed or omitted pursuant to such rules and regulations. These unaudited condensed consolidated financial statements should be read in conjunction with the Company’s audited consolidated financial statements and the notes thereto for the year ended December 31, 2021 included in the 2021 10-K.</w:t>
      </w:r>
    </w:p>
    <w:p>
      <w:pPr>
        <w:spacing w:after="0" w:line="91"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231F20"/>
        </w:rPr>
        <w:t>The unaudited condensed consolidated financial statements have been prepared on the same basis as the audited consolidated financial statements. In the opinion of management, the included disclosures are adequate, and the accompanying unaudited condensed consolidated financial statements contain all adjustments which are necessary for a fair presentation of the Company’s consolidated financial position as of June 30, 2022, consolidated results of operations and comprehensive income for the three and six months ended June 30, 2022 and 2021, and consolidated cash flows for the six months ended June 30, 2022 and 2021. Such adjustments are of a normal and recurring nature. The consolidated results of operations for the three and six months ended June 30, 2022 are not necessarily indicative of the consolidated results of operations that may be expected for the year ending December 31, 2022.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Principles of Consolidation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231F20"/>
        </w:rPr>
        <w:t>The accompanying unaudited condensed consolidated financial statements include the accounts of the Company. All material intercompany balances and transactions have been eliminated in consolidation.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12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231F20"/>
        </w:rPr>
        <w:t>The preparation of the unaudited condensed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the Company has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Accounts Receivable, Net</w:t>
      </w:r>
    </w:p>
    <w:p>
      <w:pPr>
        <w:spacing w:after="0" w:line="1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Accounts receivable are presented net of an allowance for doubtful accounts of $93 and $70 as of June 30, 2022 and December 31, 2021, respectively. The activity in the allowance for doubtful accounts was immaterial for the three and six months ended June 30, 2022 and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Other Receivables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231F20"/>
              </w:rPr>
              <w:t>Other receivables consisted of the following for the periods presented:</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December 31, 2021</w:t>
            </w:r>
          </w:p>
        </w:tc>
        <w:tc>
          <w:tcPr>
            <w:tcW w:w="0" w:type="dxa"/>
            <w:vAlign w:val="bottom"/>
          </w:tcPr>
          <w:p>
            <w:pPr>
              <w:spacing w:after="0"/>
              <w:rPr>
                <w:sz w:val="1"/>
                <w:szCs w:val="1"/>
                <w:color w:val="auto"/>
              </w:rPr>
            </w:pPr>
          </w:p>
        </w:tc>
      </w:tr>
      <w:tr>
        <w:trPr>
          <w:trHeight w:val="209"/>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tax withholding and exercise proceeds receivable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8,477</w:t>
            </w:r>
          </w:p>
        </w:tc>
        <w:tc>
          <w:tcPr>
            <w:tcW w:w="0" w:type="dxa"/>
            <w:vAlign w:val="bottom"/>
          </w:tcPr>
          <w:p>
            <w:pPr>
              <w:spacing w:after="0"/>
              <w:rPr>
                <w:sz w:val="1"/>
                <w:szCs w:val="1"/>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receivable</w:t>
            </w: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5,574</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2,535</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receivable</w:t>
            </w:r>
          </w:p>
        </w:tc>
        <w:tc>
          <w:tcPr>
            <w:tcW w:w="1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1,508</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0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receivables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14,343</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22,796</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Inventory, Net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231F20"/>
              </w:rPr>
              <w:t>Inventory consisted of the following for the periods presented:</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Chemical washing solutions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7,248</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6,406</w:t>
            </w:r>
          </w:p>
        </w:tc>
        <w:tc>
          <w:tcPr>
            <w:tcW w:w="0" w:type="dxa"/>
            <w:vAlign w:val="bottom"/>
          </w:tcPr>
          <w:p>
            <w:pPr>
              <w:spacing w:after="0"/>
              <w:rPr>
                <w:sz w:val="1"/>
                <w:szCs w:val="1"/>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inventory, gross</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7,248</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6,458</w:t>
            </w:r>
          </w:p>
        </w:tc>
        <w:tc>
          <w:tcPr>
            <w:tcW w:w="0" w:type="dxa"/>
            <w:vAlign w:val="bottom"/>
          </w:tcPr>
          <w:p>
            <w:pPr>
              <w:spacing w:after="0"/>
              <w:rPr>
                <w:sz w:val="1"/>
                <w:szCs w:val="1"/>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obsolescence</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49"/>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7,102</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-1660525</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1028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102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activity in the reserve for obsolescence was immaterial for the three and six months ended June 30, 2022 and 2021.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composition of the Company’s net revenues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Pr>
          <w:p>
            <w:pPr>
              <w:spacing w:after="0"/>
              <w:rPr>
                <w:sz w:val="20"/>
                <w:szCs w:val="20"/>
                <w:color w:val="auto"/>
              </w:rPr>
            </w:pPr>
          </w:p>
        </w:tc>
      </w:tr>
      <w:tr>
        <w:trPr>
          <w:trHeight w:val="209"/>
        </w:trPr>
        <w:tc>
          <w:tcPr>
            <w:tcW w:w="3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149,062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122,362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289,936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230,630</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153,830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140,057</w:t>
            </w:r>
          </w:p>
        </w:tc>
        <w:tc>
          <w:tcPr>
            <w:tcW w:w="100" w:type="dxa"/>
            <w:vAlign w:val="bottom"/>
          </w:tcPr>
          <w:p>
            <w:pPr>
              <w:spacing w:after="0"/>
              <w:rPr>
                <w:sz w:val="18"/>
                <w:szCs w:val="18"/>
                <w:color w:val="auto"/>
              </w:rPr>
            </w:pPr>
          </w:p>
        </w:tc>
      </w:tr>
      <w:tr>
        <w:trPr>
          <w:trHeight w:val="216"/>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7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7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225,159</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197,080</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444,578</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372,588</w:t>
            </w:r>
          </w:p>
        </w:tc>
        <w:tc>
          <w:tcPr>
            <w:tcW w:w="10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86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86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-504825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-504825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-504825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231F20"/>
        </w:rPr>
        <w:t>Net Income (loss) Per Share</w:t>
      </w:r>
    </w:p>
    <w:p>
      <w:pPr>
        <w:spacing w:after="0" w:line="10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231F20"/>
        </w:rPr>
        <w:t>Basic net income (loss) per share is computed by dividing net income by the weighted-average number of common shares outstanding for the period. Diluted net income (loss) per share is computed by dividing net income by the weighted-average shares outstanding for the period and includes the dilutive impact of potential new shares issuable upon vesting and exercise of stock options, vesting of restricted stock units, and stock purchase rights granted under an employee stock purchase plan. Potentially dilutive securities are excluded from the computation of diluted net income per share if their effect is antidilutive. Reconciliations of the numerators and denominators of the basic and diluted net income per share calculations for the periods presented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35,659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(110,300 )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(85,716 )</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302,666,291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264,274,968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301,803,664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263,218,870</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23,912,934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25,461,476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648,060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939,513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1,123</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327,229,531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264,274,968</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328,205,776</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263,218,870</w:t>
            </w:r>
          </w:p>
        </w:tc>
      </w:tr>
      <w:tr>
        <w:trPr>
          <w:trHeight w:val="41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(0.33 )</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(0.42 )</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-487680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-470535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-487680</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-470535</wp:posOffset>
            </wp:positionV>
            <wp:extent cx="102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-487680</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-470535</wp:posOffset>
            </wp:positionV>
            <wp:extent cx="1028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-24765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-24765</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-7620</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231F20"/>
        </w:rPr>
        <w:t>The following potentially dilutive shares were excluded from the computation of diluted net income per share for the periods presented because including them would have been antidilutive: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vMerge w:val="continue"/>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2,139,197</w:t>
            </w:r>
          </w:p>
        </w:tc>
        <w:tc>
          <w:tcPr>
            <w:tcW w:w="26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34,522,248</w:t>
            </w:r>
          </w:p>
        </w:tc>
        <w:tc>
          <w:tcPr>
            <w:tcW w:w="2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2,090,169</w:t>
            </w:r>
          </w:p>
        </w:tc>
        <w:tc>
          <w:tcPr>
            <w:tcW w:w="26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34,522,248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166,672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1,632,188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48,106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Deferred Offering Costs</w:t>
      </w:r>
    </w:p>
    <w:p>
      <w:pPr>
        <w:spacing w:after="0" w:line="10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231F20"/>
        </w:rPr>
        <w:t>The Company capitalizes certain legal, accounting, and other third-party fees that are directly related to the Company’s equity financings, including the IPO, until such financings are consummated. After consummation of an equity financing, these costs are then recorded as a reduction of the proceeds received as a result of the financing. Should a planned equity financing be abandoned, terminated, or significantly delayed, the deferred offering costs would be immediately written off to operating expenses. Upon the closing of the IPO in June 2021, all deferred offering costs in the accompanying unaudited condensed consolidated balance sheets were reclassified from prepaid expenses and other current assets and recorded against the IPO proceeds as a reduction to additional paid-in capital. As of June 30, 2022 and December 31, 2021, there were no deferred offering costs capitalized.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Prior Period Reclassification</w:t>
      </w:r>
    </w:p>
    <w:p>
      <w:pPr>
        <w:spacing w:after="0" w:line="1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Certain prior period amounts related to other receivables within accounts receivable, net and prepaid expenses and other current assets in the accompanying unaudited condensed consolidated financial statements have been reclassified to conform to the current period presentation. There was no change to prior period current or total assets.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 Not Yet Adopted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In June 2016, the FASB issued ASU No. 2016-13, </w:t>
      </w:r>
      <w:r>
        <w:rPr>
          <w:rFonts w:ascii="Times New Roman" w:cs="Times New Roman" w:eastAsia="Times New Roman" w:hAnsi="Times New Roman"/>
          <w:sz w:val="18"/>
          <w:szCs w:val="18"/>
          <w:i w:val="1"/>
          <w:iCs w:val="1"/>
          <w:color w:val="231F20"/>
        </w:rPr>
        <w:t>Financial Instruments—Credit Losses (Topic 326): Measurement of Credit Losses on Financial</w:t>
      </w:r>
    </w:p>
    <w:p>
      <w:pPr>
        <w:spacing w:after="0" w:line="2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i w:val="1"/>
          <w:iCs w:val="1"/>
          <w:color w:val="231F20"/>
        </w:rPr>
        <w:t xml:space="preserve">Instruments </w:t>
      </w:r>
      <w:r>
        <w:rPr>
          <w:rFonts w:ascii="Times New Roman" w:cs="Times New Roman" w:eastAsia="Times New Roman" w:hAnsi="Times New Roman"/>
          <w:sz w:val="18"/>
          <w:szCs w:val="18"/>
          <w:color w:val="231F20"/>
        </w:rPr>
        <w:t>(“ASU No. 2016-13”), which replaces the existing incurred loss impairment model with an expected credit loss model and requires a financial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asset measured at amortized cost to be presented at the net amount expected to be collected. The guidance will be effective for the Company beginning January 1, 2023, and interim periods therein. Early adoption is permitted. The Company is currently evaluating the effect that ASU No. 2016-13 will have on its consolidated financial statements and related disclosures.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 Accounting for Contract Assets and Contract Liabilities from</w:t>
      </w:r>
    </w:p>
    <w:p>
      <w:pPr>
        <w:spacing w:after="0" w:line="29"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No. 2021-08”). The guidance improves the accounting for acquired revenue contracts with customers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by addressing diversity in practice and certain inconsistencies in application. Under current U.S. GAAP, an acquirer generally recognizes contract assets acquired and liabilities assumed in a business combination at fair value on the acquisition date. The amendments in this update require that an acquirer recognize and measure contract assets and contract liabilities acquired in a business combination in accordance with ASC Topic 606 as if it had originated the contracts. The amendments in this update will be effective for </w:t>
      </w:r>
      <w:r>
        <w:rPr>
          <w:rFonts w:ascii="Times New Roman" w:cs="Times New Roman" w:eastAsia="Times New Roman" w:hAnsi="Times New Roman"/>
          <w:sz w:val="18"/>
          <w:szCs w:val="18"/>
          <w:color w:val="231F20"/>
        </w:rPr>
        <w:t>the Company beginning January 1, 2023, and interim periods thereafter</w:t>
      </w:r>
      <w:r>
        <w:rPr>
          <w:rFonts w:ascii="Times New Roman" w:cs="Times New Roman" w:eastAsia="Times New Roman" w:hAnsi="Times New Roman"/>
          <w:sz w:val="18"/>
          <w:szCs w:val="18"/>
          <w:color w:val="auto"/>
        </w:rPr>
        <w:t>. Early adoption is permitted, including adoption in an interim period. The Company is currently evaluating the effect that ASU No. 2021-08 will have on its consolidated financial statements and related disclosures.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Property and Equipment, Net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Property and equipment, net consisted of the following </w:t>
      </w:r>
      <w:r>
        <w:rPr>
          <w:rFonts w:ascii="Times New Roman" w:cs="Times New Roman" w:eastAsia="Times New Roman" w:hAnsi="Times New Roman"/>
          <w:sz w:val="18"/>
          <w:szCs w:val="18"/>
          <w:color w:val="231F20"/>
        </w:rPr>
        <w:t>for the periods presented</w:t>
      </w:r>
      <w:r>
        <w:rPr>
          <w:rFonts w:ascii="Times New Roman" w:cs="Times New Roman" w:eastAsia="Times New Roman" w:hAnsi="Times New Roman"/>
          <w:sz w:val="18"/>
          <w:szCs w:val="18"/>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40" w:type="dxa"/>
            <w:vAlign w:val="bottom"/>
          </w:tcPr>
          <w:p>
            <w:pPr>
              <w:spacing w:after="0"/>
              <w:rPr>
                <w:sz w:val="18"/>
                <w:szCs w:val="18"/>
                <w:color w:val="auto"/>
              </w:rPr>
            </w:pPr>
          </w:p>
        </w:tc>
        <w:tc>
          <w:tcPr>
            <w:tcW w:w="2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18"/>
                <w:szCs w:val="18"/>
                <w:color w:val="auto"/>
              </w:rPr>
            </w:pPr>
          </w:p>
        </w:tc>
      </w:tr>
      <w:tr>
        <w:trPr>
          <w:trHeight w:val="209"/>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93,717</w:t>
            </w:r>
          </w:p>
        </w:tc>
        <w:tc>
          <w:tcPr>
            <w:tcW w:w="4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81,911</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171,540</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100,138</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92,821</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Vehicles and equipment</w:t>
            </w: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199,878</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188,053</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79,369</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73,213</w:t>
            </w:r>
          </w:p>
        </w:tc>
        <w:tc>
          <w:tcPr>
            <w:tcW w:w="100" w:type="dxa"/>
            <w:vAlign w:val="bottom"/>
          </w:tcPr>
          <w:p>
            <w:pPr>
              <w:spacing w:after="0"/>
              <w:rPr>
                <w:sz w:val="18"/>
                <w:szCs w:val="18"/>
                <w:color w:val="auto"/>
              </w:rPr>
            </w:pPr>
          </w:p>
        </w:tc>
      </w:tr>
      <w:tr>
        <w:trPr>
          <w:trHeight w:val="216"/>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43,087</w:t>
            </w:r>
          </w:p>
        </w:tc>
        <w:tc>
          <w:tcPr>
            <w:tcW w:w="4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724,373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648,759</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(200,717 )</w:t>
            </w:r>
          </w:p>
        </w:tc>
        <w:tc>
          <w:tcPr>
            <w:tcW w:w="24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(175,017 )</w:t>
            </w: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 - finance leases</w:t>
            </w:r>
          </w:p>
        </w:tc>
        <w:tc>
          <w:tcPr>
            <w:tcW w:w="360" w:type="dxa"/>
            <w:vAlign w:val="bottom"/>
          </w:tcPr>
          <w:p>
            <w:pPr>
              <w:spacing w:after="0"/>
              <w:rPr>
                <w:sz w:val="18"/>
                <w:szCs w:val="18"/>
                <w:color w:val="auto"/>
              </w:rPr>
            </w:pPr>
          </w:p>
        </w:tc>
        <w:tc>
          <w:tcPr>
            <w:tcW w:w="2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(1,782 )</w:t>
            </w:r>
          </w:p>
        </w:tc>
        <w:tc>
          <w:tcPr>
            <w:tcW w:w="240" w:type="dxa"/>
            <w:vAlign w:val="bottom"/>
          </w:tcPr>
          <w:p>
            <w:pPr>
              <w:spacing w:after="0"/>
              <w:rPr>
                <w:sz w:val="18"/>
                <w:szCs w:val="18"/>
                <w:color w:val="auto"/>
              </w:rPr>
            </w:pP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(1,294 )</w:t>
            </w:r>
          </w:p>
        </w:tc>
      </w:tr>
      <w:tr>
        <w:trPr>
          <w:trHeight w:val="249"/>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521,874</w:t>
            </w: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-589915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June 30, 2022 and 2021, depreciation expense was $13,198 </w:t>
      </w:r>
      <w:r>
        <w:rPr>
          <w:rFonts w:ascii="Times New Roman" w:cs="Times New Roman" w:eastAsia="Times New Roman" w:hAnsi="Times New Roman"/>
          <w:sz w:val="18"/>
          <w:szCs w:val="18"/>
          <w:color w:val="231F20"/>
        </w:rPr>
        <w:t>and $10,237</w:t>
      </w:r>
      <w:r>
        <w:rPr>
          <w:rFonts w:ascii="Times New Roman" w:cs="Times New Roman" w:eastAsia="Times New Roman" w:hAnsi="Times New Roman"/>
          <w:sz w:val="18"/>
          <w:szCs w:val="18"/>
          <w:color w:val="auto"/>
        </w:rPr>
        <w:t>, respectively. For the six months ended June 30, 2022 and 2021, depreciation expense was $26,132 and $20,208, respectively.</w:t>
      </w:r>
    </w:p>
    <w:p>
      <w:pPr>
        <w:spacing w:after="0" w:line="5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 xml:space="preserve">For the three months ended June 30, 2022 and 2021, amortization expense on finance leases was $246 </w:t>
      </w:r>
      <w:r>
        <w:rPr>
          <w:rFonts w:ascii="Times New Roman" w:cs="Times New Roman" w:eastAsia="Times New Roman" w:hAnsi="Times New Roman"/>
          <w:sz w:val="18"/>
          <w:szCs w:val="18"/>
          <w:color w:val="231F20"/>
        </w:rPr>
        <w:t>and $243</w:t>
      </w:r>
      <w:r>
        <w:rPr>
          <w:rFonts w:ascii="Times New Roman" w:cs="Times New Roman" w:eastAsia="Times New Roman" w:hAnsi="Times New Roman"/>
          <w:sz w:val="18"/>
          <w:szCs w:val="18"/>
          <w:color w:val="auto"/>
        </w:rPr>
        <w:t>, respectively. For the six months ended June 30, 2022 and 2021, amortization expense on finance leases was $489 and $485,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4.  Other Intangible Assets, Net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intangibles assets, net consisted of the following as of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0"/>
                <w:szCs w:val="20"/>
                <w:color w:val="auto"/>
              </w:rPr>
            </w:pPr>
          </w:p>
        </w:tc>
      </w:tr>
      <w:tr>
        <w:trPr>
          <w:trHeight w:val="160"/>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50"/>
              <w:spacing w:after="0" w:line="160"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250"/>
              <w:spacing w:after="0" w:line="16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40" w:type="dxa"/>
            <w:vAlign w:val="bottom"/>
          </w:tcPr>
          <w:p>
            <w:pPr>
              <w:spacing w:after="0"/>
              <w:rPr>
                <w:sz w:val="13"/>
                <w:szCs w:val="13"/>
                <w:color w:val="auto"/>
              </w:rPr>
            </w:pPr>
          </w:p>
        </w:tc>
        <w:tc>
          <w:tcPr>
            <w:tcW w:w="1420" w:type="dxa"/>
            <w:vAlign w:val="bottom"/>
            <w:gridSpan w:val="2"/>
          </w:tcPr>
          <w:p>
            <w:pPr>
              <w:jc w:val="right"/>
              <w:ind w:right="30"/>
              <w:spacing w:after="0" w:line="160"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right"/>
              <w:ind w:right="230"/>
              <w:spacing w:after="0" w:line="16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3"/>
                <w:szCs w:val="13"/>
                <w:color w:val="auto"/>
              </w:rPr>
            </w:pPr>
          </w:p>
        </w:tc>
      </w:tr>
      <w:tr>
        <w:trPr>
          <w:trHeight w:val="238"/>
        </w:trPr>
        <w:tc>
          <w:tcPr>
            <w:tcW w:w="3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CPC Unity System</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33,736</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31,591</w:t>
            </w: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18"/>
                <w:szCs w:val="18"/>
                <w:color w:val="auto"/>
              </w:rPr>
            </w:pPr>
          </w:p>
        </w:tc>
      </w:tr>
      <w:tr>
        <w:trPr>
          <w:trHeight w:val="249"/>
        </w:trPr>
        <w:tc>
          <w:tcPr>
            <w:tcW w:w="3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173,725</w:t>
            </w:r>
          </w:p>
        </w:tc>
        <w:tc>
          <w:tcPr>
            <w:tcW w:w="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46,615</w:t>
            </w: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172,975</w:t>
            </w:r>
          </w:p>
        </w:tc>
        <w:tc>
          <w:tcPr>
            <w:tcW w:w="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-24765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-24765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231F20"/>
        </w:rPr>
        <w:t>For the three months ended June 30, 2022 and 2021, amortization expense associated with the Company’s finite-lived intangible assets was $1,692 and $1,420, respectively.</w:t>
      </w:r>
    </w:p>
    <w:p>
      <w:pPr>
        <w:spacing w:after="0" w:line="6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231F20"/>
        </w:rPr>
        <w:t>For the six months ended June 30, 2022 and 2021, amortization expense associated with the Company’s finite-lived intangible assets was $3,460 and $2,857,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2022, estimated future amortization expense was as follows:</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(remaining six months)</w:t>
            </w:r>
          </w:p>
        </w:tc>
        <w:tc>
          <w:tcPr>
            <w:tcW w:w="5360" w:type="dxa"/>
            <w:vAlign w:val="bottom"/>
            <w:tcBorders>
              <w:top w:val="single" w:sz="8" w:color="auto"/>
            </w:tcBorders>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3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8"/>
                <w:szCs w:val="18"/>
                <w:color w:val="auto"/>
              </w:rPr>
            </w:pPr>
          </w:p>
        </w:tc>
      </w:tr>
      <w:tr>
        <w:trPr>
          <w:trHeight w:val="249"/>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4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4360" w:type="dxa"/>
            <w:vAlign w:val="bottom"/>
          </w:tcPr>
          <w:p>
            <w:pPr>
              <w:spacing w:after="0"/>
              <w:rPr>
                <w:sz w:val="24"/>
                <w:szCs w:val="24"/>
                <w:color w:val="auto"/>
              </w:rPr>
            </w:pPr>
          </w:p>
        </w:tc>
        <w:tc>
          <w:tcPr>
            <w:tcW w:w="4340" w:type="dxa"/>
            <w:vAlign w:val="bottom"/>
          </w:tcPr>
          <w:p>
            <w:pPr>
              <w:jc w:val="right"/>
              <w:ind w:right="289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36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-341630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231F20"/>
        </w:rPr>
        <w:t>5.  Goodwill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Goodwill consisted of the following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18"/>
                <w:szCs w:val="18"/>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1,060,221</w:t>
            </w:r>
          </w:p>
        </w:tc>
        <w:tc>
          <w:tcPr>
            <w:tcW w:w="28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737,415</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period acquisitions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323,477</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provisional adjustments</w:t>
            </w:r>
          </w:p>
        </w:tc>
        <w:tc>
          <w:tcPr>
            <w:tcW w:w="2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(10,109 )</w:t>
            </w:r>
          </w:p>
        </w:tc>
        <w:tc>
          <w:tcPr>
            <w:tcW w:w="4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(671 )</w:t>
            </w:r>
          </w:p>
        </w:tc>
      </w:tr>
      <w:tr>
        <w:trPr>
          <w:trHeight w:val="209"/>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1,100,963</w:t>
            </w:r>
          </w:p>
        </w:tc>
        <w:tc>
          <w:tcPr>
            <w:tcW w:w="28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1,060,221</w:t>
            </w:r>
          </w:p>
        </w:tc>
        <w:tc>
          <w:tcPr>
            <w:tcW w:w="100" w:type="dxa"/>
            <w:vAlign w:val="bottom"/>
            <w:tcBorders>
              <w:top w:val="single" w:sz="8" w:color="CFF0FC"/>
            </w:tcBorders>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generally deductible for tax purposes, except for the portion related to purchase accounting step-up goodwill.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6. Other Accrued Expenses</w:t>
      </w:r>
    </w:p>
    <w:p>
      <w:pPr>
        <w:sectPr>
          <w:pgSz w:w="11900" w:h="16838" w:orient="portrait"/>
          <w:cols w:equalWidth="0" w:num="1">
            <w:col w:w="11240"/>
          </w:cols>
          <w:pgMar w:left="320" w:top="535" w:right="339"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Other accrued expenses consisted of the following for the periods presented:</w:t>
      </w: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other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Insurance expense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91"/>
        </w:trPr>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5,370</w:t>
            </w:r>
          </w:p>
        </w:tc>
        <w:tc>
          <w:tcPr>
            <w:tcW w:w="160" w:type="dxa"/>
            <w:vAlign w:val="bottom"/>
          </w:tcPr>
          <w:p>
            <w:pPr>
              <w:spacing w:after="0"/>
              <w:rPr>
                <w:sz w:val="16"/>
                <w:szCs w:val="16"/>
                <w:color w:val="auto"/>
              </w:rPr>
            </w:pPr>
          </w:p>
        </w:tc>
        <w:tc>
          <w:tcPr>
            <w:tcW w:w="620" w:type="dxa"/>
            <w:vAlign w:val="bottom"/>
          </w:tcPr>
          <w:p>
            <w:pPr>
              <w:jc w:val="right"/>
              <w:ind w:right="4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4,274</w:t>
            </w:r>
          </w:p>
        </w:tc>
      </w:tr>
      <w:tr>
        <w:trPr>
          <w:trHeight w:val="216"/>
        </w:trPr>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7,860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8,088</w:t>
            </w:r>
          </w:p>
        </w:tc>
      </w:tr>
      <w:tr>
        <w:trPr>
          <w:trHeight w:val="216"/>
        </w:trPr>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3,335</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3,200</w:t>
            </w:r>
          </w:p>
        </w:tc>
      </w:tr>
      <w:tr>
        <w:trPr>
          <w:trHeight w:val="234"/>
        </w:trPr>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10,257</w:t>
            </w:r>
          </w:p>
        </w:tc>
        <w:tc>
          <w:tcPr>
            <w:tcW w:w="1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4,639</w:t>
            </w:r>
          </w:p>
        </w:tc>
      </w:tr>
      <w:tr>
        <w:trPr>
          <w:trHeight w:val="209"/>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26,822</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535"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7.  Income Taxes</w:t>
      </w:r>
    </w:p>
    <w:p>
      <w:pPr>
        <w:spacing w:after="0" w:line="1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31F20"/>
        </w:rPr>
        <w:t>The effective income tax rates on continuing operations for the six months ended June 30, 2022 and 2021 were 20.35% and 29.69%, respectively. In general, the effective tax rates differed from the U.S. federal statutory income tax rate primarily due to state income taxes, non-deductible expenses such as those related to certain executive compensation, and other discrete tax benefits recorded during the period.</w:t>
      </w:r>
    </w:p>
    <w:p>
      <w:pPr>
        <w:spacing w:after="0" w:line="6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The year-to-date provision for income taxes for the six months ended June 30, 2022 included taxes on earnings at an anticipated annual effective tax rate of 26.78% and a net, favorable tax impact of $5,744 related primarily to discrete tax benefits originating from stock options exercised during the six months ended June 30, 2022.</w:t>
      </w:r>
    </w:p>
    <w:p>
      <w:pPr>
        <w:spacing w:after="0" w:line="6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The year-to-date provision for income taxes for the six months ended June 30, 2021 included taxes on earnings at an anticipated annual effective tax rate of 24.82% and a favorable tax impact of $56,067 related primarily to discrete tax benefits originating from stock option exercises and stock-based compensation expenses recorded in the six months ended June 30, 2021.</w:t>
      </w:r>
    </w:p>
    <w:p>
      <w:pPr>
        <w:spacing w:after="0" w:line="61"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231F20"/>
        </w:rPr>
        <w:t>For the six months ended June 30, 2022 and 2021, the Company did not record any unrecognized tax benefits or interest and penalties related to any uncertain tax positions.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8.  Debt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Company’s long-term debt consisted of the following as of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18"/>
                <w:szCs w:val="18"/>
                <w:color w:val="auto"/>
              </w:rPr>
            </w:pPr>
          </w:p>
        </w:tc>
      </w:tr>
      <w:tr>
        <w:trPr>
          <w:trHeight w:val="20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30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2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903,301</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3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(6,174 )</w:t>
            </w: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(6,965 )</w:t>
            </w:r>
          </w:p>
        </w:tc>
      </w:tr>
      <w:tr>
        <w:trPr>
          <w:trHeight w:val="209"/>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lien term loan, net</w:t>
            </w:r>
          </w:p>
        </w:tc>
        <w:tc>
          <w:tcPr>
            <w:tcW w:w="30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895,027</w:t>
            </w:r>
          </w:p>
        </w:tc>
        <w:tc>
          <w:tcPr>
            <w:tcW w:w="28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896,336</w:t>
            </w:r>
          </w:p>
        </w:tc>
        <w:tc>
          <w:tcPr>
            <w:tcW w:w="100" w:type="dxa"/>
            <w:vAlign w:val="bottom"/>
          </w:tcPr>
          <w:p>
            <w:pPr>
              <w:spacing w:after="0"/>
              <w:rPr>
                <w:sz w:val="18"/>
                <w:szCs w:val="18"/>
                <w:color w:val="auto"/>
              </w:rPr>
            </w:pPr>
          </w:p>
        </w:tc>
      </w:tr>
      <w:tr>
        <w:trPr>
          <w:trHeight w:val="249"/>
        </w:trPr>
        <w:tc>
          <w:tcPr>
            <w:tcW w:w="4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long-term portion of debt, net</w:t>
            </w:r>
          </w:p>
        </w:tc>
        <w:tc>
          <w:tcPr>
            <w:tcW w:w="30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895,027</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4620" w:type="dxa"/>
            <w:vAlign w:val="bottom"/>
          </w:tcPr>
          <w:p>
            <w:pPr>
              <w:spacing w:after="0"/>
              <w:rPr>
                <w:sz w:val="24"/>
                <w:szCs w:val="24"/>
                <w:color w:val="auto"/>
              </w:rPr>
            </w:pPr>
          </w:p>
        </w:tc>
        <w:tc>
          <w:tcPr>
            <w:tcW w:w="302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62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5840730</wp:posOffset>
            </wp:positionH>
            <wp:positionV relativeFrom="paragraph">
              <wp:posOffset>-662940</wp:posOffset>
            </wp:positionV>
            <wp:extent cx="9398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-662940</wp:posOffset>
            </wp:positionV>
            <wp:extent cx="9398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-358775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-341630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231F20"/>
        </w:rPr>
        <w:t>As of June 30, 2022, annual maturities of debt were as follows:</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(remaining six months)</w:t>
            </w: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9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9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100" w:type="dxa"/>
            <w:vAlign w:val="bottom"/>
            <w:shd w:val="clear" w:color="auto" w:fill="CFF0FC"/>
          </w:tcPr>
          <w:p>
            <w:pPr>
              <w:spacing w:after="0"/>
              <w:rPr>
                <w:sz w:val="18"/>
                <w:szCs w:val="18"/>
                <w:color w:val="auto"/>
              </w:rPr>
            </w:pPr>
          </w:p>
        </w:tc>
      </w:tr>
      <w:tr>
        <w:trPr>
          <w:trHeight w:val="216"/>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9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maturities of debt</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8"/>
          <w:szCs w:val="18"/>
          <w:color w:val="231F20"/>
        </w:rPr>
        <w:t>As of June 30, 2022 and December 31, 2021, unamortized debt issuance costs, including those associated with the Company's Revolving Commitment (as defined below), were $6,584 and $7,427, respectively, and accumulated amortization of debt issuance costs was $3,590 and $2,748, respectively.</w:t>
      </w:r>
    </w:p>
    <w:p>
      <w:pPr>
        <w:spacing w:after="0" w:line="4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231F20"/>
        </w:rPr>
        <w:t>For the three months ended June 30, 2022 and 2021, the amortization of deferred debt issuance costs in interest expense, net in the unaudited condensed consolidated statements of operations and comprehensive income was approximately $423 and $342, respectively.</w:t>
      </w:r>
    </w:p>
    <w:p>
      <w:pPr>
        <w:spacing w:after="0" w:line="6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231F20"/>
        </w:rPr>
        <w:t>For the six months ended June 30, 2022 and 2021, the amortization of deferred debt issuance costs in interest expense, net in the unaudited condensed consolidated statements of operations and comprehensive income was approximately $842 and $698.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Credit Agreement</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On August 21, 2014, the Company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the Company.</w:t>
      </w:r>
    </w:p>
    <w:p>
      <w:pPr>
        <w:spacing w:after="0" w:line="6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231F20"/>
        </w:rPr>
        <w:t>Under the Credit Agreement and with respect to the First Lien Term Loan, the Company had the option of selecting either (i) a Base Rate interest rate plus fixed margin of 2.25% or (ii) a Eurodollar (LIBOR) interest rate for one, two, three or six months plus a fixed margin of 3.25%.</w:t>
      </w:r>
    </w:p>
    <w:p>
      <w:pPr>
        <w:spacing w:after="0" w:line="4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231F20"/>
        </w:rPr>
        <w:t>Under the Credit Agreement and with respect to the Revolving Commitment, the Company had the option of selecting either (i) a Base Rate interest rate plus a variable margin of 2.50% to 3.00%, based on the Company’s First Lien Net Debt Leverage Ratio, or (ii) a Eurodollar (LIBOR) interest rate for one, two, three or six months plus a variable margin of 3.50% to 4.00%, based on the Company’s First Lien Net Leverage Ratio.</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First Lien Term Loan</w:t>
      </w:r>
    </w:p>
    <w:p>
      <w:pPr>
        <w:spacing w:after="0" w:line="10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231F20"/>
        </w:rPr>
        <w:t>In February 2020, the Company entered into Amendment No. 1 to Amended and Restated First Lien Credit Agreement (“Amendment No. 1”) which amended the Amended and Restated First Lien Credit Agreement entered into in May 2019 (the “A&amp;R First Lien Credit Agreement”). Amendment No. 1 changed the interest rate spreads associated with the A&amp;R First Lien Credit Agreement where (i) the variable margin associated with the Base Rate interest rate plus a variable margin based on the Company’s First Lien Net Leverage Ratio changed from 2.25% to 2.50% to 2.00% to 2.25% and (ii) the variable margin associated with the Eurodollar Rate interest rate for one, two, three or six months plus a variable margin based on the Company’s First Lien Net Leverage Ratio changed from 3.25% to 3.50% to 3.00% to 3.25%.</w:t>
      </w:r>
    </w:p>
    <w:p>
      <w:pPr>
        <w:spacing w:after="0" w:line="7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231F20"/>
        </w:rPr>
        <w:t>In June 2021, the Company made a voluntary prepayment of $190,400 of outstanding principal under the First Lien Term Loan funded by the net proceeds from the IPO. In connection with the voluntary prepayment, the Company expensed $1,037 of previously unamortized debt issuance costs as a loss on extinguishment of debt in the unaudited condensed consolidated statements of operations and comprehensive income. The early prepayment resulted in the elimination of required quarterly amortization principal payments through 2026.</w:t>
      </w:r>
    </w:p>
    <w:p>
      <w:pPr>
        <w:spacing w:after="0" w:line="6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231F20"/>
        </w:rPr>
        <w:t>In December 2021, in connection with the Clean Streak Ventures acquisition, the Company entered into Amendment No. 3 to Amended and Restated First Lien Credit Agreement (“Amendment No. 3”) which amended and restated the A&amp;R First Lien Credit Agreement, as previously amended. Under the terms of Amendment No. 3, the previous First Lien Term Loan was increased by $290,000 to $903,301 with the balance due on May 14, 2026. The incremental increase in aggregate principal of $290,000 resulted in $285,962 of proceeds net of discount and deferred debt issuance costs.</w:t>
      </w:r>
    </w:p>
    <w:p>
      <w:pPr>
        <w:spacing w:after="0" w:line="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As of June 30, 2022 and December 31, 2021, the amount outstanding under the First Lien Term Loan was $901,201 and $903,301, respectively. As of June 30, 2022 and December 31, 2021, the interest rate on the First Lien Term Loan was 4.67% and 3.10%, respectively.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 w:name="page15"/>
    <w:bookmarkEnd w:id="14"/>
    <w:p>
      <w:pPr>
        <w:jc w:val="both"/>
        <w:ind w:right="220"/>
        <w:spacing w:after="0" w:line="258" w:lineRule="auto"/>
        <w:rPr>
          <w:sz w:val="20"/>
          <w:szCs w:val="20"/>
          <w:color w:val="auto"/>
        </w:rPr>
      </w:pPr>
      <w:r>
        <w:rPr>
          <w:rFonts w:ascii="Times New Roman" w:cs="Times New Roman" w:eastAsia="Times New Roman" w:hAnsi="Times New Roman"/>
          <w:sz w:val="18"/>
          <w:szCs w:val="18"/>
          <w:color w:val="231F20"/>
        </w:rPr>
        <w:t>The A&amp;R First Lien Credit Agreement, as amended (the “Amended A&amp;R First Lien Credit Agreement”), requires the Company to maintain compliance with a First Lien Net Leverage Ratio. As of June 30, 2022, the Company was in compliance with the First Lien Net Leverage Ratio financial covenant of the Amended A&amp;R First Lien Credit Agreement.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Revolving Credit Agreement</w:t>
      </w:r>
    </w:p>
    <w:p>
      <w:pPr>
        <w:spacing w:after="0" w:line="12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In June 2021, the Company entered into Amendment No. 2 to the Amended and Restated First Lien Credit Agreement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Amendment No. 2”) that (i) increased the maximum available borrowing capacity under the Revolving Commitment from $75,000 to $150,000 and (ii) extended the maturity date of the Revolving Commitment to the earliest to occur of (a) June 4, 2026, (b) the date that is six months prior to the maturity date of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(provided that clause (b) shall not apply if the maturity date for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is extended to a date that is at least six months after June 4, 2026,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is refinanced having a maturity date at least six months after June 4, 2026, or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is paid in full), (c) the date that commitments under the Revolving Commitment are permanently reduced to zero, and (d) the date of the termination of the commitments under the Revolving Commitment. The increase to the maximum available borrowing capacity was effected on the close of the IPO in June 2021. In connection with Amendment No. 2, the Company expensed $87 </w:t>
      </w:r>
      <w:r>
        <w:rPr>
          <w:rFonts w:ascii="Times New Roman" w:cs="Times New Roman" w:eastAsia="Times New Roman" w:hAnsi="Times New Roman"/>
          <w:sz w:val="18"/>
          <w:szCs w:val="18"/>
          <w:color w:val="231F20"/>
        </w:rPr>
        <w:t>of previously unamortized debt issuance costs as a</w:t>
      </w:r>
      <w:r>
        <w:rPr>
          <w:rFonts w:ascii="Times New Roman" w:cs="Times New Roman" w:eastAsia="Times New Roman" w:hAnsi="Times New Roman"/>
          <w:sz w:val="18"/>
          <w:szCs w:val="18"/>
          <w:color w:val="auto"/>
        </w:rPr>
        <w:t xml:space="preserve"> loss on extinguishment of debt in the unaudited condensed consolidated statements of operations and comprehensive </w:t>
      </w:r>
      <w:r>
        <w:rPr>
          <w:rFonts w:ascii="Times New Roman" w:cs="Times New Roman" w:eastAsia="Times New Roman" w:hAnsi="Times New Roman"/>
          <w:sz w:val="18"/>
          <w:szCs w:val="18"/>
          <w:color w:val="231F20"/>
        </w:rPr>
        <w:t>income</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As of June 30, 2022 and December 31, 2021, there were no amounts outstanding under </w:t>
      </w:r>
      <w:r>
        <w:rPr>
          <w:rFonts w:ascii="Times New Roman" w:cs="Times New Roman" w:eastAsia="Times New Roman" w:hAnsi="Times New Roman"/>
          <w:sz w:val="18"/>
          <w:szCs w:val="18"/>
          <w:color w:val="000000"/>
        </w:rPr>
        <w:t>the Revolving Commitment.</w:t>
      </w:r>
    </w:p>
    <w:p>
      <w:pPr>
        <w:spacing w:after="0" w:line="117" w:lineRule="exact"/>
        <w:rPr>
          <w:sz w:val="20"/>
          <w:szCs w:val="20"/>
          <w:color w:val="auto"/>
        </w:rPr>
      </w:pPr>
    </w:p>
    <w:p>
      <w:pPr>
        <w:ind w:right="700"/>
        <w:spacing w:after="0" w:line="250" w:lineRule="auto"/>
        <w:rPr>
          <w:sz w:val="20"/>
          <w:szCs w:val="20"/>
          <w:color w:val="auto"/>
        </w:rPr>
      </w:pPr>
      <w:r>
        <w:rPr>
          <w:rFonts w:ascii="Times New Roman" w:cs="Times New Roman" w:eastAsia="Times New Roman" w:hAnsi="Times New Roman"/>
          <w:sz w:val="18"/>
          <w:szCs w:val="18"/>
          <w:color w:val="231F20"/>
        </w:rPr>
        <w:t>The maximum available borrowing capacity under the Revolving Commitment is reduced by outstanding letters of credit under the Revolving Commitment. As of June 30, 2022 and December 31, 2021, the available borrowing capacity under the Revolving Commitment was $148,991 and $149,503, respectively.</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In addition, an unused commitment fee based on the Company’s First Lien Net Leverage Ratio is payable on the average of the unused borrowing capacity under the Revolving Commitment. As of June 30, 2022 and December 31, 2021, the unused commitment fee was 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Standby Letters of Credit</w:t>
      </w:r>
    </w:p>
    <w:p>
      <w:pPr>
        <w:spacing w:after="0" w:line="121"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8"/>
          <w:szCs w:val="18"/>
          <w:color w:val="231F20"/>
        </w:rPr>
        <w:t xml:space="preserve">As of June 30, 2022, the Company has a letter of credit sublimit of $10,000 under the Revolving Commitment, provided that the total utilization of revolving commitments under the Revolving Commitment does not exceed $150,000. Any letter of credit issued under the Credit Agreement has an expiration date which is the earlier of (i) no later than 12 months from the date of issuance or (ii) five business days prior to the maturity date of the Revolving Commitment, as amended under </w:t>
      </w:r>
      <w:r>
        <w:rPr>
          <w:rFonts w:ascii="Times New Roman" w:cs="Times New Roman" w:eastAsia="Times New Roman" w:hAnsi="Times New Roman"/>
          <w:sz w:val="18"/>
          <w:szCs w:val="18"/>
          <w:color w:val="000000"/>
        </w:rPr>
        <w:t>Amendment No. 2</w:t>
      </w:r>
      <w:r>
        <w:rPr>
          <w:rFonts w:ascii="Times New Roman" w:cs="Times New Roman" w:eastAsia="Times New Roman" w:hAnsi="Times New Roman"/>
          <w:sz w:val="18"/>
          <w:szCs w:val="18"/>
          <w:color w:val="231F20"/>
        </w:rPr>
        <w:t>. Letters of credit under the Revolving Commitment reduce the maximum available borrowing capacity under the Revolving Commitment. As of June 30, 2022 and December 31, 2021, the amounts associated with outstanding letters of credit were $1,009 and $497, respectively, and unused letters of credit under the Revolving Commitment were $8,991 and $9,503,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Second Lien Credit Agreement</w:t>
      </w:r>
    </w:p>
    <w:p>
      <w:pPr>
        <w:spacing w:after="0" w:line="12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231F20"/>
        </w:rPr>
        <w:t xml:space="preserve">In June 2021, the Company made a voluntary prepayment of all outstanding borrowings under the second lien term loan (the “Second Lien Term Loan”) pursuant to the Second Lien Credit Agreement entered into May 2019, as amended by the First Amendment to Second Lien Credit Agreement in March 2020 (the “Amended Second Lien Credit Agreement”) funded by the net proceeds from the IPO, which included outstanding principal of $242,673 and accrued interest expense of $6,050. In connection with this voluntary prepayment, the Company </w:t>
      </w:r>
      <w:r>
        <w:rPr>
          <w:rFonts w:ascii="Times New Roman" w:cs="Times New Roman" w:eastAsia="Times New Roman" w:hAnsi="Times New Roman"/>
          <w:sz w:val="18"/>
          <w:szCs w:val="18"/>
          <w:color w:val="000000"/>
        </w:rPr>
        <w:t>expensed</w:t>
      </w:r>
      <w:r>
        <w:rPr>
          <w:rFonts w:ascii="Times New Roman" w:cs="Times New Roman" w:eastAsia="Times New Roman" w:hAnsi="Times New Roman"/>
          <w:sz w:val="18"/>
          <w:szCs w:val="18"/>
          <w:color w:val="231F20"/>
        </w:rPr>
        <w:t xml:space="preserve"> $2,059 of previously unamortized debt issuance costs as a loss on extinguishment of debt in the unaudited condensed consolidated statements of operations and comprehensive income.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9.  Fair Value Measurements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financial liabilities which are measured at fair value on a recurring basis as of June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09"/>
        </w:trPr>
        <w:tc>
          <w:tcPr>
            <w:tcW w:w="4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3,375</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financial liabilities which are measured at fair value on a recurring basis as of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0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Pr>
          <w:p>
            <w:pPr>
              <w:spacing w:after="0"/>
              <w:rPr>
                <w:sz w:val="20"/>
                <w:szCs w:val="20"/>
                <w:color w:val="auto"/>
              </w:rPr>
            </w:pPr>
          </w:p>
        </w:tc>
      </w:tr>
      <w:tr>
        <w:trPr>
          <w:trHeight w:val="413"/>
        </w:trPr>
        <w:tc>
          <w:tcPr>
            <w:tcW w:w="4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
        </w:trPr>
        <w:tc>
          <w:tcPr>
            <w:tcW w:w="41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 w:name="page16"/>
    <w:bookmarkEnd w:id="15"/>
    <w:p>
      <w:pPr>
        <w:ind w:right="120"/>
        <w:spacing w:after="0" w:line="250" w:lineRule="auto"/>
        <w:rPr>
          <w:sz w:val="20"/>
          <w:szCs w:val="20"/>
          <w:color w:val="auto"/>
        </w:rPr>
      </w:pPr>
      <w:r>
        <w:rPr>
          <w:rFonts w:ascii="Times New Roman" w:cs="Times New Roman" w:eastAsia="Times New Roman" w:hAnsi="Times New Roman"/>
          <w:sz w:val="18"/>
          <w:szCs w:val="18"/>
          <w:color w:val="231F20"/>
        </w:rPr>
        <w:t>The Company measures the fair value of its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 See Note 10 Interest Rate Swap for additional information on the interest rate swap.</w:t>
      </w:r>
    </w:p>
    <w:p>
      <w:pPr>
        <w:spacing w:after="0" w:line="8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231F20"/>
        </w:rPr>
        <w:t xml:space="preserve">As of June 30, 2022 and December 31, 2021, the fair value of the Company’s First Lien Term Loan approximated its carrying value </w:t>
      </w:r>
      <w:r>
        <w:rPr>
          <w:rFonts w:ascii="Times New Roman" w:cs="Times New Roman" w:eastAsia="Times New Roman" w:hAnsi="Times New Roman"/>
          <w:sz w:val="18"/>
          <w:szCs w:val="18"/>
          <w:color w:val="000000"/>
        </w:rPr>
        <w:t>due to the debt’s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variable interest rate terms</w:t>
      </w:r>
      <w:r>
        <w:rPr>
          <w:rFonts w:ascii="Times New Roman" w:cs="Times New Roman" w:eastAsia="Times New Roman" w:hAnsi="Times New Roman"/>
          <w:sz w:val="18"/>
          <w:szCs w:val="18"/>
          <w:color w:val="231F20"/>
        </w:rPr>
        <w:t>.</w:t>
      </w:r>
    </w:p>
    <w:p>
      <w:pPr>
        <w:spacing w:after="0" w:line="5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Company recognized a Level 3 contingent consideration liability in connection with the Downtowner Car Wash acquisition in December 2021. The Company measured its contingent consideration liability using Level 3 unobservable inputs. The contingent consideration liability is associated with the achievement of certain targets and is estimated at each balance sheet date by considering among other factors, results of completed periods and the Company's most recent financial projection for future periods subject to earn-out payments. There are two components to the contingent consideration: a payment when the Company obtains the certificate of occupancy for the car wash and opens to the public in 2023 and an annual payment based on certain financial metrics of the business. A change in the forecasted revenue or projected opening dates could result in a significantly lower or higher fair value measurement. The Company determined that there were no significant changes to the unobservable inputs that would have resulted in a change in fair value of this contingent consideration liability at June 30,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2022 and 2021, there were no transfers between fair value measurement levels.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Interest Rate Swap</w:t>
      </w:r>
    </w:p>
    <w:p>
      <w:pPr>
        <w:spacing w:after="0" w:line="107"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231F20"/>
        </w:rPr>
        <w:t>In May 2020, the Company entered into a pay-fixed, receive-floating interest rate swap (the “Swap”) to mitigate variability in forecasted interest payments on an amortizing notional of $550,000 of the Company’s variable-rate First Lien Term Loan. The Company designated the Swap as a cash flow hedge.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2022, information pertaining to the Swap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3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8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Pay-Fixed</w:t>
            </w:r>
          </w:p>
        </w:tc>
        <w:tc>
          <w:tcPr>
            <w:tcW w:w="2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Receive-Floating</w:t>
            </w:r>
          </w:p>
        </w:tc>
        <w:tc>
          <w:tcPr>
            <w:tcW w:w="2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r>
      <w:tr>
        <w:trPr>
          <w:trHeight w:val="249"/>
        </w:trPr>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541,624</w:t>
            </w:r>
          </w:p>
        </w:tc>
        <w:tc>
          <w:tcPr>
            <w:tcW w:w="3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56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0.308%</w:t>
            </w:r>
          </w:p>
        </w:tc>
        <w:tc>
          <w:tcPr>
            <w:tcW w:w="24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20,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-24765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-7620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-24765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-7620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-24765</wp:posOffset>
            </wp:positionV>
            <wp:extent cx="1454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-7620</wp:posOffset>
            </wp:positionV>
            <wp:extent cx="1454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-24765</wp:posOffset>
            </wp:positionV>
            <wp:extent cx="1454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1454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231F20"/>
        </w:rPr>
        <w:t>As of June 30, 2022 and December 31, 2021, the fair value of the Swap was $3,375 and $268, respectively, and is reported as a debit balance as a result of floating interest rates above fixed interest rates, and is included in prepaid expenses and other current assets in the accompanying unaudited condensed consolidated balance sheets.</w:t>
      </w:r>
    </w:p>
    <w:p>
      <w:pPr>
        <w:spacing w:after="0" w:line="61"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231F20"/>
        </w:rPr>
        <w:t>For the three months ended June 30, 2022 and 2021, amounts reported in other comprehensive income in the accompanying unaudited condensed consolidated statements of operations and comprehensive income are net of tax of $100 and $9, respectively.</w:t>
      </w:r>
    </w:p>
    <w:p>
      <w:pPr>
        <w:spacing w:after="0" w:line="54" w:lineRule="exact"/>
        <w:rPr>
          <w:sz w:val="20"/>
          <w:szCs w:val="20"/>
          <w:color w:val="auto"/>
        </w:rPr>
      </w:pPr>
    </w:p>
    <w:p>
      <w:pPr>
        <w:ind w:right="920"/>
        <w:spacing w:after="0" w:line="281" w:lineRule="auto"/>
        <w:rPr>
          <w:sz w:val="20"/>
          <w:szCs w:val="20"/>
          <w:color w:val="auto"/>
        </w:rPr>
      </w:pPr>
      <w:r>
        <w:rPr>
          <w:rFonts w:ascii="Times New Roman" w:cs="Times New Roman" w:eastAsia="Times New Roman" w:hAnsi="Times New Roman"/>
          <w:sz w:val="18"/>
          <w:szCs w:val="18"/>
          <w:color w:val="231F20"/>
        </w:rPr>
        <w:t>For the six months ended June 30, 2022 and 2021, amounts reported in other comprehensive income in the accompanying unaudited condensed consolidated statements of operations and comprehensive income are net of tax of $725 and $115,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Leases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Balance sheet information related to leases consisted of the following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336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727,107</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4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3360" w:type="dxa"/>
            <w:vAlign w:val="bottom"/>
          </w:tcPr>
          <w:p>
            <w:pPr>
              <w:spacing w:after="0"/>
              <w:rPr>
                <w:sz w:val="18"/>
                <w:szCs w:val="18"/>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741,929</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16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38,548</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3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722,941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9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15,123</w:t>
            </w:r>
          </w:p>
        </w:tc>
        <w:tc>
          <w:tcPr>
            <w:tcW w:w="4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360" w:type="dxa"/>
            <w:vAlign w:val="bottom"/>
          </w:tcPr>
          <w:p>
            <w:pPr>
              <w:spacing w:after="0"/>
              <w:rPr>
                <w:sz w:val="18"/>
                <w:szCs w:val="18"/>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777,240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6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-1771650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-1771650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-504825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231F20"/>
        </w:rPr>
        <w:t>Components of total lease cost, net, consisted of the following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314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Pr>
          <w:p>
            <w:pPr>
              <w:spacing w:after="0"/>
              <w:rPr>
                <w:sz w:val="20"/>
                <w:szCs w:val="20"/>
                <w:color w:val="auto"/>
              </w:rPr>
            </w:pPr>
          </w:p>
        </w:tc>
      </w:tr>
      <w:tr>
        <w:trPr>
          <w:trHeight w:val="209"/>
        </w:trPr>
        <w:tc>
          <w:tcPr>
            <w:tcW w:w="4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50"/>
        </w:trPr>
        <w:tc>
          <w:tcPr>
            <w:tcW w:w="4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gridSpan w:val="2"/>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26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1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4"/>
                <w:szCs w:val="24"/>
                <w:color w:val="auto"/>
                <w:vertAlign w:val="superscript"/>
              </w:rPr>
              <w:t>(1)</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21,653</w:t>
            </w: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19,395</w:t>
            </w:r>
          </w:p>
        </w:tc>
        <w:tc>
          <w:tcPr>
            <w:tcW w:w="6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42,857</w:t>
            </w:r>
          </w:p>
        </w:tc>
        <w:tc>
          <w:tcPr>
            <w:tcW w:w="6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38,520</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Variable lease expense</w:t>
            </w:r>
            <w:r>
              <w:rPr>
                <w:rFonts w:ascii="Times New Roman" w:cs="Times New Roman" w:eastAsia="Times New Roman" w:hAnsi="Times New Roman"/>
                <w:sz w:val="24"/>
                <w:szCs w:val="24"/>
                <w:color w:val="auto"/>
                <w:vertAlign w:val="superscript"/>
              </w:rPr>
              <w:t>(2)</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tcPr>
          <w:p>
            <w:pPr>
              <w:spacing w:after="0"/>
              <w:rPr>
                <w:sz w:val="18"/>
                <w:szCs w:val="18"/>
                <w:color w:val="auto"/>
              </w:rPr>
            </w:pPr>
          </w:p>
        </w:tc>
      </w:tr>
      <w:tr>
        <w:trPr>
          <w:trHeight w:val="249"/>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24,678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22,509</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51,558</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520" w:right="880" w:hanging="512"/>
        <w:spacing w:after="0" w:line="298" w:lineRule="auto"/>
        <w:tabs>
          <w:tab w:leader="none" w:pos="520"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Operating lease expense includes an immaterial amount of sublease income and is included in other store operating expenses and general and administrative expenses in the accompanying unaudited condensed consolidated statements of operations and comprehensive income.</w:t>
      </w:r>
    </w:p>
    <w:p>
      <w:pPr>
        <w:spacing w:after="0" w:line="45" w:lineRule="exact"/>
        <w:rPr>
          <w:rFonts w:ascii="Times New Roman" w:cs="Times New Roman" w:eastAsia="Times New Roman" w:hAnsi="Times New Roman"/>
          <w:sz w:val="14"/>
          <w:szCs w:val="14"/>
          <w:color w:val="231F20"/>
        </w:rPr>
      </w:pPr>
    </w:p>
    <w:p>
      <w:pPr>
        <w:ind w:left="520" w:right="280" w:hanging="512"/>
        <w:spacing w:after="0" w:line="278" w:lineRule="auto"/>
        <w:tabs>
          <w:tab w:leader="none" w:pos="520"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Variable lease costs consist of property taxes, property insurance, and common area or other maintenance costs for the Company’s leases of land and buildings and is included in other store operating expenses in the accompanying unaudited condensed consolidated statements of operations and comprehensive income.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includes supplemental information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420" w:type="dxa"/>
            <w:vAlign w:val="bottom"/>
            <w:gridSpan w:val="7"/>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980" w:type="dxa"/>
            <w:vAlign w:val="bottom"/>
            <w:gridSpan w:val="7"/>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21,881</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19,814</w:t>
            </w:r>
          </w:p>
        </w:tc>
        <w:tc>
          <w:tcPr>
            <w:tcW w:w="30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00" w:type="dxa"/>
            <w:vAlign w:val="bottom"/>
          </w:tcPr>
          <w:p>
            <w:pPr>
              <w:spacing w:after="0"/>
              <w:rPr>
                <w:sz w:val="18"/>
                <w:szCs w:val="18"/>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tcPr>
          <w:p>
            <w:pPr>
              <w:spacing w:after="0"/>
              <w:rPr>
                <w:sz w:val="18"/>
                <w:szCs w:val="18"/>
                <w:color w:val="auto"/>
              </w:rPr>
            </w:pPr>
          </w:p>
        </w:tc>
        <w:tc>
          <w:tcPr>
            <w:tcW w:w="120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ROU</w:t>
            </w:r>
          </w:p>
        </w:tc>
        <w:tc>
          <w:tcPr>
            <w:tcW w:w="88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28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22,421</w:t>
            </w:r>
          </w:p>
        </w:tc>
        <w:tc>
          <w:tcPr>
            <w:tcW w:w="300" w:type="dxa"/>
            <w:vAlign w:val="bottom"/>
          </w:tcPr>
          <w:p>
            <w:pPr>
              <w:spacing w:after="0"/>
              <w:rPr>
                <w:sz w:val="24"/>
                <w:szCs w:val="24"/>
                <w:color w:val="auto"/>
              </w:rPr>
            </w:pPr>
          </w:p>
        </w:tc>
        <w:tc>
          <w:tcPr>
            <w:tcW w:w="7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4"/>
                <w:szCs w:val="24"/>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160" w:type="dxa"/>
            <w:vAlign w:val="bottom"/>
          </w:tcPr>
          <w:p>
            <w:pPr>
              <w:spacing w:after="0"/>
              <w:rPr>
                <w:sz w:val="24"/>
                <w:szCs w:val="24"/>
                <w:color w:val="auto"/>
              </w:rPr>
            </w:pPr>
          </w:p>
        </w:tc>
        <w:tc>
          <w:tcPr>
            <w:tcW w:w="1200" w:type="dxa"/>
            <w:vAlign w:val="bottom"/>
            <w:gridSpan w:val="2"/>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32,020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8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1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1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Finance lease liabilities arising from obtaining ROU</w:t>
            </w:r>
          </w:p>
        </w:tc>
        <w:tc>
          <w:tcPr>
            <w:tcW w:w="880" w:type="dxa"/>
            <w:vAlign w:val="bottom"/>
            <w:vMerge w:val="restart"/>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4"/>
                <w:szCs w:val="14"/>
                <w:color w:val="auto"/>
              </w:rPr>
            </w:pPr>
          </w:p>
        </w:tc>
        <w:tc>
          <w:tcPr>
            <w:tcW w:w="5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80" w:type="dxa"/>
            <w:vAlign w:val="bottom"/>
            <w:vMerge w:val="continue"/>
            <w:shd w:val="clear" w:color="auto" w:fill="CFF0FC"/>
          </w:tcPr>
          <w:p>
            <w:pPr>
              <w:spacing w:after="0"/>
              <w:rPr>
                <w:sz w:val="12"/>
                <w:szCs w:val="12"/>
                <w:color w:val="auto"/>
              </w:rPr>
            </w:pPr>
          </w:p>
        </w:tc>
        <w:tc>
          <w:tcPr>
            <w:tcW w:w="520" w:type="dxa"/>
            <w:vAlign w:val="bottom"/>
            <w:gridSpan w:val="2"/>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1300" w:type="dxa"/>
            <w:vAlign w:val="bottom"/>
            <w:vMerge w:val="continue"/>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8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2"/>
            <w:vMerge w:val="continue"/>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160" w:type="dxa"/>
            <w:vAlign w:val="bottom"/>
            <w:vMerge w:val="continue"/>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3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1"/>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operating lease term</w:t>
            </w:r>
          </w:p>
        </w:tc>
        <w:tc>
          <w:tcPr>
            <w:tcW w:w="8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finance lease term</w:t>
            </w:r>
          </w:p>
        </w:tc>
        <w:tc>
          <w:tcPr>
            <w:tcW w:w="8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operating lease discount rate</w:t>
            </w:r>
          </w:p>
        </w:tc>
        <w:tc>
          <w:tcPr>
            <w:tcW w:w="880" w:type="dxa"/>
            <w:vAlign w:val="bottom"/>
          </w:tcPr>
          <w:p>
            <w:pPr>
              <w:spacing w:after="0"/>
              <w:rPr>
                <w:sz w:val="24"/>
                <w:szCs w:val="24"/>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6.83 %</w:t>
            </w:r>
          </w:p>
        </w:tc>
        <w:tc>
          <w:tcPr>
            <w:tcW w:w="140" w:type="dxa"/>
            <w:vAlign w:val="bottom"/>
          </w:tcPr>
          <w:p>
            <w:pPr>
              <w:spacing w:after="0"/>
              <w:rPr>
                <w:sz w:val="24"/>
                <w:szCs w:val="24"/>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6.40 %</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finance lease discount rate</w:t>
            </w:r>
          </w:p>
        </w:tc>
        <w:tc>
          <w:tcPr>
            <w:tcW w:w="88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7.33 %</w:t>
            </w:r>
          </w:p>
        </w:tc>
        <w:tc>
          <w:tcPr>
            <w:tcW w:w="1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7.33 %</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0" w:type="dxa"/>
            <w:vAlign w:val="bottom"/>
          </w:tcPr>
          <w:p>
            <w:pPr>
              <w:spacing w:after="0"/>
              <w:rPr>
                <w:sz w:val="1"/>
                <w:szCs w:val="1"/>
                <w:color w:val="auto"/>
              </w:rPr>
            </w:pPr>
          </w:p>
        </w:tc>
      </w:tr>
      <w:tr>
        <w:trPr>
          <w:trHeight w:val="41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As of June 30, 2022, lease obligation maturities were as follows: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(remaining six months)</w:t>
            </w:r>
          </w:p>
        </w:tc>
        <w:tc>
          <w:tcPr>
            <w:tcW w:w="8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87,605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817,819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obligations</w:t>
            </w: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1,211,270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(449,781 )</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(14,316 )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net future minimum lease obligations</w:t>
            </w: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761,489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(38,548 )</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obligations</w:t>
            </w:r>
          </w:p>
        </w:tc>
        <w:tc>
          <w:tcPr>
            <w:tcW w:w="8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722,941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Forward-Starting Leases</w:t>
      </w:r>
    </w:p>
    <w:p>
      <w:pPr>
        <w:spacing w:after="0" w:line="10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231F20"/>
        </w:rPr>
        <w:t>As of June 30, 2022, the Company entered into eight leases that had not yet commenced related to build-to-suit arrangements for car wash locations. These leases will commence in the remainder of 2022, or in 2023 or 2024 with initial lease terms of 15 to 20 years.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December 31, 2021, the Company entered into eight leases that had not yet commenced related to build-to-suit arrangements for car wash locations.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leases will commence in the remainder of 2022 or in 2023 with initial lease terms of five to 20 years.</w:t>
      </w:r>
    </w:p>
    <w:p>
      <w:pPr>
        <w:spacing w:after="0" w:line="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39" w:right="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231F20"/>
        </w:rPr>
        <w:t>Sale-Leaseback Transactions</w:t>
      </w:r>
    </w:p>
    <w:p>
      <w:pPr>
        <w:spacing w:after="0" w:line="12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231F20"/>
        </w:rPr>
        <w:t>During the three and six months ended June 30, 2022, the Company completed one sale-leaseback transaction related to its car wash locations for $3,800, resulting in a net gain of $3,203, which was included in gain on sale of assets in the accompanying unaudited condensed consolidated statements of operations and comprehensive income.</w:t>
      </w:r>
    </w:p>
    <w:p>
      <w:pPr>
        <w:spacing w:after="0" w:line="81"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231F20"/>
        </w:rPr>
        <w:t>During the three months ended June 30, 2021, the Company completed three sale-leaseback transaction related to its car wash locations with aggregate consideration of $46,200, resulting in a net gain of $7,117, which was included in loss on sale of assets in the accompanying unaudited condensed consolidated statements of operations and comprehensive income. Contemporaneously with the closing of this sale, the Company entered into a lease agreement for the land and buildings for an initial 20-year term. For the sale-leaseback transaction consummated in the three months ended June 30, 2021, the cumulative initial annual rent was approximately $2,655, subject to annual escalations. These leases are accounted for as operating leases.</w:t>
      </w:r>
    </w:p>
    <w:p>
      <w:pPr>
        <w:spacing w:after="0" w:line="72" w:lineRule="exact"/>
        <w:rPr>
          <w:sz w:val="20"/>
          <w:szCs w:val="20"/>
          <w:color w:val="auto"/>
        </w:rPr>
      </w:pPr>
    </w:p>
    <w:p>
      <w:pPr>
        <w:ind w:right="480"/>
        <w:spacing w:after="0" w:line="246" w:lineRule="auto"/>
        <w:rPr>
          <w:sz w:val="20"/>
          <w:szCs w:val="20"/>
          <w:color w:val="auto"/>
        </w:rPr>
      </w:pPr>
      <w:r>
        <w:rPr>
          <w:rFonts w:ascii="Times New Roman" w:cs="Times New Roman" w:eastAsia="Times New Roman" w:hAnsi="Times New Roman"/>
          <w:sz w:val="18"/>
          <w:szCs w:val="18"/>
          <w:color w:val="231F20"/>
        </w:rPr>
        <w:t>During the six months ended June 30, 2021, the Company completed four sale-leaseback transactions related to its car wash locations, with aggregate consideration of $46,267, resulting in a net gain of $6,846, which are included in gain on sale of assets in the accompanying unaudited condensed consolidated statements of operations and comprehensive loss. Contemporaneously with the closing of the sales, the Company entered into lease agreements for the properties for initial 20-year terms. For the sale-leaseback transactions consummated in the six months ended June 30, 2021, the cumulative initial annual rent was approximately $2,882, subject to annual escalations. These leases are accounted for as operating leases.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12.  Stockholders’ Equity</w:t>
      </w:r>
    </w:p>
    <w:p>
      <w:pPr>
        <w:spacing w:after="0" w:line="1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As of June 30, 2022, there were 1,000,000,000 shares of common stock authorized, 307,091,395 shares of common stock issued, and 303,917,168 shares of common stock outstanding. As of June 30, 2022, there were 5,000,000 shares of preferred stock authorized and none were issued or outstanding.</w:t>
      </w:r>
    </w:p>
    <w:p>
      <w:pPr>
        <w:spacing w:after="0" w:line="6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231F20"/>
        </w:rPr>
        <w:t>As of December 31, 2021, there were 1,000,000,000 shares of common stock authorized, 303,294,678 shares of common stock issued, and 300,120,451 shares of common stock outstanding.</w:t>
      </w:r>
    </w:p>
    <w:p>
      <w:pPr>
        <w:spacing w:after="0" w:line="5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231F20"/>
        </w:rPr>
        <w:t xml:space="preserve">As of June 30, 2022, and December 31, 2021, the Company had 3,174,227 shares of treasury stock. As of June 30, 2022 and December 31, 2021, the cost of treasury stock included in additional paid-in capital in </w:t>
      </w:r>
      <w:r>
        <w:rPr>
          <w:rFonts w:ascii="Times New Roman" w:cs="Times New Roman" w:eastAsia="Times New Roman" w:hAnsi="Times New Roman"/>
          <w:sz w:val="18"/>
          <w:szCs w:val="18"/>
          <w:color w:val="000000"/>
        </w:rPr>
        <w:t>the accompanying unaudited condensed consolidated balance sheets was $6,091.</w:t>
      </w:r>
    </w:p>
    <w:p>
      <w:pPr>
        <w:spacing w:after="0" w:line="37" w:lineRule="exact"/>
        <w:rPr>
          <w:sz w:val="20"/>
          <w:szCs w:val="20"/>
          <w:color w:val="auto"/>
        </w:rPr>
      </w:pPr>
    </w:p>
    <w:p>
      <w:pPr>
        <w:ind w:right="8780" w:firstLine="8"/>
        <w:spacing w:after="0" w:line="369" w:lineRule="auto"/>
        <w:tabs>
          <w:tab w:leader="none" w:pos="360" w:val="left"/>
        </w:tabs>
        <w:numPr>
          <w:ilvl w:val="0"/>
          <w:numId w:val="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 xml:space="preserve">Stock-Based Compensation </w:t>
      </w:r>
      <w:r>
        <w:rPr>
          <w:rFonts w:ascii="Times New Roman" w:cs="Times New Roman" w:eastAsia="Times New Roman" w:hAnsi="Times New Roman"/>
          <w:sz w:val="18"/>
          <w:szCs w:val="18"/>
          <w:b w:val="1"/>
          <w:bCs w:val="1"/>
          <w:i w:val="1"/>
          <w:iCs w:val="1"/>
          <w:color w:val="231F20"/>
        </w:rPr>
        <w:t>The 2014 Plan</w:t>
      </w:r>
    </w:p>
    <w:p>
      <w:pPr>
        <w:spacing w:after="0" w:line="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231F20"/>
        </w:rPr>
        <w:t>Under the 2014 Stock Option Plan of Hotshine Holdings, Inc. (the “2014 Plan”), the Company may grant incentive stock options or nonqualified stock options to purchase common shares of the Company to its employees, directors, officers, outside advisors and non-employee consultants.</w:t>
      </w:r>
    </w:p>
    <w:p>
      <w:pPr>
        <w:spacing w:after="0" w:line="5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231F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 The condition for the Performance Vesting Options is a change in control or an initial public offering, where</w:t>
      </w:r>
    </w:p>
    <w:p>
      <w:pPr>
        <w:jc w:val="both"/>
        <w:ind w:firstLine="8"/>
        <w:spacing w:after="0" w:line="253" w:lineRule="auto"/>
        <w:tabs>
          <w:tab w:leader="none" w:pos="215" w:val="left"/>
        </w:tabs>
        <w:numPr>
          <w:ilvl w:val="0"/>
          <w:numId w:val="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50% of the Performance Vesting Options vest and become exercisable if the Principal Stockholders receive the Target Proceeds at the Measurement Date and (ii) the remaining 50% of the Performance Vesting Options vest and become exercisable if the Principal Stockholders receive the Maximum Amount at the Measurement Date. Principal Stockholders is defined in the 2014 Plan as (a) Green Equity Investors VI, L.P., (b) Green Equity Investors Side VI, L.P.,</w:t>
      </w:r>
    </w:p>
    <w:p>
      <w:pPr>
        <w:spacing w:after="0" w:line="2" w:lineRule="exact"/>
        <w:rPr>
          <w:rFonts w:ascii="Times New Roman" w:cs="Times New Roman" w:eastAsia="Times New Roman" w:hAnsi="Times New Roman"/>
          <w:sz w:val="17"/>
          <w:szCs w:val="17"/>
          <w:color w:val="231F20"/>
        </w:rPr>
      </w:pPr>
    </w:p>
    <w:p>
      <w:pPr>
        <w:ind w:right="40" w:firstLine="8"/>
        <w:spacing w:after="0"/>
        <w:tabs>
          <w:tab w:leader="none" w:pos="244"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LGP Associates VI-A, LLC, (d) LGP Associates VI-B LLC, and (e) the affiliates of the foregoing entities. Measurement Date is defined as the date of a change in control or an initial public offering, whichever comes first. The Target Proceeds and Maximum Amount are defined and measured by either multiples of invested capital or an annual compounded pre-tax internal rate of return on investment. 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The exercise prices for stock options granted under the 2014 Plan were not less than the fair market value of the common stock of the Company on the date of grant. For the avoidance of doubt, the IPO constituted a performance measurement date under the applicable option agreements for the Performance Vesting Options and the Performance Vesting Options vested in full in connection with the IPO.</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2021 Plan</w:t>
      </w:r>
    </w:p>
    <w:p>
      <w:pPr>
        <w:spacing w:after="0" w:line="10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 xml:space="preserve">In June 2021, the Board adopted the 2021 Incentive Award Plan (the “2021 Plan”), which was subsequently approved by the Company's stockholders and became effective on June 25, 2021. Under the 2021 Plan, the </w:t>
      </w:r>
      <w:r>
        <w:rPr>
          <w:rFonts w:ascii="Times New Roman" w:cs="Times New Roman" w:eastAsia="Times New Roman" w:hAnsi="Times New Roman"/>
          <w:sz w:val="18"/>
          <w:szCs w:val="18"/>
          <w:color w:val="231F20"/>
        </w:rPr>
        <w:t>Company may grant incentive stock options, nonqualified stock options, restricted stock units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("RSUs"), restricted stock, and other stock- or cash-based awards to its employees, directors, officers, and non-employee consultants. </w:t>
      </w:r>
      <w:r>
        <w:rPr>
          <w:rFonts w:ascii="Times New Roman" w:cs="Times New Roman" w:eastAsia="Times New Roman" w:hAnsi="Times New Roman"/>
          <w:sz w:val="18"/>
          <w:szCs w:val="18"/>
          <w:color w:val="000000"/>
        </w:rPr>
        <w:t>Initially,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maximum number of shares of the Company’s common stock that may be issued under the 2021 Plan is 29,800,000 new shares of common stock, which includes 256,431 shares of common stock that remained available for issuance under the 2014 Plan at June 25, 2021. In connection with the IPO, stock option and RSU</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8" w:name="page19"/>
    <w:bookmarkEnd w:id="18"/>
    <w:p>
      <w:pPr>
        <w:ind w:right="180"/>
        <w:spacing w:after="0" w:line="312" w:lineRule="auto"/>
        <w:rPr>
          <w:sz w:val="20"/>
          <w:szCs w:val="20"/>
          <w:color w:val="auto"/>
        </w:rPr>
      </w:pPr>
      <w:r>
        <w:rPr>
          <w:rFonts w:ascii="Times New Roman" w:cs="Times New Roman" w:eastAsia="Times New Roman" w:hAnsi="Times New Roman"/>
          <w:sz w:val="17"/>
          <w:szCs w:val="17"/>
          <w:color w:val="auto"/>
        </w:rPr>
        <w:t>awards were granted with respect to 3,726,305 shares. Any shares of common stock subject to outstanding stock awards granted under the 2014 Plan and, following June 25, 2021, terminate, expire or are otherwise forfeited, reacquired or withheld will become available for issuance under the 2021 Plan.</w:t>
      </w:r>
    </w:p>
    <w:p>
      <w:pPr>
        <w:spacing w:after="0" w:line="1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231F20"/>
        </w:rPr>
        <w:t>All stock options granted under the 2021 Plan are equity-classified and have a contractual life of ten years. Under the 2021 Plan, the stock options contain service-based vesting conditions and generally vest ratably over a three- or five-year period (collectively with stock options under the 2014 Plan, the “Time Vesting Options”). The exercise prices for stock options granted under the 2021 Plan were not less than the fair market value of the common stock of the Company on the date of grant.</w:t>
      </w:r>
    </w:p>
    <w:p>
      <w:pPr>
        <w:spacing w:after="0" w:line="6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RSUs granted under the 2021 Plan </w:t>
      </w:r>
      <w:r>
        <w:rPr>
          <w:rFonts w:ascii="Times New Roman" w:cs="Times New Roman" w:eastAsia="Times New Roman" w:hAnsi="Times New Roman"/>
          <w:sz w:val="18"/>
          <w:szCs w:val="18"/>
          <w:color w:val="231F20"/>
        </w:rPr>
        <w:t>are equity-classified and</w:t>
      </w:r>
      <w:r>
        <w:rPr>
          <w:rFonts w:ascii="Times New Roman" w:cs="Times New Roman" w:eastAsia="Times New Roman" w:hAnsi="Times New Roman"/>
          <w:sz w:val="18"/>
          <w:szCs w:val="18"/>
          <w:color w:val="auto"/>
        </w:rPr>
        <w:t xml:space="preserve"> contain service-based conditions and generally vest ratably over one- to five-year periods. Each RSU represents the right to receive one share of the Company’s common stock upon vesting. The fair value is calculated based upon the Company’s closing stock price on the date of grant, and the stock-based compensation expense is recognized over the requisite service period, which is generally the vesting period.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2014 Plan and 2021 Plan are administered by the Board or, at the discretion of the Board, by a committee thereof. The exercise prices for stock options, the vesting of awards, and other restrictions are determined at the discretion of the Board, or its committee if so delegated.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2021 ESPP</w:t>
      </w:r>
    </w:p>
    <w:p>
      <w:pPr>
        <w:spacing w:after="0" w:line="12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In June 2021, the Board adopted the 2021 Employee Stock Purchase Plan (“2021 ESPP”), which was subsequently approved by the Company’s stockholders and became effective in June 2021. The 2021 ESPP authorizes the initial issuance of up to 5,000,000 shares of the Company’s common stock to eligible employees of the Company or, as designated by the Board, employees of a related company. The 2021 ESPP provides for offering periods not to exceed 27 months, and each offering period will include purchase periods. The Company determined that offering periods would commence at approximately the six-month period beginning with an enrollment date and ending with the next exercise date, except that the first offering period commenced on the effective date of the Company's registration statement and ended on November 9, 2021.</w:t>
      </w:r>
    </w:p>
    <w:p>
      <w:pPr>
        <w:spacing w:after="0" w:line="18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 and (ii) such lesser number of shares of common stock as determined by the Board. The number of shares reserved and available for issuance under the 2021 ESPP as of January 1, 2022 is 6,057,993.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Share-Based Payment Valuation</w:t>
      </w:r>
    </w:p>
    <w:p>
      <w:pPr>
        <w:spacing w:after="0" w:line="12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231F20"/>
        </w:rPr>
        <w:t xml:space="preserve">The grant date fair value of Time Vesting Options granted is determined using the Black-Scholes option-pricing model. The grant date fair value of Performance Vesting Options is determined using a Monte Carlo simulation model and a barrier-adjusted Black-Scholes option-pricing model. The grant date fair value of </w:t>
      </w:r>
      <w:r>
        <w:rPr>
          <w:rFonts w:ascii="Times New Roman" w:cs="Times New Roman" w:eastAsia="Times New Roman" w:hAnsi="Times New Roman"/>
          <w:sz w:val="18"/>
          <w:szCs w:val="18"/>
          <w:color w:val="000000"/>
        </w:rPr>
        <w:t>stock purchase rights</w:t>
      </w:r>
      <w:r>
        <w:rPr>
          <w:rFonts w:ascii="Times New Roman" w:cs="Times New Roman" w:eastAsia="Times New Roman" w:hAnsi="Times New Roman"/>
          <w:sz w:val="18"/>
          <w:szCs w:val="18"/>
          <w:color w:val="231F20"/>
        </w:rPr>
        <w:t xml:space="preserve"> granted under the 2021 ESPP is determined using the Black-Scholes option-pricing model.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2021 ESPP Valuation</w:t>
      </w:r>
    </w:p>
    <w:p>
      <w:pPr>
        <w:spacing w:after="0" w:line="10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 xml:space="preserve">The following table presents, on a weighted-average basis, the assumptions used in the Black-Scholes option-pricing model to determine the grant date fair value of </w:t>
      </w:r>
      <w:r>
        <w:rPr>
          <w:rFonts w:ascii="Times New Roman" w:cs="Times New Roman" w:eastAsia="Times New Roman" w:hAnsi="Times New Roman"/>
          <w:sz w:val="18"/>
          <w:szCs w:val="18"/>
          <w:color w:val="000000"/>
        </w:rPr>
        <w:t>stock purchase rights granted under the 2021 ESPP</w:t>
      </w:r>
      <w:r>
        <w:rPr>
          <w:rFonts w:ascii="Times New Roman" w:cs="Times New Roman" w:eastAsia="Times New Roman" w:hAnsi="Times New Roman"/>
          <w:sz w:val="18"/>
          <w:szCs w:val="18"/>
          <w:color w:val="231F20"/>
        </w:rPr>
        <w:t xml:space="preserve"> during the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09"/>
        </w:trPr>
        <w:tc>
          <w:tcPr>
            <w:tcW w:w="8120" w:type="dxa"/>
            <w:vAlign w:val="bottom"/>
          </w:tcPr>
          <w:p>
            <w:pPr>
              <w:spacing w:after="0"/>
              <w:rPr>
                <w:sz w:val="18"/>
                <w:szCs w:val="18"/>
                <w:color w:val="auto"/>
              </w:rPr>
            </w:pPr>
          </w:p>
        </w:tc>
        <w:tc>
          <w:tcPr>
            <w:tcW w:w="3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09"/>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- 52.72%</w:t>
            </w: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- 1.54%</w:t>
            </w:r>
          </w:p>
        </w:tc>
      </w:tr>
      <w:tr>
        <w:trPr>
          <w:trHeight w:val="216"/>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w:t>
            </w:r>
          </w:p>
        </w:tc>
      </w:tr>
      <w:tr>
        <w:trPr>
          <w:trHeight w:val="23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Time Vesting Options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The following table presents, on a weighted-average basis, the assumptions used in the Black-Scholes option-pricing model to determine the grant date fair value of Time Vesting Options granted under the 2014 Plan and 2021 Plan during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18"/>
                <w:szCs w:val="18"/>
                <w:color w:val="auto"/>
              </w:rPr>
            </w:pPr>
          </w:p>
        </w:tc>
        <w:tc>
          <w:tcPr>
            <w:tcW w:w="26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0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5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- 35.87%</w:t>
            </w:r>
          </w:p>
        </w:tc>
        <w:tc>
          <w:tcPr>
            <w:tcW w:w="5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3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40.83% - 44.75%</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- 3.34%</w:t>
            </w:r>
          </w:p>
        </w:tc>
        <w:tc>
          <w:tcPr>
            <w:tcW w:w="500" w:type="dxa"/>
            <w:vAlign w:val="bottom"/>
          </w:tcPr>
          <w:p>
            <w:pPr>
              <w:spacing w:after="0"/>
              <w:rPr>
                <w:sz w:val="18"/>
                <w:szCs w:val="18"/>
                <w:color w:val="auto"/>
              </w:rPr>
            </w:pPr>
          </w:p>
        </w:tc>
        <w:tc>
          <w:tcPr>
            <w:tcW w:w="26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0.9% - 1.19%</w:t>
            </w:r>
          </w:p>
        </w:tc>
      </w:tr>
      <w:tr>
        <w:trPr>
          <w:trHeight w:val="21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5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262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rPr>
              <w:t>6.43 - 6.5</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520" w:type="dxa"/>
            <w:vAlign w:val="bottom"/>
          </w:tcPr>
          <w:p>
            <w:pPr>
              <w:spacing w:after="0"/>
              <w:rPr>
                <w:sz w:val="20"/>
                <w:szCs w:val="20"/>
                <w:color w:val="auto"/>
              </w:rPr>
            </w:pPr>
          </w:p>
        </w:tc>
        <w:tc>
          <w:tcPr>
            <w:tcW w:w="19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None</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None</w:t>
            </w:r>
          </w:p>
        </w:tc>
      </w:tr>
      <w:tr>
        <w:trPr>
          <w:trHeight w:val="521"/>
        </w:trPr>
        <w:tc>
          <w:tcPr>
            <w:tcW w:w="3660" w:type="dxa"/>
            <w:vAlign w:val="bottom"/>
          </w:tcPr>
          <w:p>
            <w:pPr>
              <w:spacing w:after="0"/>
              <w:rPr>
                <w:sz w:val="24"/>
                <w:szCs w:val="24"/>
                <w:color w:val="auto"/>
              </w:rPr>
            </w:pPr>
          </w:p>
        </w:tc>
        <w:tc>
          <w:tcPr>
            <w:tcW w:w="25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74"/>
        </w:trPr>
        <w:tc>
          <w:tcPr>
            <w:tcW w:w="3660" w:type="dxa"/>
            <w:vAlign w:val="bottom"/>
            <w:tcBorders>
              <w:bottom w:val="single" w:sz="8" w:color="9A9A9A"/>
            </w:tcBorders>
          </w:tcPr>
          <w:p>
            <w:pPr>
              <w:spacing w:after="0"/>
              <w:rPr>
                <w:sz w:val="6"/>
                <w:szCs w:val="6"/>
                <w:color w:val="auto"/>
              </w:rPr>
            </w:pPr>
          </w:p>
        </w:tc>
        <w:tc>
          <w:tcPr>
            <w:tcW w:w="25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3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231F20"/>
        </w:rPr>
        <w:t>Performance Vesting Options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The following table presents, on a weighted-average basis, the assumptions used in the Black-Scholes option-pricing model to determine the grant date fair value of Performance Vesting Options granted under the 2014 Plan during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Borders>
              <w:bottom w:val="single" w:sz="8" w:color="auto"/>
            </w:tcBorders>
            <w:gridSpan w:val="2"/>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60.00%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98"/>
              </w:rPr>
              <w:t>0.63%</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5.2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None</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39"/>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60" w:type="dxa"/>
            <w:vAlign w:val="bottom"/>
            <w:gridSpan w:val="6"/>
          </w:tcPr>
          <w:p>
            <w:pPr>
              <w:spacing w:after="0"/>
              <w:rPr>
                <w:sz w:val="20"/>
                <w:szCs w:val="20"/>
                <w:color w:val="auto"/>
              </w:rPr>
            </w:pPr>
            <w:r>
              <w:rPr>
                <w:rFonts w:ascii="Times New Roman" w:cs="Times New Roman" w:eastAsia="Times New Roman" w:hAnsi="Times New Roman"/>
                <w:sz w:val="18"/>
                <w:szCs w:val="18"/>
                <w:color w:val="231F20"/>
              </w:rPr>
              <w:t>A summary of the Company’s stock option activity during the period presented is as follows: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540" w:type="dxa"/>
            <w:vAlign w:val="bottom"/>
          </w:tcPr>
          <w:p>
            <w:pPr>
              <w:spacing w:after="0"/>
              <w:rPr>
                <w:sz w:val="24"/>
                <w:szCs w:val="24"/>
                <w:color w:val="auto"/>
              </w:rPr>
            </w:pPr>
          </w:p>
        </w:tc>
        <w:tc>
          <w:tcPr>
            <w:tcW w:w="16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Time Vesting</w:t>
            </w:r>
          </w:p>
        </w:tc>
        <w:tc>
          <w:tcPr>
            <w:tcW w:w="80" w:type="dxa"/>
            <w:vAlign w:val="bottom"/>
          </w:tcPr>
          <w:p>
            <w:pPr>
              <w:spacing w:after="0"/>
              <w:rPr>
                <w:sz w:val="24"/>
                <w:szCs w:val="24"/>
                <w:color w:val="auto"/>
              </w:rPr>
            </w:pPr>
          </w:p>
        </w:tc>
        <w:tc>
          <w:tcPr>
            <w:tcW w:w="176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6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680" w:type="dxa"/>
            <w:vAlign w:val="bottom"/>
            <w:gridSpan w:val="4"/>
          </w:tcPr>
          <w:p>
            <w:pPr>
              <w:jc w:val="center"/>
              <w:ind w:right="4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Stock</w:t>
            </w:r>
          </w:p>
        </w:tc>
        <w:tc>
          <w:tcPr>
            <w:tcW w:w="150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Average Exercise</w:t>
            </w: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0"/>
                <w:szCs w:val="20"/>
                <w:color w:val="auto"/>
              </w:rPr>
            </w:pPr>
          </w:p>
        </w:tc>
        <w:tc>
          <w:tcPr>
            <w:tcW w:w="17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Vesting Options</w:t>
            </w:r>
          </w:p>
        </w:tc>
        <w:tc>
          <w:tcPr>
            <w:tcW w:w="168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18,513,356</w:t>
            </w: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12,239,595</w:t>
            </w:r>
          </w:p>
        </w:tc>
        <w:tc>
          <w:tcPr>
            <w:tcW w:w="420" w:type="dxa"/>
            <w:vAlign w:val="bottom"/>
            <w:shd w:val="clear" w:color="auto" w:fill="CFF0FC"/>
          </w:tcPr>
          <w:p>
            <w:pPr>
              <w:spacing w:after="0"/>
              <w:rPr>
                <w:sz w:val="18"/>
                <w:szCs w:val="18"/>
                <w:color w:val="auto"/>
              </w:rPr>
            </w:pPr>
          </w:p>
        </w:tc>
        <w:tc>
          <w:tcPr>
            <w:tcW w:w="12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30,752,951</w:t>
            </w:r>
          </w:p>
        </w:tc>
        <w:tc>
          <w:tcPr>
            <w:tcW w:w="4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412,703</w:t>
            </w:r>
          </w:p>
        </w:tc>
        <w:tc>
          <w:tcPr>
            <w:tcW w:w="3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412,703</w:t>
            </w:r>
          </w:p>
        </w:tc>
        <w:tc>
          <w:tcPr>
            <w:tcW w:w="42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(1,882,265 )</w:t>
            </w:r>
          </w:p>
        </w:tc>
        <w:tc>
          <w:tcPr>
            <w:tcW w:w="1840" w:type="dxa"/>
            <w:vAlign w:val="bottom"/>
            <w:gridSpan w:val="3"/>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(1,206,077 )</w:t>
            </w:r>
          </w:p>
        </w:tc>
        <w:tc>
          <w:tcPr>
            <w:tcW w:w="1680" w:type="dxa"/>
            <w:vAlign w:val="bottom"/>
            <w:gridSpan w:val="4"/>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(3,088,342 )</w:t>
            </w:r>
          </w:p>
        </w:tc>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(198,939 )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(198,939 )</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16,844,855</w:t>
            </w:r>
          </w:p>
        </w:tc>
        <w:tc>
          <w:tcPr>
            <w:tcW w:w="3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11,033,518</w:t>
            </w:r>
          </w:p>
        </w:tc>
        <w:tc>
          <w:tcPr>
            <w:tcW w:w="4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27,878,373</w:t>
            </w: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vested or expected to vest as of June 30, 2022</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16,304,373</w:t>
            </w:r>
          </w:p>
        </w:tc>
        <w:tc>
          <w:tcPr>
            <w:tcW w:w="360" w:type="dxa"/>
            <w:vAlign w:val="bottom"/>
          </w:tcPr>
          <w:p>
            <w:pPr>
              <w:spacing w:after="0"/>
              <w:rPr>
                <w:sz w:val="17"/>
                <w:szCs w:val="17"/>
                <w:color w:val="auto"/>
              </w:rPr>
            </w:pP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11,033,518</w:t>
            </w:r>
          </w:p>
        </w:tc>
        <w:tc>
          <w:tcPr>
            <w:tcW w:w="420" w:type="dxa"/>
            <w:vAlign w:val="bottom"/>
          </w:tcPr>
          <w:p>
            <w:pPr>
              <w:spacing w:after="0"/>
              <w:rPr>
                <w:sz w:val="17"/>
                <w:szCs w:val="17"/>
                <w:color w:val="auto"/>
              </w:rPr>
            </w:pP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27,337,891</w:t>
            </w:r>
          </w:p>
        </w:tc>
        <w:tc>
          <w:tcPr>
            <w:tcW w:w="420" w:type="dxa"/>
            <w:vAlign w:val="bottom"/>
          </w:tcPr>
          <w:p>
            <w:pPr>
              <w:spacing w:after="0"/>
              <w:rPr>
                <w:sz w:val="17"/>
                <w:szCs w:val="17"/>
                <w:color w:val="auto"/>
              </w:rPr>
            </w:pPr>
          </w:p>
        </w:tc>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as of June 30, 2022</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12,596,452</w:t>
            </w:r>
          </w:p>
        </w:tc>
        <w:tc>
          <w:tcPr>
            <w:tcW w:w="3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11,033,518</w:t>
            </w:r>
          </w:p>
        </w:tc>
        <w:tc>
          <w:tcPr>
            <w:tcW w:w="4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23,629,970</w:t>
            </w:r>
          </w:p>
        </w:tc>
        <w:tc>
          <w:tcPr>
            <w:tcW w:w="4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-350520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-333375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-350520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-333375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-350520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-333375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-24765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-7620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number and weighted-average grant date fair value of stock options during the period presented are as follows:</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3160" w:type="dxa"/>
            <w:vAlign w:val="bottom"/>
            <w:gridSpan w:val="3"/>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Number of Stock 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3160" w:type="dxa"/>
            <w:vAlign w:val="bottom"/>
            <w:tcBorders>
              <w:bottom w:val="single" w:sz="8" w:color="auto"/>
            </w:tcBorders>
            <w:gridSpan w:val="3"/>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174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8"/>
                <w:szCs w:val="18"/>
                <w:b w:val="1"/>
                <w:bCs w:val="1"/>
                <w:color w:val="auto"/>
              </w:rPr>
              <w:t>Time Vesting</w:t>
            </w:r>
          </w:p>
        </w:tc>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50"/>
              <w:spacing w:after="0" w:line="160" w:lineRule="exact"/>
              <w:rPr>
                <w:sz w:val="20"/>
                <w:szCs w:val="20"/>
                <w:color w:val="auto"/>
              </w:rPr>
            </w:pPr>
            <w:r>
              <w:rPr>
                <w:rFonts w:ascii="Times New Roman" w:cs="Times New Roman" w:eastAsia="Times New Roman" w:hAnsi="Times New Roman"/>
                <w:sz w:val="18"/>
                <w:szCs w:val="18"/>
                <w:b w:val="1"/>
                <w:bCs w:val="1"/>
                <w:color w:val="auto"/>
                <w:w w:val="99"/>
              </w:rPr>
              <w:t>Time Vesting</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jc w:val="right"/>
              <w:ind w:right="170"/>
              <w:spacing w:after="0" w:line="160" w:lineRule="exact"/>
              <w:rPr>
                <w:sz w:val="20"/>
                <w:szCs w:val="20"/>
                <w:color w:val="auto"/>
              </w:rPr>
            </w:pPr>
            <w:r>
              <w:rPr>
                <w:rFonts w:ascii="Times New Roman" w:cs="Times New Roman" w:eastAsia="Times New Roman" w:hAnsi="Times New Roman"/>
                <w:sz w:val="18"/>
                <w:szCs w:val="18"/>
                <w:b w:val="1"/>
                <w:bCs w:val="1"/>
                <w:color w:val="auto"/>
              </w:rPr>
              <w:t>Performance Vesting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Vesting Options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as of December 31, 2021</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5,266,469</w:t>
            </w:r>
          </w:p>
        </w:tc>
        <w:tc>
          <w:tcPr>
            <w:tcW w:w="2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June 30,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4,248,403</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412,703</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(1,231,830 )</w:t>
            </w:r>
          </w:p>
        </w:tc>
        <w:tc>
          <w:tcPr>
            <w:tcW w:w="1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Forfeited/canceled during the period</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(198,939 )</w:t>
            </w: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231F20"/>
        </w:rPr>
        <w:t>The Company granted 412,703 Time Vesting Options with a grant date fair value of $2,018 during the six months ended June 30, 2022. There were no Performance Vesting Options granted during the six months ended June 30,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fair value of stock options vested during the six months ended June 30, 2022 was </w:t>
      </w:r>
      <w:r>
        <w:rPr>
          <w:rFonts w:ascii="Times New Roman" w:cs="Times New Roman" w:eastAsia="Times New Roman" w:hAnsi="Times New Roman"/>
          <w:sz w:val="18"/>
          <w:szCs w:val="18"/>
          <w:color w:val="000000"/>
        </w:rPr>
        <w:t>$19,420</w:t>
      </w:r>
      <w:r>
        <w:rPr>
          <w:rFonts w:ascii="Times New Roman" w:cs="Times New Roman" w:eastAsia="Times New Roman" w:hAnsi="Times New Roman"/>
          <w:sz w:val="18"/>
          <w:szCs w:val="18"/>
          <w:color w:val="231F20"/>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2022, the weighted-average remaining contractual life of outstanding stock options was approximately 4.38 years.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summarizes the Company’s RSU activity since December 31,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8"/>
                <w:szCs w:val="18"/>
                <w:color w:val="auto"/>
              </w:rPr>
            </w:pPr>
          </w:p>
        </w:tc>
        <w:tc>
          <w:tcPr>
            <w:tcW w:w="26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Weighted-Average Grant Date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20" w:type="dxa"/>
            <w:vAlign w:val="bottom"/>
          </w:tcPr>
          <w:p>
            <w:pPr>
              <w:spacing w:after="0"/>
              <w:rPr>
                <w:sz w:val="20"/>
                <w:szCs w:val="20"/>
                <w:color w:val="auto"/>
              </w:rPr>
            </w:pPr>
          </w:p>
        </w:tc>
        <w:tc>
          <w:tcPr>
            <w:tcW w:w="266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9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2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1,683,077</w:t>
            </w:r>
          </w:p>
        </w:tc>
        <w:tc>
          <w:tcPr>
            <w:tcW w:w="36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1,126,748</w:t>
            </w:r>
          </w:p>
        </w:tc>
        <w:tc>
          <w:tcPr>
            <w:tcW w:w="3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(457,372 )</w:t>
            </w: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(94,797 )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June 30, 2022</w:t>
            </w:r>
          </w:p>
        </w:tc>
        <w:tc>
          <w:tcPr>
            <w:tcW w:w="2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2,257,656</w:t>
            </w:r>
          </w:p>
        </w:tc>
        <w:tc>
          <w:tcPr>
            <w:tcW w:w="3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Company granted 1,126,748 RSUs with a grant date fair value of $13,835 during the six months ended June 30,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fair value of stock options vested during the </w:t>
      </w:r>
      <w:r>
        <w:rPr>
          <w:rFonts w:ascii="Times New Roman" w:cs="Times New Roman" w:eastAsia="Times New Roman" w:hAnsi="Times New Roman"/>
          <w:sz w:val="18"/>
          <w:szCs w:val="18"/>
          <w:color w:val="000000"/>
        </w:rPr>
        <w:t>six months ended June 30, 2022 was $4,976.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weighted-average remaining contractual life of outstanding RSUs was approximately 9.48 years.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 w:name="page21"/>
    <w:bookmarkEnd w:id="20"/>
    <w:p>
      <w:pPr>
        <w:ind w:right="120"/>
        <w:spacing w:after="0" w:line="258" w:lineRule="auto"/>
        <w:rPr>
          <w:sz w:val="20"/>
          <w:szCs w:val="20"/>
          <w:color w:val="auto"/>
        </w:rPr>
      </w:pPr>
      <w:r>
        <w:rPr>
          <w:rFonts w:ascii="Times New Roman" w:cs="Times New Roman" w:eastAsia="Times New Roman" w:hAnsi="Times New Roman"/>
          <w:sz w:val="18"/>
          <w:szCs w:val="18"/>
          <w:color w:val="231F20"/>
        </w:rPr>
        <w:t>The Company estimated a forfeiture rate of 6.96% for awards with service-based vesting conditions based on historical experience and future expectations of the vesting of these share-based payments. The Company used this rate as an assumption in calculating stock-based compensation expense for Time Vesting Options, RSUs, and stock purchase rights granted under the 2021 ESPP.</w:t>
      </w:r>
    </w:p>
    <w:p>
      <w:pPr>
        <w:spacing w:after="0" w:line="61"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231F20"/>
        </w:rPr>
        <w:t>Total stock-based compensation expense, by caption, recorded in the unaudited condensed consolidated statements of operations and comprehensive income for the periods presented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336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Pr>
          <w:p>
            <w:pPr>
              <w:spacing w:after="0"/>
              <w:rPr>
                <w:sz w:val="20"/>
                <w:szCs w:val="20"/>
                <w:color w:val="auto"/>
              </w:rPr>
            </w:pPr>
          </w:p>
        </w:tc>
      </w:tr>
      <w:tr>
        <w:trPr>
          <w:trHeight w:val="209"/>
        </w:trPr>
        <w:tc>
          <w:tcPr>
            <w:tcW w:w="4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31,442</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171,789</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172,099</w:t>
            </w:r>
          </w:p>
        </w:tc>
        <w:tc>
          <w:tcPr>
            <w:tcW w:w="100" w:type="dxa"/>
            <w:vAlign w:val="bottom"/>
          </w:tcPr>
          <w:p>
            <w:pPr>
              <w:spacing w:after="0"/>
              <w:rPr>
                <w:sz w:val="18"/>
                <w:szCs w:val="18"/>
                <w:color w:val="auto"/>
              </w:rPr>
            </w:pPr>
          </w:p>
        </w:tc>
      </w:tr>
      <w:tr>
        <w:trPr>
          <w:trHeight w:val="249"/>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203,231</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-24765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-7620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231F20"/>
        </w:rPr>
        <w:t>Total stock-based compensation expense, by award type, recorded in the unaudited condensed consolidated statements of operations and comprehensive income for the periods presented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346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4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Vesting Options</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1,947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964</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3,867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1,274</w:t>
            </w: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Vesting Options</w:t>
            </w:r>
          </w:p>
        </w:tc>
        <w:tc>
          <w:tcPr>
            <w:tcW w:w="102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201,985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201,985</w:t>
            </w: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3,692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282</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6,918</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282</w:t>
            </w: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ESPP</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340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713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r>
      <w:tr>
        <w:trPr>
          <w:trHeight w:val="249"/>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5,979</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203,231</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11,498</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-24765</wp:posOffset>
            </wp:positionV>
            <wp:extent cx="111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-7620</wp:posOffset>
            </wp:positionV>
            <wp:extent cx="1111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-24765</wp:posOffset>
            </wp:positionV>
            <wp:extent cx="102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-7620</wp:posOffset>
            </wp:positionV>
            <wp:extent cx="1028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1028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1028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231F20"/>
        </w:rPr>
        <w:t xml:space="preserve">As of June 30, 2022, total </w:t>
      </w:r>
      <w:r>
        <w:rPr>
          <w:rFonts w:ascii="Times New Roman" w:cs="Times New Roman" w:eastAsia="Times New Roman" w:hAnsi="Times New Roman"/>
          <w:sz w:val="18"/>
          <w:szCs w:val="18"/>
          <w:color w:val="000000"/>
        </w:rPr>
        <w:t>unrecognized</w:t>
      </w:r>
      <w:r>
        <w:rPr>
          <w:rFonts w:ascii="Times New Roman" w:cs="Times New Roman" w:eastAsia="Times New Roman" w:hAnsi="Times New Roman"/>
          <w:sz w:val="18"/>
          <w:szCs w:val="18"/>
          <w:color w:val="231F20"/>
        </w:rPr>
        <w:t xml:space="preserve"> compensation expense related to unvested Time Vesting Options was </w:t>
      </w:r>
      <w:r>
        <w:rPr>
          <w:rFonts w:ascii="Times New Roman" w:cs="Times New Roman" w:eastAsia="Times New Roman" w:hAnsi="Times New Roman"/>
          <w:sz w:val="18"/>
          <w:szCs w:val="18"/>
          <w:color w:val="000000"/>
        </w:rPr>
        <w:t>$10,460</w:t>
      </w:r>
      <w:r>
        <w:rPr>
          <w:rFonts w:ascii="Times New Roman" w:cs="Times New Roman" w:eastAsia="Times New Roman" w:hAnsi="Times New Roman"/>
          <w:sz w:val="18"/>
          <w:szCs w:val="18"/>
          <w:color w:val="231F20"/>
        </w:rPr>
        <w:t>, which is expected to be recognized over a weighted-average period of 3.38 years.</w:t>
      </w:r>
    </w:p>
    <w:p>
      <w:pPr>
        <w:spacing w:after="0" w:line="6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231F20"/>
        </w:rPr>
        <w:t xml:space="preserve">As of June 30, 2022, </w:t>
      </w:r>
      <w:r>
        <w:rPr>
          <w:rFonts w:ascii="Times New Roman" w:cs="Times New Roman" w:eastAsia="Times New Roman" w:hAnsi="Times New Roman"/>
          <w:sz w:val="18"/>
          <w:szCs w:val="18"/>
          <w:color w:val="000000"/>
        </w:rPr>
        <w:t>there was no unrecognized compensation expense related to unvested</w:t>
      </w:r>
      <w:r>
        <w:rPr>
          <w:rFonts w:ascii="Times New Roman" w:cs="Times New Roman" w:eastAsia="Times New Roman" w:hAnsi="Times New Roman"/>
          <w:sz w:val="18"/>
          <w:szCs w:val="18"/>
          <w:color w:val="231F20"/>
        </w:rPr>
        <w:t xml:space="preserve"> Performance Vesting Options </w:t>
      </w:r>
      <w:r>
        <w:rPr>
          <w:rFonts w:ascii="Times New Roman" w:cs="Times New Roman" w:eastAsia="Times New Roman" w:hAnsi="Times New Roman"/>
          <w:sz w:val="18"/>
          <w:szCs w:val="18"/>
          <w:color w:val="000000"/>
        </w:rPr>
        <w:t>as the completion of the IPO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satisfied the performance condition and as a result, all outstanding </w:t>
      </w:r>
      <w:r>
        <w:rPr>
          <w:rFonts w:ascii="Times New Roman" w:cs="Times New Roman" w:eastAsia="Times New Roman" w:hAnsi="Times New Roman"/>
          <w:sz w:val="18"/>
          <w:szCs w:val="18"/>
          <w:color w:val="231F20"/>
        </w:rPr>
        <w:t>Performance Vesting Options vested.</w:t>
      </w:r>
    </w:p>
    <w:p>
      <w:pPr>
        <w:spacing w:after="0" w:line="5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231F20"/>
        </w:rPr>
        <w:t xml:space="preserve">As of June 30, 2022, total unrecognized compensation expense related to unvested RSUs was </w:t>
      </w:r>
      <w:r>
        <w:rPr>
          <w:rFonts w:ascii="Times New Roman" w:cs="Times New Roman" w:eastAsia="Times New Roman" w:hAnsi="Times New Roman"/>
          <w:sz w:val="18"/>
          <w:szCs w:val="18"/>
          <w:color w:val="000000"/>
        </w:rPr>
        <w:t>$24,610</w:t>
      </w:r>
      <w:r>
        <w:rPr>
          <w:rFonts w:ascii="Times New Roman" w:cs="Times New Roman" w:eastAsia="Times New Roman" w:hAnsi="Times New Roman"/>
          <w:sz w:val="18"/>
          <w:szCs w:val="18"/>
          <w:color w:val="231F20"/>
        </w:rPr>
        <w:t>, which is expected to be recognized over a weighted-average period of 2.97 years.</w:t>
      </w:r>
    </w:p>
    <w:p>
      <w:pPr>
        <w:spacing w:after="0" w:line="4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 xml:space="preserve">As of June 30, 2022, total unrecognized compensation expense related to unvested stock purchase rights under the 2021 ESPP was </w:t>
      </w:r>
      <w:r>
        <w:rPr>
          <w:rFonts w:ascii="Times New Roman" w:cs="Times New Roman" w:eastAsia="Times New Roman" w:hAnsi="Times New Roman"/>
          <w:sz w:val="18"/>
          <w:szCs w:val="18"/>
          <w:color w:val="000000"/>
        </w:rPr>
        <w:t>$549</w:t>
      </w:r>
      <w:r>
        <w:rPr>
          <w:rFonts w:ascii="Times New Roman" w:cs="Times New Roman" w:eastAsia="Times New Roman" w:hAnsi="Times New Roman"/>
          <w:sz w:val="18"/>
          <w:szCs w:val="18"/>
          <w:color w:val="231F20"/>
        </w:rPr>
        <w:t>, which is expected to be recognized over a weighted-average period of 0.38 years.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Stock Options</w:t>
      </w:r>
    </w:p>
    <w:p>
      <w:pPr>
        <w:spacing w:after="0" w:line="10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In February 2021, the Company modified a total of 7,874,304 shares of Performance Vesting Options for 12 grantees to provide for an additional service-based vesting condition related to the acceleration of vesting in connection with a grantees’ death. The modification resulted in an incremental increase to unrecognized compensation expense related to unvested Performance Vesting Options of $75,217, which was recognized in June 2021 in connection with the completion of the IPO. The Company did not recognize current incremental stock-based compensation expense in connection with the modification during the three months ended March 31, 2021 because the grants vest upon the earlier of a performance condition or a service condition.</w:t>
      </w:r>
    </w:p>
    <w:p>
      <w:pPr>
        <w:spacing w:after="0" w:line="7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This modification resulted in incremental stock-based compensation expense of $117,708</w:t>
      </w:r>
      <w:r>
        <w:rPr>
          <w:rFonts w:ascii="Times New Roman" w:cs="Times New Roman" w:eastAsia="Times New Roman" w:hAnsi="Times New Roman"/>
          <w:sz w:val="18"/>
          <w:szCs w:val="18"/>
          <w:color w:val="231F20"/>
        </w:rPr>
        <w:t>, which</w:t>
      </w:r>
      <w:r>
        <w:rPr>
          <w:rFonts w:ascii="Times New Roman" w:cs="Times New Roman" w:eastAsia="Times New Roman" w:hAnsi="Times New Roman"/>
          <w:sz w:val="18"/>
          <w:szCs w:val="18"/>
          <w:color w:val="auto"/>
        </w:rPr>
        <w:t xml:space="preserve"> was recognized in the three months ended June 30, 2021 in connection with the completion of the IPO.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14.  Business Combinations</w:t>
      </w:r>
    </w:p>
    <w:p>
      <w:pPr>
        <w:spacing w:after="0" w:line="1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231F20"/>
        </w:rPr>
        <w:t>From time to time, the Company may pursue acquisitions of conveyorized car washes that either strategically fit with the Company’s business or expand the Company’s presence in new and attractive markets.</w:t>
      </w:r>
    </w:p>
    <w:p>
      <w:pPr>
        <w:spacing w:after="0" w:line="6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231F20"/>
        </w:rPr>
        <w:t>The Company accounts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the Company may engage third-party valuation specialists to assist in these determinations. The fair value estimates are based on available historical information and on future expectations and assumptions deemed reasonable by management; but are inherently uncertain.</w:t>
      </w:r>
    </w:p>
    <w:p>
      <w:pPr>
        <w:spacing w:after="0" w:line="9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231F20"/>
        </w:rPr>
        <w:t xml:space="preserve">The unaudited condensed consolidated financial statements reflect the operations of an acquired business starting from the effective date of the acquisition. The Company expensed </w:t>
      </w:r>
      <w:r>
        <w:rPr>
          <w:rFonts w:ascii="Times New Roman" w:cs="Times New Roman" w:eastAsia="Times New Roman" w:hAnsi="Times New Roman"/>
          <w:sz w:val="18"/>
          <w:szCs w:val="18"/>
          <w:color w:val="000000"/>
        </w:rPr>
        <w:t>$306</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$94</w:t>
      </w:r>
      <w:r>
        <w:rPr>
          <w:rFonts w:ascii="Times New Roman" w:cs="Times New Roman" w:eastAsia="Times New Roman" w:hAnsi="Times New Roman"/>
          <w:sz w:val="18"/>
          <w:szCs w:val="18"/>
          <w:color w:val="231F20"/>
        </w:rPr>
        <w:t xml:space="preserve"> of acquisition-related costs for the three months ended June 30, 2022 and 2021, respectively. The Company expensed $435 and $243 of acquisition-related costs for the six months ended June 30, 2022</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1" w:name="page22"/>
    <w:bookmarkEnd w:id="21"/>
    <w:p>
      <w:pPr>
        <w:ind w:right="980"/>
        <w:spacing w:after="0" w:line="281" w:lineRule="auto"/>
        <w:rPr>
          <w:sz w:val="20"/>
          <w:szCs w:val="20"/>
          <w:color w:val="auto"/>
        </w:rPr>
      </w:pPr>
      <w:r>
        <w:rPr>
          <w:rFonts w:ascii="Times New Roman" w:cs="Times New Roman" w:eastAsia="Times New Roman" w:hAnsi="Times New Roman"/>
          <w:sz w:val="18"/>
          <w:szCs w:val="18"/>
          <w:color w:val="231F20"/>
        </w:rPr>
        <w:t>and 2021, respectively. These acquisition-related costs are expensed as incurred and are included in general and administrative expenses in the accompanying unaudited condensed consolidated statements of operations and comprehensive income.</w:t>
      </w:r>
    </w:p>
    <w:p>
      <w:pPr>
        <w:spacing w:after="0" w:line="4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For the three and six months ended June 30, 2022, the amount of acquired goodwill not deductible for income tax purposes was $386. For the three and six months ended June 30, 2021, the amount of acquired goodwill not deductible for income tax purposes was $1,082.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2022 Acquisitions</w:t>
      </w:r>
    </w:p>
    <w:p>
      <w:pPr>
        <w:spacing w:after="0" w:line="1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231F20"/>
        </w:rPr>
        <w:t>For the three and six months ended June 30, 2022, the Company acquired the assets and liabilities of five conveyorized car washes in two acquisitions for total consideration of approximately $58,900, which was paid in cash. The acquisitions resulted in the preliminary recognition of $50,851 of goodwill, $7,181 of property and equipment, $750 of intangible assets related to covenants not to compete, and $118 in other assets and liabilities.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weighted-average amortization period for the acquired covenants not to compete is 5.0 years.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acquisitions were located in the following markets: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(Seller)</w:t>
            </w:r>
          </w:p>
        </w:tc>
        <w:tc>
          <w:tcPr>
            <w:tcW w:w="4460" w:type="dxa"/>
            <w:vAlign w:val="bottom"/>
            <w:tcBorders>
              <w:bottom w:val="single" w:sz="8" w:color="auto"/>
            </w:tcBorders>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Number of Washes</w:t>
            </w:r>
          </w:p>
        </w:tc>
        <w:tc>
          <w:tcPr>
            <w:tcW w:w="18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 Acquired</w:t>
            </w: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(Bamboo Carwash)</w:t>
            </w:r>
          </w:p>
        </w:tc>
        <w:tc>
          <w:tcPr>
            <w:tcW w:w="44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California (Speedwash)</w:t>
            </w:r>
          </w:p>
        </w:tc>
        <w:tc>
          <w:tcPr>
            <w:tcW w:w="4460" w:type="dxa"/>
            <w:vAlign w:val="bottom"/>
            <w:shd w:val="clear" w:color="auto" w:fill="CFF0FC"/>
          </w:tcPr>
          <w:p>
            <w:pPr>
              <w:jc w:val="center"/>
              <w:ind w:left="267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2021 Acquisitions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 2021, the Company acquired the assets and liabilities of 37 conveyorized car washes in five acquisitions for total consideration of approximately</w:t>
      </w:r>
    </w:p>
    <w:p>
      <w:pPr>
        <w:spacing w:after="0" w:line="2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231F20"/>
        </w:rPr>
        <w:t xml:space="preserve">$524,839, which was paid in cash. These acquisitions resulted in the preliminary recognition of $323,477 of goodwill, $202,708 of property and equipment, $4,300 of intangible assets related to customer relationships, $3,970 of intangible assets related to covenants not to compete, and $9,665 of net liabilities.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connection with the Downtowner Car Wash acquisition, the Company recognized a contingent consideration liability of $5,750. See Note 9 Fair Value Measurements for additional information regarding the contingent consideration liability. During the three months ended June 30, 2022, as a result of receiving $11,845 in escrow funds associated with an acquired location that did not receive zoning permits as required under the purchase agreement, the Company recorded an adjustment during the measurement period to its Clean Streak Ventures LLC purchase price allocation which reduced goodwill by $10,670 and land by $1,175. </w:t>
      </w:r>
      <w:r>
        <w:rPr>
          <w:rFonts w:ascii="Times New Roman" w:cs="Times New Roman" w:eastAsia="Times New Roman" w:hAnsi="Times New Roman"/>
          <w:sz w:val="18"/>
          <w:szCs w:val="18"/>
          <w:color w:val="231F20"/>
        </w:rPr>
        <w:t>Additional adjustments related to 2021 acquisitions were not material in the current period.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weighted-average amortization periods for the acquired customer relationships and covenants not to compete are 7.0 years and 5.0 years, respectively.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acquisitions were located in the following markets: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(Seller)</w:t>
            </w:r>
          </w:p>
        </w:tc>
        <w:tc>
          <w:tcPr>
            <w:tcW w:w="414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Number of Washes</w:t>
            </w:r>
          </w:p>
        </w:tc>
        <w:tc>
          <w:tcPr>
            <w:tcW w:w="18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 Acquired</w:t>
            </w:r>
          </w:p>
        </w:tc>
      </w:tr>
      <w:tr>
        <w:trPr>
          <w:trHeight w:val="209"/>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Florida (Superwash Express)</w:t>
            </w:r>
          </w:p>
        </w:tc>
        <w:tc>
          <w:tcPr>
            <w:tcW w:w="4140" w:type="dxa"/>
            <w:vAlign w:val="bottom"/>
            <w:shd w:val="clear" w:color="auto" w:fill="CFF0FC"/>
          </w:tcPr>
          <w:p>
            <w:pPr>
              <w:jc w:val="center"/>
              <w:ind w:left="235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June</w:t>
            </w: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 (Super Suds Car Wash)</w:t>
            </w:r>
          </w:p>
        </w:tc>
        <w:tc>
          <w:tcPr>
            <w:tcW w:w="4140" w:type="dxa"/>
            <w:vAlign w:val="bottom"/>
          </w:tcPr>
          <w:p>
            <w:pPr>
              <w:jc w:val="center"/>
              <w:ind w:left="235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w:t>
            </w:r>
          </w:p>
        </w:tc>
      </w:tr>
      <w:tr>
        <w:trPr>
          <w:trHeight w:val="21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Texas (Daddy O's Car Wash)</w:t>
            </w:r>
          </w:p>
        </w:tc>
        <w:tc>
          <w:tcPr>
            <w:tcW w:w="4140" w:type="dxa"/>
            <w:vAlign w:val="bottom"/>
            <w:shd w:val="clear" w:color="auto" w:fill="CFF0FC"/>
          </w:tcPr>
          <w:p>
            <w:pPr>
              <w:jc w:val="center"/>
              <w:ind w:left="235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w:t>
            </w: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 (Downtowner Car Wash)</w:t>
            </w:r>
          </w:p>
        </w:tc>
        <w:tc>
          <w:tcPr>
            <w:tcW w:w="4140" w:type="dxa"/>
            <w:vAlign w:val="bottom"/>
          </w:tcPr>
          <w:p>
            <w:pPr>
              <w:jc w:val="center"/>
              <w:ind w:left="235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1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Florida (Clean Streak Ventures LLC)</w:t>
            </w:r>
          </w:p>
        </w:tc>
        <w:tc>
          <w:tcPr>
            <w:tcW w:w="4140" w:type="dxa"/>
            <w:vAlign w:val="bottom"/>
            <w:shd w:val="clear" w:color="auto" w:fill="CFF0FC"/>
          </w:tcPr>
          <w:p>
            <w:pPr>
              <w:jc w:val="center"/>
              <w:ind w:left="2350"/>
              <w:spacing w:after="0"/>
              <w:rPr>
                <w:sz w:val="20"/>
                <w:szCs w:val="20"/>
                <w:color w:val="auto"/>
              </w:rPr>
            </w:pPr>
            <w:r>
              <w:rPr>
                <w:rFonts w:ascii="Times New Roman" w:cs="Times New Roman" w:eastAsia="Times New Roman" w:hAnsi="Times New Roman"/>
                <w:sz w:val="18"/>
                <w:szCs w:val="18"/>
                <w:color w:val="auto"/>
                <w:w w:val="99"/>
              </w:rPr>
              <w:t>23</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15.  Related-Party Transactions</w:t>
      </w:r>
    </w:p>
    <w:p>
      <w:pPr>
        <w:spacing w:after="0" w:line="10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231F20"/>
        </w:rPr>
        <w:t>For various advisory and monitoring services provided to the Company, Leonard Green &amp; Partners ("LGP"), the majority owner of the Company, historically received $1,000 annually for various advisory and monitoring services provided to the Company pursuant to a management services agreement. For the three and six months ended June 30, 2022, the Company did not pay fees and expenses to LGP. For the three and six months ended, June 30, 2021, total fees and expenses paid by the Company to LGP were $250 and $500, respectively. Fees and expenses paid to LGP are included in general and administrative expenses in the accompanying unaudited condensed consolidated statements of operations and comprehensive income. The management services agreement terminated in June 2021 upon the consummation of the IPO.</w:t>
      </w:r>
    </w:p>
    <w:p>
      <w:pPr>
        <w:spacing w:after="0" w:line="7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231F20"/>
        </w:rPr>
        <w:t>LGP was one of the Company’s creditors under the Amended Second Lien Credit Agreement with an investment in 2020 of $5,625 in the Second Lien Term Loan. The Company made a voluntary prepayment of all outstanding balances under the Second Lien Term Loan in June 2021. See Note 8 Debt for additional information.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2" w:name="page23"/>
    <w:bookmarkEnd w:id="22"/>
    <w:p>
      <w:pPr>
        <w:ind w:right="8300" w:firstLine="8"/>
        <w:spacing w:after="0" w:line="369" w:lineRule="auto"/>
        <w:tabs>
          <w:tab w:leader="none" w:pos="360" w:val="left"/>
        </w:tabs>
        <w:numPr>
          <w:ilvl w:val="0"/>
          <w:numId w:val="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Commitments and Contingencies Litigation</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231F20"/>
        </w:rPr>
        <w:t>From time to time, the Company is party to pending or threatened lawsuits arising out of or incident to the ordinary course of business. The Company carries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Insurance</w:t>
      </w:r>
    </w:p>
    <w:p>
      <w:pPr>
        <w:spacing w:after="0" w:line="1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231F20"/>
        </w:rPr>
        <w:t xml:space="preserve">The Company carries a broad range of insurance coverage, including general and business auto liability, commercial property, workers’ compensation, cyber risk, and general umbrella policies. As of June 30, 2022 and December 31, 2021, the Company accrued </w:t>
      </w:r>
      <w:r>
        <w:rPr>
          <w:rFonts w:ascii="Times New Roman" w:cs="Times New Roman" w:eastAsia="Times New Roman" w:hAnsi="Times New Roman"/>
          <w:sz w:val="18"/>
          <w:szCs w:val="18"/>
          <w:color w:val="000000"/>
        </w:rPr>
        <w:t>$3,254 and</w:t>
      </w:r>
      <w:r>
        <w:rPr>
          <w:rFonts w:ascii="Times New Roman" w:cs="Times New Roman" w:eastAsia="Times New Roman" w:hAnsi="Times New Roman"/>
          <w:sz w:val="18"/>
          <w:szCs w:val="18"/>
          <w:color w:val="231F20"/>
        </w:rPr>
        <w:t xml:space="preserve"> $3,169, respectively, for assessments on insurance claims filed, which are included in other accrued expenses in the accompanying unaudited condensed consolidated balance sheets. As of June 30, 2022 and December 31, 2021, the Company recorded </w:t>
      </w:r>
      <w:r>
        <w:rPr>
          <w:rFonts w:ascii="Times New Roman" w:cs="Times New Roman" w:eastAsia="Times New Roman" w:hAnsi="Times New Roman"/>
          <w:sz w:val="18"/>
          <w:szCs w:val="18"/>
          <w:color w:val="000000"/>
        </w:rPr>
        <w:t>$2,653 and</w:t>
      </w:r>
      <w:r>
        <w:rPr>
          <w:rFonts w:ascii="Times New Roman" w:cs="Times New Roman" w:eastAsia="Times New Roman" w:hAnsi="Times New Roman"/>
          <w:sz w:val="18"/>
          <w:szCs w:val="18"/>
          <w:color w:val="231F20"/>
        </w:rPr>
        <w:t xml:space="preserve"> $2,594, respectively, in receivables from its non-healthcare insurance carriers related to these insurance claims, which are included in other receivables in the accompanying unaudited condensed consolidated balance sheets. The receivables are paid when the claim is finalized and the reserved amounts on these claims are expected to be paid within one year.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Environmental Matters</w:t>
      </w:r>
    </w:p>
    <w:p>
      <w:pPr>
        <w:spacing w:after="0" w:line="12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231F20"/>
        </w:rPr>
        <w:t>Operations at certain facilities currently or previously owned or leased by the Company utilize, or in the past have utilized, hazardous substances generally in compliance with applicable law. Periodically, the Company has had minor claims asserted against it by regulatory agencies or private parties for environmental matters relating to the handling of hazardous substances by the Company, and it has incurred obligations for investigations or remedial actions with respect to certain of these matters. There can be no assurances that activities at these facilities, or future facilities owned or operated by the Company, may not result in additional environmental claims being asserted against the Company or additional investigations or remedial actions being required. The Company is not aware of any significant remediation matters as of June 30, 2022.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the Company is unable to reasonably estimate the ultimate cost of claims asserted against the Company related to environmental matters; however, the Company does not believe such costs will be material to its unaudited condensed consolidated financial statements.</w:t>
      </w:r>
    </w:p>
    <w:p>
      <w:pPr>
        <w:spacing w:after="0" w:line="7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231F20"/>
        </w:rPr>
        <w:t>In addition to potential claims asserted against the Company, there are certain regulatory obligations associated with these facilities. The Company also has a third-party specialist to review the sites subject to these regulations annually, for the purpose of assigning future cost. A third party has conducted a preliminary assessment of site restoration provisions arising from these regulations and the Company has recognized a provisional amount. As of June 30, 2022 and December 31, 2021, the Company recorded an environmental remediation accrual of $12, which is included in other accrued expenses in the accompanying unaudited condensed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17. Subsequent Events</w:t>
      </w:r>
    </w:p>
    <w:p>
      <w:pPr>
        <w:spacing w:after="0" w:line="121" w:lineRule="exact"/>
        <w:rPr>
          <w:sz w:val="20"/>
          <w:szCs w:val="20"/>
          <w:color w:val="auto"/>
        </w:rPr>
      </w:pPr>
    </w:p>
    <w:p>
      <w:pPr>
        <w:ind w:left="5540" w:right="620" w:hanging="5525"/>
        <w:spacing w:after="0" w:line="391" w:lineRule="auto"/>
        <w:rPr>
          <w:sz w:val="20"/>
          <w:szCs w:val="20"/>
          <w:color w:val="auto"/>
        </w:rPr>
      </w:pPr>
      <w:r>
        <w:rPr>
          <w:rFonts w:ascii="Times New Roman" w:cs="Times New Roman" w:eastAsia="Times New Roman" w:hAnsi="Times New Roman"/>
          <w:sz w:val="18"/>
          <w:szCs w:val="18"/>
          <w:color w:val="231F20"/>
        </w:rPr>
        <w:t xml:space="preserve">On July 15, 2022, the Company completed one sale-leaseback transaction related to its car wash locations with aggregate consideration of $55,200. </w:t>
      </w:r>
      <w:r>
        <w:rPr>
          <w:rFonts w:ascii="Times New Roman" w:cs="Times New Roman" w:eastAsia="Times New Roman" w:hAnsi="Times New Roman"/>
          <w:sz w:val="18"/>
          <w:szCs w:val="18"/>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4"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and the audited consolidated financial statements and related notes included in our 2021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other parts of this Quarterly Report on Form 10-Q and in Part I, Item 1A. “Risk Factors” and in Part II. Item 7. “Management’s Discussion and Analysis of Financial Condition and Results of Operations” of our 2021 10-K.</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0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Mister Car Wash, Inc. is the largest national car wash brand, primarily offering express exterior cleaning services, with interior cleaning services at select locations, across 409 car washes in 21 states as of June 30, 2022. Founded in 1996, we employ an efficient, repeatable, and scalable process, which we call the “Mister Experience,” to deliver a clean, dry, and shiny car every time. The core pillars of the “Mister Experience” are greeting every customer with a wave and smile, providing them the highest quality car wash, and delivering the experience quickly and conveniently. We offer a monthly subscription program, which we call the Unlimited Wash Club(R) (“UWC”), as a flexible, quick, and convenient option for customers to keep their cars clean. As of June 30, 2022 and June 30, 2021, we had approximately 1.8 million and approximately 1.5 million UWC Members, respectively. This represented a 20% increase over the same time last year. For the three months ended June 30, 2022 and 2021, UWC sales represented 66% and 62% of our total wash sales, respectively, and UWC volume represented 76% and 72% of our total wash volume, respectively. Our scale and over 25 years of innovation allow us to drive operating efficiencies and invest in training, infrastructure, and technology that improve speed of service, quality, and sustainability and realize strong financial performance.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 and Trends</w:t>
      </w:r>
    </w:p>
    <w:p>
      <w:pPr>
        <w:spacing w:after="0" w:line="10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We believe that our business and growth depend on a number of factors that present significant opportunities for us and may pose risks and challenges, including those discussed below and in Part I, Item 1A. “Risk Factors” of our 2021 10-K.</w:t>
      </w:r>
    </w:p>
    <w:p>
      <w:pPr>
        <w:spacing w:after="0" w:line="134" w:lineRule="exact"/>
        <w:rPr>
          <w:sz w:val="20"/>
          <w:szCs w:val="20"/>
          <w:color w:val="auto"/>
        </w:rPr>
      </w:pPr>
    </w:p>
    <w:p>
      <w:pPr>
        <w:ind w:left="480" w:right="60" w:hanging="337"/>
        <w:spacing w:after="0" w:line="232"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Growth in comparable store sales. </w:t>
      </w:r>
      <w:r>
        <w:rPr>
          <w:rFonts w:ascii="Times New Roman" w:cs="Times New Roman" w:eastAsia="Times New Roman" w:hAnsi="Times New Roman"/>
          <w:sz w:val="18"/>
          <w:szCs w:val="18"/>
          <w:color w:val="auto"/>
        </w:rPr>
        <w:t>Comparable store sales have been a strong driver of our net revenue growth and we expect it to continue to play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role in our future growth and profitability. We will seek to continue to grow our comparable store sales by increasing the number of UWC Members, increasing efficiency and throughput of our car wash locations, increasing marketing spend to add new customers, and increasing customer visitation frequency.</w:t>
      </w:r>
    </w:p>
    <w:p>
      <w:pPr>
        <w:spacing w:after="0" w:line="197" w:lineRule="exact"/>
        <w:rPr>
          <w:rFonts w:ascii="Times New Roman" w:cs="Times New Roman" w:eastAsia="Times New Roman" w:hAnsi="Times New Roman"/>
          <w:sz w:val="18"/>
          <w:szCs w:val="18"/>
          <w:color w:val="auto"/>
        </w:rPr>
      </w:pPr>
    </w:p>
    <w:p>
      <w:pPr>
        <w:ind w:left="480" w:right="220" w:hanging="337"/>
        <w:spacing w:after="0" w:line="238"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and loyalty of UWC Members</w:t>
      </w:r>
      <w:r>
        <w:rPr>
          <w:rFonts w:ascii="Times New Roman" w:cs="Times New Roman" w:eastAsia="Times New Roman" w:hAnsi="Times New Roman"/>
          <w:sz w:val="18"/>
          <w:szCs w:val="18"/>
          <w:color w:val="auto"/>
        </w:rPr>
        <w:t>. The UWC program is a critical element of our business. UWC Members contribute a significant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revenue and provide recurring revenue through their monthly Membership fees.</w:t>
      </w:r>
    </w:p>
    <w:p>
      <w:pPr>
        <w:spacing w:after="0" w:line="196" w:lineRule="exact"/>
        <w:rPr>
          <w:rFonts w:ascii="Times New Roman" w:cs="Times New Roman" w:eastAsia="Times New Roman" w:hAnsi="Times New Roman"/>
          <w:sz w:val="18"/>
          <w:szCs w:val="18"/>
          <w:color w:val="auto"/>
        </w:rPr>
      </w:pPr>
    </w:p>
    <w:p>
      <w:pPr>
        <w:ind w:left="480" w:right="120" w:hanging="337"/>
        <w:spacing w:after="0" w:line="229"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 management. </w:t>
      </w:r>
      <w:r>
        <w:rPr>
          <w:rFonts w:ascii="Times New Roman" w:cs="Times New Roman" w:eastAsia="Times New Roman" w:hAnsi="Times New Roman"/>
          <w:sz w:val="18"/>
          <w:szCs w:val="18"/>
          <w:color w:val="auto"/>
        </w:rPr>
        <w:t>Hiring and retaining skilled team members and experienced management represents one of our largest costs. We believe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0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results have been affected by, and may in the future be affected by, the following factors, which must be understood in order to assess the comparability of our period-to-period financial performance and condition.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Greenfield Location Development</w:t>
      </w:r>
    </w:p>
    <w:p>
      <w:pPr>
        <w:spacing w:after="0" w:line="10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Our primary historical growth strategy has involved acquiring local and regional car wash operators, upgrading the facilities and equipment, training the team to provide the “Mister Experience,” and converting the site to the “Mister” brand. More recently, we have also grown through greenfield development of Mister Car Wash locations, with particular focus on Express Exterior Locations, and anticipate further pursuit of this strategy in the future. In the three and six months ended June 30, 2022, we successfully opened four and seven greenfield locations, respectively. Our future location growth will be dependent on greenfield development.</w:t>
      </w:r>
    </w:p>
    <w:p>
      <w:pPr>
        <w:spacing w:after="0" w:line="6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and six months ended June 30, 2022, we completed two acquisitions of five properties that operated as conveyorized car washes.</w:t>
      </w:r>
    </w:p>
    <w:p>
      <w:pPr>
        <w:spacing w:after="0" w:line="10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Following an acquisition, we implement a variety of operational improvements to unify branding and enhance profitability. As soon as feasible, we fully integrate and transition acquired locations to the “Mister” brand and make investments to improve site flow, upgrade tunnel equipment and technology, and install our proprietary Unity Chemical system, which is a unique blend of our signature products utilizing the newest technology and services to make a better car wash experience for our customers. We also establish member-only lanes, optimize service offerings and implement training initiatives that we have successfully utilized to improve team member engagement and drive UWC growth post-acquisition. The costs associated with these onboarding initiatives, which vary by site, can impact the comparability of our results.</w:t>
      </w:r>
    </w:p>
    <w:p>
      <w:pPr>
        <w:spacing w:after="0" w:line="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comparability of our results may also be impacted by the inclusion of financial performance of our acquisitions that have not delivered a full fiscal year of financial results under Mister Car Wash’s ownership.</w:t>
      </w:r>
    </w:p>
    <w:p>
      <w:pPr>
        <w:spacing w:after="0" w:line="5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See Note 14 Business Combinations to our unaudited condensed consolidated financial statements included elsewhere in this Quarterly Report on Form 10-Q for additional discussion.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prepare and analyze various operating and financial data to assess the performance of our business and to help in the allocation of our resources. The key operating performance and financial metrics and indicators we use are set forth below, as of and for the three and six months ended June 30, 2022 and 2021.</w:t>
      </w:r>
    </w:p>
    <w:p>
      <w:pPr>
        <w:spacing w:after="0" w:line="164"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304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40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and Operating Data</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 count (end of period)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store sales growth</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93 %</w:t>
            </w:r>
          </w:p>
        </w:tc>
        <w:tc>
          <w:tcPr>
            <w:tcW w:w="3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Members (in thousands, end of period)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sales as a percentage of total wash sales</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66 %</w:t>
            </w: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62 %</w:t>
            </w:r>
          </w:p>
        </w:tc>
        <w:tc>
          <w:tcPr>
            <w:tcW w:w="3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65 %</w:t>
            </w:r>
          </w:p>
        </w:tc>
        <w:tc>
          <w:tcPr>
            <w:tcW w:w="32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2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(110,300 )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71,147</w:t>
            </w:r>
          </w:p>
        </w:tc>
        <w:tc>
          <w:tcPr>
            <w:tcW w:w="3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(85,716 )</w:t>
            </w:r>
          </w:p>
        </w:tc>
        <w:tc>
          <w:tcPr>
            <w:tcW w:w="120" w:type="dxa"/>
            <w:vAlign w:val="bottom"/>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margin</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15.8 %</w:t>
            </w:r>
          </w:p>
        </w:tc>
        <w:tc>
          <w:tcPr>
            <w:tcW w:w="3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(56.0 )%</w:t>
            </w:r>
          </w:p>
        </w:tc>
        <w:tc>
          <w:tcPr>
            <w:tcW w:w="3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16.0 %</w:t>
            </w:r>
          </w:p>
        </w:tc>
        <w:tc>
          <w:tcPr>
            <w:tcW w:w="3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74,476</w:t>
            </w:r>
          </w:p>
        </w:tc>
        <w:tc>
          <w:tcPr>
            <w:tcW w:w="2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73,078</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149,325</w:t>
            </w:r>
          </w:p>
        </w:tc>
        <w:tc>
          <w:tcPr>
            <w:tcW w:w="3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33.1 %</w:t>
            </w: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37.1 %</w:t>
            </w:r>
          </w:p>
        </w:tc>
        <w:tc>
          <w:tcPr>
            <w:tcW w:w="3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33.6 %</w:t>
            </w:r>
          </w:p>
        </w:tc>
        <w:tc>
          <w:tcPr>
            <w:tcW w:w="32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-958215</wp:posOffset>
            </wp:positionV>
            <wp:extent cx="684149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41490" cy="13716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-684530</wp:posOffset>
            </wp:positionV>
            <wp:extent cx="684149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41490" cy="13716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-410210</wp:posOffset>
            </wp:positionV>
            <wp:extent cx="684149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41490" cy="13716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-136525</wp:posOffset>
            </wp:positionV>
            <wp:extent cx="684149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41490" cy="13716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Count (end of period)</w:t>
      </w:r>
    </w:p>
    <w:p>
      <w:pPr>
        <w:spacing w:after="0" w:line="10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Our location count refers to the total number of car wash locations at the end of a period, inclusive of new greenfield locations, acquired locations, and closed locations. The total number of locations that we operate, as well as the timing of location openings, acquisitions, and closings, have, and will continue to have, an impact on our performance. In the three months ended June 30, 2022, we increased our location count by 10 locations, comprised of four greenfield locations and six acquired locations. In the six months ended June 30, 2022, we increased our location count by 13 locations, comprised of seven greenfield locations and six acquired locations. One location, which was part of a 2021 acquisition, opened during the three months ended June 30, 2022 and is included as an acquired location above.</w:t>
      </w:r>
    </w:p>
    <w:p>
      <w:pPr>
        <w:spacing w:after="0" w:line="7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Express Exterior Locations, which offer express exterior cleaning services, comprise 332 of our current locations and our Interior Cleaning Locations, which offer both express exterior cleaning services and interior cleaning services, comprise 77 of our current locations.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 Growth</w:t>
      </w:r>
    </w:p>
    <w:p>
      <w:pPr>
        <w:spacing w:after="0" w:line="107"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 location is considered a comparable store on the first day of the 13th full calendar month following a location’s first day of operations.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68" w:lineRule="exact"/>
        <w:rPr>
          <w:sz w:val="20"/>
          <w:szCs w:val="20"/>
          <w:color w:val="auto"/>
        </w:rPr>
      </w:pPr>
    </w:p>
    <w:p>
      <w:pPr>
        <w:jc w:val="both"/>
        <w:ind w:right="200"/>
        <w:spacing w:after="0" w:line="247" w:lineRule="auto"/>
        <w:rPr>
          <w:sz w:val="20"/>
          <w:szCs w:val="20"/>
          <w:color w:val="auto"/>
        </w:rPr>
      </w:pPr>
      <w:r>
        <w:rPr>
          <w:rFonts w:ascii="Times New Roman" w:cs="Times New Roman" w:eastAsia="Times New Roman" w:hAnsi="Times New Roman"/>
          <w:sz w:val="18"/>
          <w:szCs w:val="18"/>
          <w:color w:val="auto"/>
        </w:rPr>
        <w:t>Opening new locations is a primary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 For the three months ended June 30, 2022, comparable store sales increased to 2% compared to an increase of 93% in the three months ended June 30, 2021.</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UWC Members (end of period)</w:t>
      </w:r>
    </w:p>
    <w:p>
      <w:pPr>
        <w:spacing w:after="0" w:line="12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1.8 million and approximately 1.5 million UWC Members as of June 30, 2022 and June 30, 2021, respectively. There were approximately 1.7 million UWC Members as of December 31, 2021.</w:t>
      </w:r>
    </w:p>
    <w:p>
      <w:pPr>
        <w:spacing w:after="0" w:line="72"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Our UWC Members grew by approximately 20% from June 30, 2021 through June 30, 2022 and approximately 11% from December 31, 2021 through June 30, 2022.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UWC Sales as a Percentage of Total Wash Sales</w:t>
      </w:r>
    </w:p>
    <w:p>
      <w:pPr>
        <w:spacing w:after="0" w:line="1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w:t>
      </w:r>
    </w:p>
    <w:p>
      <w:pPr>
        <w:ind w:right="60"/>
        <w:spacing w:after="0" w:line="246" w:lineRule="auto"/>
        <w:rPr>
          <w:sz w:val="20"/>
          <w:szCs w:val="20"/>
          <w:color w:val="auto"/>
        </w:rPr>
      </w:pPr>
      <w:r>
        <w:rPr>
          <w:rFonts w:ascii="Times New Roman" w:cs="Times New Roman" w:eastAsia="Times New Roman" w:hAnsi="Times New Roman"/>
          <w:sz w:val="18"/>
          <w:szCs w:val="18"/>
          <w:color w:val="auto"/>
        </w:rPr>
        <w:t>We have consistently grown this measure over time as we educate customers as to the value of our subscription offering. UWC sales were 66% and 62% of our total wash sales for the three months ended June 30, 2022 and 2021, respectively. UWC sales were 65% and 62% of our total wash sales for the six months ended June 30, 2022 and 2021, respectively.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0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Adjusted EBITDA is a non-GAAP measure of our financial performance and should not be considered as an alternative to net income as a measure of financial performance or any other performance measure derived in accordance with generally accepted accounting principles in the United States of America (“U.S. GAAP”) and should not be construed as an inference that our future results will be unaffected by unusual or nonrecurring items. Adjusted EBITDA is defined as net income (loss) before interest expense, net, income tax provision, depreciation and amortization expense, loss (gain) on sale of assets, gain on sale of quick lube facilities, dividend recapitalization fees and payments, loss on early debt extinguishment, stock-based compensation expense, acquisition expenses, management fees, non-cash rent expense, expenses associated with securities offerings, and other nonrecurring charges. Adjusted EBITDA margin is defined as Adjusted EBITDA divided by net revenues for a given period.</w:t>
      </w:r>
    </w:p>
    <w:p>
      <w:pPr>
        <w:spacing w:after="0" w:line="91"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90"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8"/>
          <w:szCs w:val="18"/>
          <w:color w:val="auto"/>
        </w:rPr>
        <w:t>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Amended A&amp;R First Lien Credit Agreement uses measures similar to Adjusted EBITDA to measure our compliance with certain covenants.</w:t>
      </w:r>
    </w:p>
    <w:p>
      <w:pPr>
        <w:spacing w:after="0" w:line="7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122" w:lineRule="exact"/>
        <w:rPr>
          <w:sz w:val="20"/>
          <w:szCs w:val="20"/>
          <w:color w:val="auto"/>
        </w:rPr>
      </w:pPr>
    </w:p>
    <w:p>
      <w:pPr>
        <w:ind w:left="480" w:hanging="337"/>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 or future requirements for capital expenditures or contractual commitments;</w:t>
      </w:r>
    </w:p>
    <w:p>
      <w:pPr>
        <w:spacing w:after="0" w:line="399"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our cash requirements for our working capital needs;</w:t>
      </w:r>
    </w:p>
    <w:p>
      <w:pPr>
        <w:spacing w:after="0" w:line="386"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and the cash requirements necessary to service interest or principal payments on our debt;</w:t>
      </w:r>
    </w:p>
    <w:p>
      <w:pPr>
        <w:spacing w:after="0" w:line="386"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requirements for replacement of assets that are being depreciated and amortized;</w:t>
      </w:r>
    </w:p>
    <w:p>
      <w:pPr>
        <w:spacing w:after="0" w:line="386"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compensation, which is a key element of our overall long-term compensation;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6" w:name="page27"/>
    <w:bookmarkEnd w:id="26"/>
    <w:p>
      <w:pPr>
        <w:ind w:left="480" w:right="80" w:hanging="337"/>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certain cash charges or cash receipts resulting from matters we do not find indicative of our ongoing operations; and</w:t>
      </w:r>
    </w:p>
    <w:p>
      <w:pPr>
        <w:spacing w:after="0" w:line="175"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w:t>
      </w:r>
    </w:p>
    <w:p>
      <w:pPr>
        <w:spacing w:after="0" w:line="305"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Adjusted EBITDA was approximately $74.5 million and $73.1 million in the three months ended June 30, 2022 and 2021, respectively. Our Adjusted EBITDA margin was 33.1% and 37.1% in the three months ended June 30, 2022 and 2021, respectively. Adjusted EBITDA was approximately $149.3 million and $134.6 million in the six months ended June 30, 2022 and 2021, respectively. Our Adjusted EBITDA margin was 33.6% and 36.1% in the six months ended June 30, 2022 and 2021. The following is a reconciliation of our net income to Adjusted EBITDA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27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02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Adjusted EBITDA:</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(110,300 )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71,147</w:t>
            </w:r>
          </w:p>
        </w:tc>
        <w:tc>
          <w:tcPr>
            <w:tcW w:w="3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(85,716 )</w:t>
            </w: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16,928</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(44,569 )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(36,187 )</w:t>
            </w: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30,081</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assets (a)</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(3,146 )</w:t>
            </w:r>
          </w:p>
        </w:tc>
        <w:tc>
          <w:tcPr>
            <w:tcW w:w="3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(7,097 )</w:t>
            </w: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(2,687 )</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(6,307 )</w:t>
            </w: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 (b)</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203,231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Acquisition expenses (c)</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 (d)</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rent expense (e)</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 associated with initial public offering (f)</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(g)</w:t>
            </w: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74,476</w:t>
            </w:r>
          </w:p>
        </w:tc>
        <w:tc>
          <w:tcPr>
            <w:tcW w:w="3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73,078</w:t>
            </w: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149,325</w:t>
            </w:r>
          </w:p>
        </w:tc>
        <w:tc>
          <w:tcPr>
            <w:tcW w:w="3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225,159</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197,080</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444,578</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372,588</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33.1 %</w:t>
            </w:r>
          </w:p>
        </w:tc>
        <w:tc>
          <w:tcPr>
            <w:tcW w:w="3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37.1 %</w:t>
            </w:r>
          </w:p>
        </w:tc>
        <w:tc>
          <w:tcPr>
            <w:tcW w:w="2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33.6 %</w:t>
            </w:r>
          </w:p>
        </w:tc>
        <w:tc>
          <w:tcPr>
            <w:tcW w:w="2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-456565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-456565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-456565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ind w:left="1020" w:right="88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losses on the disposition of assets associated with sale-leaseback transactions, store closures or the sale of property and equipment.</w:t>
      </w:r>
    </w:p>
    <w:p>
      <w:pPr>
        <w:spacing w:after="0" w:line="4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expense associated with our share-based payments.</w:t>
      </w:r>
    </w:p>
    <w:p>
      <w:pPr>
        <w:spacing w:after="0" w:line="103" w:lineRule="exact"/>
        <w:rPr>
          <w:rFonts w:ascii="Times New Roman" w:cs="Times New Roman" w:eastAsia="Times New Roman" w:hAnsi="Times New Roman"/>
          <w:sz w:val="18"/>
          <w:szCs w:val="18"/>
          <w:color w:val="auto"/>
        </w:rPr>
      </w:pPr>
    </w:p>
    <w:p>
      <w:pPr>
        <w:ind w:left="1020" w:right="140" w:hanging="504"/>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w:t>
      </w:r>
    </w:p>
    <w:p>
      <w:pPr>
        <w:spacing w:after="0" w:line="60" w:lineRule="exact"/>
        <w:rPr>
          <w:rFonts w:ascii="Times New Roman" w:cs="Times New Roman" w:eastAsia="Times New Roman" w:hAnsi="Times New Roman"/>
          <w:sz w:val="18"/>
          <w:szCs w:val="18"/>
          <w:color w:val="auto"/>
        </w:rPr>
      </w:pPr>
    </w:p>
    <w:p>
      <w:pPr>
        <w:ind w:left="1020" w:right="760" w:hanging="504"/>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Leonard Green &amp; Partners in accordance with our management services agreement, which terminated on the consummation of our initial public offering in June 2021 (“IPO”).</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cash paid for rent expense and U.S. GAAP rent expense.</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expenses associated with the consummation of our IPO in June 2021.</w:t>
      </w:r>
    </w:p>
    <w:p>
      <w:pPr>
        <w:spacing w:after="0" w:line="103" w:lineRule="exact"/>
        <w:rPr>
          <w:rFonts w:ascii="Times New Roman" w:cs="Times New Roman" w:eastAsia="Times New Roman" w:hAnsi="Times New Roman"/>
          <w:sz w:val="18"/>
          <w:szCs w:val="18"/>
          <w:color w:val="auto"/>
        </w:rPr>
      </w:pPr>
    </w:p>
    <w:p>
      <w:pPr>
        <w:ind w:left="1020" w:right="400" w:hanging="504"/>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other items as determined by management not to be reflective of our ongoing operating performance, such as costs associated with our one-time rebranding initiative costs, severance pay, non-deferred legal fees and other expenses related to credit agreement amendments, legal settlements and legal fees related to contract terminations, and nonrecurring strategic project costs.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0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 xml:space="preserve">We recognize revenue in two main streams: (i) the UWC program that entitles the customer to unlimited washes for a monthly subscription fee, cancellable at any time and (ii) retail car washes and other services. In the UWC program, we enter into a contract with the customer that falls under the definition of a customer contract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Customers are automatically charged on a credit card or debit card on the same date of the month that they originally signed up. Our performance obligations are to provide unlimited car wash services for a monthly fee. Revenue from the UWC program is recognized ratably over the month in which it is earned and amounts unearned are recorded as deferred revenue on the unaudited condensed consolidated balance sheets; all amounts recorded as deferred revenue at year-end are recognized as revenue in the following year. Revenue from retail car wash and other services is recognized at the point in time at which services are rendered and the customer</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10" w:right="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pays with cash, debit card, or credit card. Revenues are net of sales tax, refunds, and discounts applied as a reduction of revenue at the time of payment.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Costs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 operating costs consist of cost of labor and chemicals and other car wash store operating expenses.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Labor and Chemicals</w:t>
      </w:r>
    </w:p>
    <w:p>
      <w:pPr>
        <w:spacing w:after="0" w:line="11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 xml:space="preserve">Cost of labor and chemicals include compensation and related employee benefit expenses associated with car wash employees, maintenance employees, warehouse employees, chemicals and associated supplies, including wages, cash bonuses, stock-based compensation, taxes, insurance, and workers compensation payments as reported in the unaudited condensed consolidated statements of operations and comprehensive </w:t>
      </w:r>
      <w:r>
        <w:rPr>
          <w:rFonts w:ascii="Times New Roman" w:cs="Times New Roman" w:eastAsia="Times New Roman" w:hAnsi="Times New Roman"/>
          <w:sz w:val="18"/>
          <w:szCs w:val="18"/>
          <w:color w:val="231F20"/>
        </w:rPr>
        <w:t>income</w:t>
      </w:r>
      <w:r>
        <w:rPr>
          <w:rFonts w:ascii="Times New Roman" w:cs="Times New Roman" w:eastAsia="Times New Roman" w:hAnsi="Times New Roman"/>
          <w:sz w:val="18"/>
          <w:szCs w:val="18"/>
          <w:color w:val="auto"/>
        </w:rPr>
        <w:t xml:space="preserve"> included elsewhere in this Quarterly Report on Form 10-Q.</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Store Operating Expenses</w:t>
      </w:r>
    </w:p>
    <w:p>
      <w:pPr>
        <w:spacing w:after="0" w:line="105"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7"/>
          <w:szCs w:val="17"/>
          <w:color w:val="auto"/>
        </w:rPr>
        <w:t>Other store operating expenses includes all other costs related to the operations of car wash and warehouse locations such as credit card fees, car damages, office and lobby supplies, information technology costs associated with the locations, telecommunications, advertising, non-healthcare related insurance, rent, repairs and maintenance related to assets, utilities, property taxes, and depreciation expense on assets at the car wash and warehouse locations.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include compensation expenses and the related employee benefits of headquarters employees, including wages, cash bonuses, stock-based compensation, taxes, insurance, and workers compensation payments, as well as information technology expenses, administrative office expenses, professional services and other related expenses, depreciation expense on held-for-use assets used at our headquarters, and amortization expense associated with our intangible assets.</w:t>
      </w:r>
    </w:p>
    <w:p>
      <w:pPr>
        <w:spacing w:after="0" w:line="8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 xml:space="preserve">We will continue to incur significant expenses on an ongoing basis that we did not incur as a private company. Those costs include additional director and officer liability insurance expenses, as well as third-party and internal resources related to accounting, auditing, Sarbanes-Oxley Act compliance, legal, and investor and public relations expenses. We expect such expenses to further increase after we are no longer an emerging growth company. These costs will generally be expensed under general and administrative expenses in the unaudited condensed consolidated statements of operations and comprehensive </w:t>
      </w:r>
      <w:r>
        <w:rPr>
          <w:rFonts w:ascii="Times New Roman" w:cs="Times New Roman" w:eastAsia="Times New Roman" w:hAnsi="Times New Roman"/>
          <w:sz w:val="18"/>
          <w:szCs w:val="18"/>
          <w:color w:val="231F20"/>
        </w:rPr>
        <w:t xml:space="preserve">income </w:t>
      </w:r>
      <w:r>
        <w:rPr>
          <w:rFonts w:ascii="Times New Roman" w:cs="Times New Roman" w:eastAsia="Times New Roman" w:hAnsi="Times New Roman"/>
          <w:sz w:val="18"/>
          <w:szCs w:val="18"/>
          <w:color w:val="000000"/>
        </w:rPr>
        <w:t>included elsewhere in this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Sale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sale of assets includes losses on the sale-leaseback of our locations and sale of property and equipment.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7"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Interest expense, net consists primarily of cash and non-cash interest expense on borrowings, partially offset by interest income earned on our cash balances.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Loss on extinguishment of debt includes losses associated with amendments to our existing debt that are accounted for as extinguishments, as well as losses associated with partial or whole payments on our debt that qualify for extinguishment accounting.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0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recognize deferred tax assets and liabilities for the expected future tax consequences of events that have been recognized differently in the financial statements or tax returns. Under this method, deferred tax liabilities and assets are determined based on the difference between the financial statement carrying amounts and tax basis of assets and liabilities using enacted tax rates.</w:t>
      </w:r>
    </w:p>
    <w:p>
      <w:pPr>
        <w:spacing w:after="0" w:line="6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 xml:space="preserve">We have adopted a more-likely-than-not threshold for financial statement recognition and measurement of an uncertain tax position taken or expected to be taken in a tax return. We recognize interest and penalties related to uncertain tax positions in income tax provision in our unaudited condensed consolidated statements of operations and comprehensive </w:t>
      </w:r>
      <w:r>
        <w:rPr>
          <w:rFonts w:ascii="Times New Roman" w:cs="Times New Roman" w:eastAsia="Times New Roman" w:hAnsi="Times New Roman"/>
          <w:sz w:val="18"/>
          <w:szCs w:val="18"/>
          <w:color w:val="231F20"/>
        </w:rPr>
        <w:t>income</w:t>
      </w:r>
      <w:r>
        <w:rPr>
          <w:rFonts w:ascii="Times New Roman" w:cs="Times New Roman" w:eastAsia="Times New Roman" w:hAnsi="Times New Roman"/>
          <w:sz w:val="18"/>
          <w:szCs w:val="18"/>
          <w:color w:val="auto"/>
        </w:rPr>
        <w:t xml:space="preserve"> included elsewhere in this Quarterly Report on Form 10-Q.</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June 30, 2022 and 2021 (Unaudited)</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unaudited results of operations data for the three months ended June 30, 2022 and 2021 have been derived from the unaudited condensed consolidated financial statements included elsewhere in this Quarterly Report on Form 10-Q.</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225,159</w:t>
            </w:r>
          </w:p>
        </w:tc>
        <w:tc>
          <w:tcPr>
            <w:tcW w:w="44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197,080</w:t>
            </w:r>
          </w:p>
        </w:tc>
        <w:tc>
          <w:tcPr>
            <w:tcW w:w="4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1"/>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operating costs: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69,351</w:t>
            </w:r>
          </w:p>
        </w:tc>
        <w:tc>
          <w:tcPr>
            <w:tcW w:w="44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87,864</w:t>
            </w:r>
          </w:p>
        </w:tc>
        <w:tc>
          <w:tcPr>
            <w:tcW w:w="4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79,029</w:t>
            </w:r>
          </w:p>
        </w:tc>
        <w:tc>
          <w:tcPr>
            <w:tcW w:w="44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35 %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65,363</w:t>
            </w:r>
          </w:p>
        </w:tc>
        <w:tc>
          <w:tcPr>
            <w:tcW w:w="4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44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188,896</w:t>
            </w:r>
          </w:p>
        </w:tc>
        <w:tc>
          <w:tcPr>
            <w:tcW w:w="4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24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(3,146 )</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18"/>
                <w:szCs w:val="18"/>
                <w:color w:val="auto"/>
              </w:rPr>
            </w:pPr>
          </w:p>
        </w:tc>
        <w:tc>
          <w:tcPr>
            <w:tcW w:w="1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(7,097 )</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170,844</w:t>
            </w:r>
          </w:p>
        </w:tc>
        <w:tc>
          <w:tcPr>
            <w:tcW w:w="4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335,026</w:t>
            </w:r>
          </w:p>
        </w:tc>
        <w:tc>
          <w:tcPr>
            <w:tcW w:w="4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54,315</w:t>
            </w:r>
          </w:p>
        </w:tc>
        <w:tc>
          <w:tcPr>
            <w:tcW w:w="44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24 %</w:t>
            </w:r>
          </w:p>
        </w:tc>
        <w:tc>
          <w:tcPr>
            <w:tcW w:w="260" w:type="dxa"/>
            <w:vAlign w:val="bottom"/>
          </w:tcPr>
          <w:p>
            <w:pPr>
              <w:spacing w:after="0"/>
              <w:rPr>
                <w:sz w:val="18"/>
                <w:szCs w:val="18"/>
                <w:color w:val="auto"/>
              </w:rPr>
            </w:pPr>
          </w:p>
        </w:tc>
        <w:tc>
          <w:tcPr>
            <w:tcW w:w="1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(137,946 )</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44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4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4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44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16,923</w:t>
            </w:r>
          </w:p>
        </w:tc>
        <w:tc>
          <w:tcPr>
            <w:tcW w:w="4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45,553</w:t>
            </w:r>
          </w:p>
        </w:tc>
        <w:tc>
          <w:tcPr>
            <w:tcW w:w="44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(154,869</w:t>
            </w:r>
          </w:p>
        </w:tc>
        <w:tc>
          <w:tcPr>
            <w:tcW w:w="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44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18"/>
                <w:szCs w:val="18"/>
                <w:color w:val="auto"/>
              </w:rPr>
            </w:pPr>
          </w:p>
        </w:tc>
        <w:tc>
          <w:tcPr>
            <w:tcW w:w="1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(44,569 )</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4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(110,300</w:t>
            </w:r>
          </w:p>
        </w:tc>
        <w:tc>
          <w:tcPr>
            <w:tcW w:w="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-2268220</wp:posOffset>
            </wp:positionV>
            <wp:extent cx="71323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-1857375</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-1583690</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-1301115</wp:posOffset>
            </wp:positionV>
            <wp:extent cx="7132320"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-735965</wp:posOffset>
            </wp:positionV>
            <wp:extent cx="7132320"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7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20" w:type="dxa"/>
            <w:vAlign w:val="bottom"/>
          </w:tcPr>
          <w:p>
            <w:pPr>
              <w:spacing w:after="0"/>
              <w:rPr>
                <w:sz w:val="24"/>
                <w:szCs w:val="24"/>
                <w:color w:val="auto"/>
              </w:rPr>
            </w:pPr>
          </w:p>
        </w:tc>
        <w:tc>
          <w:tcPr>
            <w:tcW w:w="1660" w:type="dxa"/>
            <w:vAlign w:val="bottom"/>
            <w:gridSpan w:val="2"/>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80" w:type="dxa"/>
            <w:vAlign w:val="bottom"/>
          </w:tcPr>
          <w:p>
            <w:pPr>
              <w:spacing w:after="0"/>
              <w:rPr>
                <w:sz w:val="18"/>
                <w:szCs w:val="18"/>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225,159</w:t>
            </w:r>
          </w:p>
        </w:tc>
        <w:tc>
          <w:tcPr>
            <w:tcW w:w="34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197,080</w:t>
            </w:r>
          </w:p>
        </w:tc>
        <w:tc>
          <w:tcPr>
            <w:tcW w:w="4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28,079</w:t>
            </w:r>
          </w:p>
        </w:tc>
        <w:tc>
          <w:tcPr>
            <w:tcW w:w="42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Net revenues were $225.2 million for the three months ended June 30, 2022 compared to $197.1 million for the three months ended June 30, 2021, an increase of $28.1 million, or 14%. The increase in net revenues was primarily attributable to the increase in car wash sales due to growth in UWC Members and the year-over-year addition of 58 locations.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Costs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Labor and Chemicals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32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4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8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10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69,351</w:t>
            </w:r>
          </w:p>
        </w:tc>
        <w:tc>
          <w:tcPr>
            <w:tcW w:w="440" w:type="dxa"/>
            <w:vAlign w:val="bottom"/>
          </w:tcPr>
          <w:p>
            <w:pPr>
              <w:spacing w:after="0"/>
              <w:rPr>
                <w:sz w:val="18"/>
                <w:szCs w:val="18"/>
                <w:color w:val="auto"/>
              </w:rPr>
            </w:pPr>
          </w:p>
        </w:tc>
        <w:tc>
          <w:tcPr>
            <w:tcW w:w="110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87,864</w:t>
            </w:r>
          </w:p>
        </w:tc>
        <w:tc>
          <w:tcPr>
            <w:tcW w:w="4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31 %</w:t>
            </w:r>
          </w:p>
        </w:tc>
        <w:tc>
          <w:tcPr>
            <w:tcW w:w="1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45 %</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6"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 xml:space="preserve">Cost of labor and chemicals was $69.4 million for the three months ended June 30, 2022 compared to $87.9 million for the three months ended June 30, 2021, a decrease of $18.5 million, or 21%. The decrease in the cost of labor and chemicals is primarily driven by the prior year recognition of </w:t>
      </w:r>
      <w:r>
        <w:rPr>
          <w:rFonts w:ascii="Times New Roman" w:cs="Times New Roman" w:eastAsia="Times New Roman" w:hAnsi="Times New Roman"/>
          <w:sz w:val="16"/>
          <w:szCs w:val="16"/>
          <w:color w:val="auto"/>
        </w:rPr>
        <w:t>sto</w:t>
      </w:r>
      <w:r>
        <w:rPr>
          <w:rFonts w:ascii="Times New Roman" w:cs="Times New Roman" w:eastAsia="Times New Roman" w:hAnsi="Times New Roman"/>
          <w:sz w:val="18"/>
          <w:szCs w:val="18"/>
          <w:color w:val="auto"/>
        </w:rPr>
        <w:t>ck-based compensation expense of $31.3 million related to our performance-based vesting stock options that vested on the consummation of our IPO in June 2021, as well as the approximately $0.8 million of costs associated with gasoline sales which were offered in the three months ended June 30, 2021 but which we did not offer in the three months ended June 30, 2022. These decreases were partially offset by an increase in labor and benefits of $11.0 million and an increase in wash chemicals and supplies of approximately $1.5 million during the three months ended June 30, 2022, both attributable to an increase in volume and the year-over-year addition of 58 locations, as well as some inflationary pressures on both our labor and chemicals.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Store Operating Expenses</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43"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30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80" w:type="dxa"/>
            <w:vAlign w:val="bottom"/>
          </w:tcPr>
          <w:p>
            <w:pPr>
              <w:spacing w:after="0"/>
              <w:rPr>
                <w:sz w:val="20"/>
                <w:szCs w:val="20"/>
                <w:color w:val="auto"/>
              </w:rPr>
            </w:pPr>
          </w:p>
        </w:tc>
        <w:tc>
          <w:tcPr>
            <w:tcW w:w="180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6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04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79,029</w:t>
            </w:r>
          </w:p>
        </w:tc>
        <w:tc>
          <w:tcPr>
            <w:tcW w:w="380" w:type="dxa"/>
            <w:vAlign w:val="bottom"/>
          </w:tcPr>
          <w:p>
            <w:pPr>
              <w:spacing w:after="0"/>
              <w:rPr>
                <w:sz w:val="18"/>
                <w:szCs w:val="18"/>
                <w:color w:val="auto"/>
              </w:rPr>
            </w:pPr>
          </w:p>
        </w:tc>
        <w:tc>
          <w:tcPr>
            <w:tcW w:w="102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65,363</w:t>
            </w:r>
          </w:p>
        </w:tc>
        <w:tc>
          <w:tcPr>
            <w:tcW w:w="3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38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35 %</w:t>
            </w:r>
          </w:p>
        </w:tc>
        <w:tc>
          <w:tcPr>
            <w:tcW w:w="10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33 %</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Other store operating expenses were $79.0 million for the three months ended June 30, 2022 compared to $65.4 million for the three months ended June 30, 2021, an increase of $13.7 million, or 21%. The increase in other store operating expenses was attributable to the year-over-year addition of 58 locations and some inflationary pressures on our utilities and maintenance expenses. Rent expense increased approximately $2.5 million with the addition of 35 new land and building leases.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00" w:type="dxa"/>
            <w:vAlign w:val="bottom"/>
          </w:tcPr>
          <w:p>
            <w:pPr>
              <w:spacing w:after="0"/>
              <w:rPr>
                <w:sz w:val="24"/>
                <w:szCs w:val="24"/>
                <w:color w:val="auto"/>
              </w:rPr>
            </w:pPr>
          </w:p>
        </w:tc>
        <w:tc>
          <w:tcPr>
            <w:tcW w:w="29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6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vMerge w:val="restart"/>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94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6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360" w:type="dxa"/>
            <w:vAlign w:val="bottom"/>
          </w:tcPr>
          <w:p>
            <w:pPr>
              <w:spacing w:after="0"/>
              <w:rPr>
                <w:sz w:val="18"/>
                <w:szCs w:val="18"/>
                <w:color w:val="auto"/>
              </w:rPr>
            </w:pPr>
          </w:p>
        </w:tc>
        <w:tc>
          <w:tcPr>
            <w:tcW w:w="100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188,896</w:t>
            </w:r>
          </w:p>
        </w:tc>
        <w:tc>
          <w:tcPr>
            <w:tcW w:w="36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(163,286</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10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96 %</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6" w:lineRule="exact"/>
        <w:rPr>
          <w:sz w:val="20"/>
          <w:szCs w:val="20"/>
          <w:color w:val="auto"/>
        </w:rPr>
      </w:pPr>
    </w:p>
    <w:p>
      <w:pPr>
        <w:ind w:right="160" w:firstLine="509"/>
        <w:spacing w:after="0" w:line="243" w:lineRule="auto"/>
        <w:rPr>
          <w:sz w:val="20"/>
          <w:szCs w:val="20"/>
          <w:color w:val="auto"/>
        </w:rPr>
      </w:pPr>
      <w:r>
        <w:rPr>
          <w:rFonts w:ascii="Times New Roman" w:cs="Times New Roman" w:eastAsia="Times New Roman" w:hAnsi="Times New Roman"/>
          <w:sz w:val="18"/>
          <w:szCs w:val="18"/>
          <w:color w:val="auto"/>
        </w:rPr>
        <w:t>General and administrative expenses were $25.6 million for the three months ended June 30, 2022 compared to $188.9 million for the three months ended June 30, 2021, a decrease of $163.3 million, or 86%. The decrease in general and administrative expenses was primarily driven by the prior year recognition of stock-based compensation expense of $170.7 million related to the performance-based vesting stock options that vested on the consummation of our IPO in June 2021. This decrease was partially offset by an increase of approximately $2.0 million in salaries and benefits, an increase of approximately $4.2 million in stock-based compensation expense, and an increase of approximately $2.4 million in other costs, which were primarily attributable to the increased costs of being a public company and increase in corporate headcount.</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Assets</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640" w:type="dxa"/>
            <w:vAlign w:val="bottom"/>
          </w:tcPr>
          <w:p>
            <w:pPr>
              <w:spacing w:after="0"/>
              <w:rPr>
                <w:sz w:val="24"/>
                <w:szCs w:val="24"/>
                <w:color w:val="auto"/>
              </w:rPr>
            </w:pPr>
          </w:p>
        </w:tc>
        <w:tc>
          <w:tcPr>
            <w:tcW w:w="30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4"/>
                <w:szCs w:val="24"/>
                <w:color w:val="auto"/>
              </w:rPr>
            </w:pPr>
          </w:p>
        </w:tc>
        <w:tc>
          <w:tcPr>
            <w:tcW w:w="1800" w:type="dxa"/>
            <w:vAlign w:val="bottom"/>
            <w:gridSpan w:val="2"/>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6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34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00" w:type="dxa"/>
            <w:vAlign w:val="bottom"/>
          </w:tcPr>
          <w:p>
            <w:pPr>
              <w:spacing w:after="0"/>
              <w:rPr>
                <w:sz w:val="20"/>
                <w:szCs w:val="20"/>
                <w:color w:val="auto"/>
              </w:rPr>
            </w:pP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(1 )%</w:t>
            </w:r>
          </w:p>
        </w:tc>
        <w:tc>
          <w:tcPr>
            <w:tcW w:w="1040" w:type="dxa"/>
            <w:vAlign w:val="bottom"/>
          </w:tcPr>
          <w:p>
            <w:pPr>
              <w:spacing w:after="0"/>
              <w:rPr>
                <w:sz w:val="20"/>
                <w:szCs w:val="20"/>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Gain on sale of assets was $3.1 million for the three months ended June 30, 2022 compared to $7.1 million for the three months ended June 30, 2021, a decrease of $4.0 million, or 56%. The gain on sale of assets was primarily driven by gains associated with our sale-leaseback transactions.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560" w:type="dxa"/>
            <w:vAlign w:val="bottom"/>
          </w:tcPr>
          <w:p>
            <w:pPr>
              <w:spacing w:after="0"/>
              <w:rPr>
                <w:sz w:val="24"/>
                <w:szCs w:val="24"/>
                <w:color w:val="auto"/>
              </w:rPr>
            </w:pPr>
          </w:p>
        </w:tc>
        <w:tc>
          <w:tcPr>
            <w:tcW w:w="296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2"/>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92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5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08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360" w:type="dxa"/>
            <w:vAlign w:val="bottom"/>
          </w:tcPr>
          <w:p>
            <w:pPr>
              <w:spacing w:after="0"/>
              <w:rPr>
                <w:sz w:val="18"/>
                <w:szCs w:val="18"/>
                <w:color w:val="auto"/>
              </w:rPr>
            </w:pPr>
          </w:p>
        </w:tc>
        <w:tc>
          <w:tcPr>
            <w:tcW w:w="102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16,923</w:t>
            </w:r>
          </w:p>
        </w:tc>
        <w:tc>
          <w:tcPr>
            <w:tcW w:w="3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10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6" w:lineRule="exact"/>
        <w:rPr>
          <w:sz w:val="20"/>
          <w:szCs w:val="20"/>
          <w:color w:val="auto"/>
        </w:rPr>
      </w:pPr>
    </w:p>
    <w:p>
      <w:pPr>
        <w:jc w:val="both"/>
        <w:ind w:right="380" w:firstLine="509"/>
        <w:spacing w:after="0" w:line="250" w:lineRule="auto"/>
        <w:rPr>
          <w:sz w:val="20"/>
          <w:szCs w:val="20"/>
          <w:color w:val="auto"/>
        </w:rPr>
      </w:pPr>
      <w:r>
        <w:rPr>
          <w:rFonts w:ascii="Times New Roman" w:cs="Times New Roman" w:eastAsia="Times New Roman" w:hAnsi="Times New Roman"/>
          <w:sz w:val="18"/>
          <w:szCs w:val="18"/>
          <w:color w:val="auto"/>
        </w:rPr>
        <w:t>Other expense was $8.8 million for the three months ended June 30, 2022 compared to $16.9 million for the three months ended June 30, 2021, a decrease of $8.1 million, or 48%. The decrease in other expense was primarily driven by a $5.0 million reduction in interest expense, resulting from the June 2021 pay down of the First Lien Term Loan and the June 2021 pay-off of the Second Lien Term Loan and a $3.2 million loss on extinguishment of debt recorded in the prior year period.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40" w:type="dxa"/>
            <w:vAlign w:val="bottom"/>
          </w:tcPr>
          <w:p>
            <w:pPr>
              <w:spacing w:after="0"/>
              <w:rPr>
                <w:sz w:val="24"/>
                <w:szCs w:val="24"/>
                <w:color w:val="auto"/>
              </w:rPr>
            </w:pPr>
          </w:p>
        </w:tc>
        <w:tc>
          <w:tcPr>
            <w:tcW w:w="3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4"/>
                <w:szCs w:val="24"/>
                <w:color w:val="auto"/>
              </w:rPr>
            </w:pPr>
          </w:p>
        </w:tc>
        <w:tc>
          <w:tcPr>
            <w:tcW w:w="180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6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(44,569</w:t>
            </w: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54,463</w:t>
            </w:r>
          </w:p>
        </w:tc>
        <w:tc>
          <w:tcPr>
            <w:tcW w:w="34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3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29</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19" w:right="239" w:bottom="1440" w:gutter="0" w:footer="0" w:header="0"/>
        </w:sectPr>
      </w:pPr>
    </w:p>
    <w:bookmarkStart w:id="30" w:name="page31"/>
    <w:bookmarkEnd w:id="30"/>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Income tax provision was $9.9 million for the three months ended June 30, 2022 compared to a benefit of $44.6 million for the three months ended June 30, 2021, an increase of $54.5 million, or 122%. The increase in income tax provision was primarily driven by the recognition of stock-based compensation expense related to performance-based options that vested on the consummation of the Company's IPO in June 2021, resulting in increased income before taxes for the three months ended June 30,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2022 and 2021 (Unaudited)</w:t>
      </w:r>
    </w:p>
    <w:p>
      <w:pPr>
        <w:spacing w:after="0" w:line="107"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color w:val="auto"/>
        </w:rPr>
        <w:t>The unaudited results of operations data for the six months ended June 30, 2022 and 2021 have been derived from the unaudited condensed consolidated financial statements included elsewhere in this Quarterly Report on Form 10-Q.</w:t>
      </w: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18"/>
                <w:szCs w:val="18"/>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gridSpan w:val="2"/>
          </w:tcPr>
          <w:p>
            <w:pPr>
              <w:spacing w:after="0"/>
              <w:rPr>
                <w:sz w:val="18"/>
                <w:szCs w:val="18"/>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444,578</w:t>
            </w:r>
          </w:p>
        </w:tc>
        <w:tc>
          <w:tcPr>
            <w:tcW w:w="3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372,588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43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operating costs: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134,889</w:t>
            </w:r>
          </w:p>
        </w:tc>
        <w:tc>
          <w:tcPr>
            <w:tcW w:w="3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30 %</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139,613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156,830</w:t>
            </w:r>
          </w:p>
        </w:tc>
        <w:tc>
          <w:tcPr>
            <w:tcW w:w="3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35 %</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126,446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6"/>
              </w:rPr>
              <w:t>49,297</w:t>
            </w:r>
          </w:p>
        </w:tc>
        <w:tc>
          <w:tcPr>
            <w:tcW w:w="3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203,857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(2,687 )</w:t>
            </w:r>
          </w:p>
        </w:tc>
        <w:tc>
          <w:tcPr>
            <w:tcW w:w="3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(6,307 )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338,329</w:t>
            </w:r>
          </w:p>
        </w:tc>
        <w:tc>
          <w:tcPr>
            <w:tcW w:w="3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76 %</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463,609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106,249</w:t>
            </w:r>
          </w:p>
        </w:tc>
        <w:tc>
          <w:tcPr>
            <w:tcW w:w="3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24 %</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(91,021 )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8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tcBorders>
              <w:top w:val="single" w:sz="8" w:color="auto"/>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6"/>
              </w:rPr>
              <w:t>16,928</w:t>
            </w:r>
          </w:p>
        </w:tc>
        <w:tc>
          <w:tcPr>
            <w:tcW w:w="3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6"/>
              </w:rPr>
              <w:t>16,928</w:t>
            </w:r>
          </w:p>
        </w:tc>
        <w:tc>
          <w:tcPr>
            <w:tcW w:w="3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6"/>
              </w:rPr>
              <w:t>89,321</w:t>
            </w:r>
          </w:p>
        </w:tc>
        <w:tc>
          <w:tcPr>
            <w:tcW w:w="3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20 %</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(121,903 )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6"/>
              </w:rPr>
              <w:t>18,174</w:t>
            </w:r>
          </w:p>
        </w:tc>
        <w:tc>
          <w:tcPr>
            <w:tcW w:w="3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(36,187 )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6"/>
              </w:rPr>
              <w:t>71,147</w:t>
            </w:r>
          </w:p>
        </w:tc>
        <w:tc>
          <w:tcPr>
            <w:tcW w:w="3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(85,716 )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7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3760" w:type="dxa"/>
            <w:vAlign w:val="bottom"/>
          </w:tcPr>
          <w:p>
            <w:pPr>
              <w:spacing w:after="0"/>
              <w:rPr>
                <w:sz w:val="24"/>
                <w:szCs w:val="24"/>
                <w:color w:val="auto"/>
              </w:rPr>
            </w:pPr>
          </w:p>
        </w:tc>
        <w:tc>
          <w:tcPr>
            <w:tcW w:w="4220" w:type="dxa"/>
            <w:vAlign w:val="bottom"/>
            <w:gridSpan w:val="9"/>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00" w:type="dxa"/>
            <w:vAlign w:val="bottom"/>
          </w:tcPr>
          <w:p>
            <w:pPr>
              <w:spacing w:after="0"/>
              <w:rPr>
                <w:sz w:val="24"/>
                <w:szCs w:val="24"/>
                <w:color w:val="auto"/>
              </w:rPr>
            </w:pPr>
          </w:p>
        </w:tc>
        <w:tc>
          <w:tcPr>
            <w:tcW w:w="12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gridSpan w:val="2"/>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372,588</w:t>
            </w:r>
          </w:p>
        </w:tc>
        <w:tc>
          <w:tcPr>
            <w:tcW w:w="26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-3287395</wp:posOffset>
            </wp:positionV>
            <wp:extent cx="71323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-2876550</wp:posOffset>
            </wp:positionV>
            <wp:extent cx="71323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-2602230</wp:posOffset>
            </wp:positionV>
            <wp:extent cx="713232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-2319655</wp:posOffset>
            </wp:positionV>
            <wp:extent cx="7132320" cy="145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145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-1463675</wp:posOffset>
            </wp:positionV>
            <wp:extent cx="71323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-1181100</wp:posOffset>
            </wp:positionV>
            <wp:extent cx="7132320"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7"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Net revenues were $444.6 million for the six months ended June 30, 2022 compared to $372.6 million for the six months ended June 30, 2021, an increase of $72.0 million, or 19%. The increase in net revenues was primarily attributable to the increase in car wash sales due to growth in UWC Members and the year-over-year addition of 58 locations.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Costs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Labor and Chemicals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32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Pr>
          <w:p>
            <w:pPr>
              <w:spacing w:after="0"/>
              <w:rPr>
                <w:sz w:val="20"/>
                <w:szCs w:val="20"/>
                <w:color w:val="auto"/>
              </w:rPr>
            </w:pPr>
          </w:p>
        </w:tc>
        <w:tc>
          <w:tcPr>
            <w:tcW w:w="15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134,889</w:t>
            </w:r>
          </w:p>
        </w:tc>
        <w:tc>
          <w:tcPr>
            <w:tcW w:w="300" w:type="dxa"/>
            <w:vAlign w:val="bottom"/>
          </w:tcPr>
          <w:p>
            <w:pPr>
              <w:spacing w:after="0"/>
              <w:rPr>
                <w:sz w:val="18"/>
                <w:szCs w:val="18"/>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139,613</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(4,724 )</w:t>
            </w:r>
          </w:p>
        </w:tc>
        <w:tc>
          <w:tcPr>
            <w:tcW w:w="2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30 %</w:t>
            </w:r>
          </w:p>
        </w:tc>
        <w:tc>
          <w:tcPr>
            <w:tcW w:w="1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37 %</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3"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7"/>
          <w:szCs w:val="17"/>
          <w:color w:val="auto"/>
        </w:rPr>
        <w:t>Cost of labor and chemicals was $134.9 million for the six months ended June 30, 2022 compared to $139.6 million for the six months ended June 30, 2021, a decrease of $4.7 million, or 3%. The decrease in the cost of labor and chemicals was primarily driven by the prior year recognition of stock-based compensation expense of $31.3 million related to our performance-based vesting stock options that vested on the consummation of our IPO in June 2021, as well as the approximately $1.5 million of costs associated with gasoline sales which were offered in the six months ended June 30, 2021 but which we did not offer in the six months ended June 30, 2022. These decreases were partially offset by an increase in labor and benefits of approximately $23.5 million and an increase in wash chemicals and supplies of approximately $2.8 million during the three months ended June 30, 2022, both attributable to an</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3"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increase in volume and the year-over-year addition of 58 locations, as well as some inflationary pressures on both our labor and chemicals.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Store Operating Expenses</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3560" w:type="dxa"/>
            <w:vAlign w:val="bottom"/>
          </w:tcPr>
          <w:p>
            <w:pPr>
              <w:spacing w:after="0"/>
              <w:rPr>
                <w:sz w:val="24"/>
                <w:szCs w:val="24"/>
                <w:color w:val="auto"/>
              </w:rPr>
            </w:pPr>
          </w:p>
        </w:tc>
        <w:tc>
          <w:tcPr>
            <w:tcW w:w="30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4"/>
                <w:szCs w:val="24"/>
                <w:color w:val="auto"/>
              </w:rPr>
            </w:pP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156,830</w:t>
            </w:r>
          </w:p>
        </w:tc>
        <w:tc>
          <w:tcPr>
            <w:tcW w:w="28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126,446</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30,384</w:t>
            </w:r>
          </w:p>
        </w:tc>
        <w:tc>
          <w:tcPr>
            <w:tcW w:w="26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35 %</w:t>
            </w:r>
          </w:p>
        </w:tc>
        <w:tc>
          <w:tcPr>
            <w:tcW w:w="10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34 %</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Other store operating expenses were $156.8 million for the six months ended June 30, 2022 compared to $126.4 million for the six months ended June 30, 2021, an increase of $30.4 million, or 24%. The increase in other store operating expenses was attributable to the year-over-year addition of 58 locations and some inflationary pressures on our utilities and maintenance expenses. Rent expense increased approximately $4.8 million with the addition of 35 new land and building leases.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3580" w:type="dxa"/>
            <w:vAlign w:val="bottom"/>
          </w:tcPr>
          <w:p>
            <w:pPr>
              <w:spacing w:after="0"/>
              <w:rPr>
                <w:sz w:val="24"/>
                <w:szCs w:val="24"/>
                <w:color w:val="auto"/>
              </w:rPr>
            </w:pPr>
          </w:p>
        </w:tc>
        <w:tc>
          <w:tcPr>
            <w:tcW w:w="29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4"/>
                <w:szCs w:val="24"/>
                <w:color w:val="auto"/>
              </w:rPr>
            </w:pPr>
          </w:p>
        </w:tc>
        <w:tc>
          <w:tcPr>
            <w:tcW w:w="18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49,297</w:t>
            </w:r>
          </w:p>
        </w:tc>
        <w:tc>
          <w:tcPr>
            <w:tcW w:w="24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203,857</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(154,560 )</w:t>
            </w:r>
          </w:p>
        </w:tc>
        <w:tc>
          <w:tcPr>
            <w:tcW w:w="2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10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55 %</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ind w:right="160" w:firstLine="509"/>
        <w:spacing w:after="0" w:line="243" w:lineRule="auto"/>
        <w:rPr>
          <w:sz w:val="20"/>
          <w:szCs w:val="20"/>
          <w:color w:val="auto"/>
        </w:rPr>
      </w:pPr>
      <w:r>
        <w:rPr>
          <w:rFonts w:ascii="Times New Roman" w:cs="Times New Roman" w:eastAsia="Times New Roman" w:hAnsi="Times New Roman"/>
          <w:sz w:val="18"/>
          <w:szCs w:val="18"/>
          <w:color w:val="auto"/>
        </w:rPr>
        <w:t>General and administrative expenses were $49.3 million for the six months ended June 30, 2022 compared to $203.9 million for the six months ended June 30, 2021, a decrease of $154.6 million, or 76%. The decrease in general and administrative expenses was primarily driven by the prior year recognition of stock-based compensation expense of $170.7 million related to the performance-based vesting stock options that vested on the consummation of our IPO in June 2021. This decrease was partially offset by an increase of approximately $5.0 million in salaries and benefits, an increase of approximately $7.5 million in stock-based compensation expense, and an increase of approximately $4.6 million in other costs, which were primarily attributable to the increased costs of being a public company and increase in corporate headcount.</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Assets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3560" w:type="dxa"/>
            <w:vAlign w:val="bottom"/>
          </w:tcPr>
          <w:p>
            <w:pPr>
              <w:spacing w:after="0"/>
              <w:rPr>
                <w:sz w:val="24"/>
                <w:szCs w:val="24"/>
                <w:color w:val="auto"/>
              </w:rPr>
            </w:pPr>
          </w:p>
        </w:tc>
        <w:tc>
          <w:tcPr>
            <w:tcW w:w="31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Pr>
          <w:p>
            <w:pPr>
              <w:spacing w:after="0"/>
              <w:rPr>
                <w:sz w:val="24"/>
                <w:szCs w:val="24"/>
                <w:color w:val="auto"/>
              </w:rPr>
            </w:pPr>
          </w:p>
        </w:tc>
        <w:tc>
          <w:tcPr>
            <w:tcW w:w="17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(2,687 )</w:t>
            </w:r>
          </w:p>
        </w:tc>
        <w:tc>
          <w:tcPr>
            <w:tcW w:w="260" w:type="dxa"/>
            <w:vAlign w:val="bottom"/>
          </w:tcPr>
          <w:p>
            <w:pPr>
              <w:spacing w:after="0"/>
              <w:rPr>
                <w:sz w:val="18"/>
                <w:szCs w:val="18"/>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(6,307 )</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3,620</w:t>
            </w:r>
          </w:p>
        </w:tc>
        <w:tc>
          <w:tcPr>
            <w:tcW w:w="24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0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Loss on sale of assets was $2.7 million for the six months ended June 30, 2022 compared to $6.3 million for the six months ended June 30, 2021, a decrease of $3.6 million, or 57%. The gain on sale of assets was primarily driven by gains associated with our sale-leaseback transactions.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tc>
        <w:tc>
          <w:tcPr>
            <w:tcW w:w="2960" w:type="dxa"/>
            <w:vAlign w:val="bottom"/>
            <w:gridSpan w:val="4"/>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960" w:type="dxa"/>
            <w:vAlign w:val="bottom"/>
            <w:tcBorders>
              <w:bottom w:val="single" w:sz="8" w:color="auto"/>
            </w:tcBorders>
            <w:gridSpan w:val="4"/>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8"/>
                <w:szCs w:val="18"/>
                <w:color w:val="auto"/>
              </w:rPr>
            </w:pPr>
          </w:p>
        </w:tc>
        <w:tc>
          <w:tcPr>
            <w:tcW w:w="18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16,928</w:t>
            </w:r>
          </w:p>
        </w:tc>
        <w:tc>
          <w:tcPr>
            <w:tcW w:w="24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30,882</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(13,954 )</w:t>
            </w:r>
          </w:p>
        </w:tc>
        <w:tc>
          <w:tcPr>
            <w:tcW w:w="22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10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6" w:lineRule="exact"/>
        <w:rPr>
          <w:sz w:val="20"/>
          <w:szCs w:val="20"/>
          <w:color w:val="auto"/>
        </w:rPr>
      </w:pPr>
    </w:p>
    <w:p>
      <w:pPr>
        <w:ind w:right="240" w:firstLine="509"/>
        <w:spacing w:after="0" w:line="244" w:lineRule="auto"/>
        <w:rPr>
          <w:sz w:val="20"/>
          <w:szCs w:val="20"/>
          <w:color w:val="auto"/>
        </w:rPr>
      </w:pPr>
      <w:r>
        <w:rPr>
          <w:rFonts w:ascii="Times New Roman" w:cs="Times New Roman" w:eastAsia="Times New Roman" w:hAnsi="Times New Roman"/>
          <w:sz w:val="18"/>
          <w:szCs w:val="18"/>
          <w:color w:val="auto"/>
        </w:rPr>
        <w:t>Other expense was $16.9 million for the six months ended June 30, 2022 compared to $30.9 million for the six months ended June 30, 2021, a decrease of $14.0 million, or 45%. The decrease in other expense was primarily driven by a $10.8 million reduction in interest expense, resulting from the June 2021 pay down of the First Lien Term Loan and the June 2021 pay-off of the Second Lien Term Loan and a $3.2 million loss on extinguishment of debt recorded in the prior year period.</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3"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600" w:type="dxa"/>
            <w:vAlign w:val="bottom"/>
          </w:tcPr>
          <w:p>
            <w:pPr>
              <w:spacing w:after="0"/>
              <w:rPr>
                <w:sz w:val="24"/>
                <w:szCs w:val="24"/>
                <w:color w:val="auto"/>
              </w:rPr>
            </w:pPr>
          </w:p>
        </w:tc>
        <w:tc>
          <w:tcPr>
            <w:tcW w:w="30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Pr>
          <w:p>
            <w:pPr>
              <w:spacing w:after="0"/>
              <w:rPr>
                <w:sz w:val="24"/>
                <w:szCs w:val="24"/>
                <w:color w:val="auto"/>
              </w:rPr>
            </w:pPr>
          </w:p>
        </w:tc>
        <w:tc>
          <w:tcPr>
            <w:tcW w:w="17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18,174</w:t>
            </w:r>
          </w:p>
        </w:tc>
        <w:tc>
          <w:tcPr>
            <w:tcW w:w="240" w:type="dxa"/>
            <w:vAlign w:val="bottom"/>
          </w:tcPr>
          <w:p>
            <w:pPr>
              <w:spacing w:after="0"/>
              <w:rPr>
                <w:sz w:val="18"/>
                <w:szCs w:val="18"/>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(36,187 )</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54,361</w:t>
            </w:r>
          </w:p>
        </w:tc>
        <w:tc>
          <w:tcPr>
            <w:tcW w:w="24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10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6" w:lineRule="exact"/>
        <w:rPr>
          <w:sz w:val="20"/>
          <w:szCs w:val="20"/>
          <w:color w:val="auto"/>
        </w:rPr>
      </w:pPr>
    </w:p>
    <w:p>
      <w:pPr>
        <w:ind w:right="360" w:firstLine="509"/>
        <w:spacing w:after="0" w:line="250" w:lineRule="auto"/>
        <w:rPr>
          <w:sz w:val="20"/>
          <w:szCs w:val="20"/>
          <w:color w:val="auto"/>
        </w:rPr>
      </w:pPr>
      <w:r>
        <w:rPr>
          <w:rFonts w:ascii="Times New Roman" w:cs="Times New Roman" w:eastAsia="Times New Roman" w:hAnsi="Times New Roman"/>
          <w:sz w:val="18"/>
          <w:szCs w:val="18"/>
          <w:color w:val="auto"/>
        </w:rPr>
        <w:t>Income tax provision was $18.2 million for the six months ended June 30, 2022 compared to a benefit of $36.2 million for the six months ended June 30, 2021, an increase of $54.4 million, or 150%. The increase in income tax provision was primarily driven by the recognition of stock-based compensation expense related to performance-based options that vested on the consummation of the Company's IPO in June 2021, resulting in increased income before taxes for the six months ended June 30,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07"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Our primary requirements for liquidity and capital are to fund our investments in our core business, to pursue greenfield expansion and acquisitions, and to service our indebtedness. Historically, these cash requirements have been met through funds raised by the sale of common equity, utilization of our Revolving Commitment, First Lien Term Loan, Second Lien Term Loan, sale-leaseback transactions, and cash provided by operations. As of June 30, 2022 and December 31, 2021, we had cash and cash equivalents of $37.7 million and $19.7 million, respectively, and $149.0 million and $149.5 million, respectivel</w:t>
      </w:r>
      <w:r>
        <w:rPr>
          <w:rFonts w:ascii="Times New Roman" w:cs="Times New Roman" w:eastAsia="Times New Roman" w:hAnsi="Times New Roman"/>
          <w:sz w:val="18"/>
          <w:szCs w:val="18"/>
          <w:color w:val="231F20"/>
        </w:rPr>
        <w:t>y,</w:t>
      </w:r>
      <w:r>
        <w:rPr>
          <w:rFonts w:ascii="Times New Roman" w:cs="Times New Roman" w:eastAsia="Times New Roman" w:hAnsi="Times New Roman"/>
          <w:sz w:val="18"/>
          <w:szCs w:val="18"/>
          <w:color w:val="auto"/>
        </w:rPr>
        <w:t xml:space="preserve"> of available borrowing capacity under our Revolving Commitment.</w:t>
      </w:r>
    </w:p>
    <w:p>
      <w:pPr>
        <w:spacing w:after="0" w:line="85"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8"/>
          <w:szCs w:val="18"/>
          <w:color w:val="auto"/>
        </w:rPr>
        <w:t>In June 2021, we entered into Amendment No. 2, which increased the commitments under the Revolving Commitment from $75.0 million to $150.0 million. In June 2021, we made a voluntary prepayment of all outstanding balances under our Second Lien Term Loan, which included $242.7 million in outstanding principal and $6.1 million in accrued interest expense, and a voluntary prepayment of $190.4 million of outstanding principal under our First Lien Term Loan. These voluntary prepayments were funded with the net proceeds of our IPO and the Amended Second Lien Credit Agreement was terminated.</w:t>
      </w:r>
    </w:p>
    <w:p>
      <w:pPr>
        <w:spacing w:after="0" w:line="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December 2021, in connection with the Clean Streak Ventures acquisition, we entered into Amendment No. 3, which increased the principal borrowings under the First Lien Term Loan by $290.0 million to $903.0 million. For a description of our credit facilities, please see Note 8 Debt in the unaudited condensed consolidated financial statements included elsewhere in this Quarterly Report on Form 10-Q.</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were in compliance with the covenants under the Amended A&amp;R First Lien Credit Agreement.</w:t>
      </w:r>
    </w:p>
    <w:p>
      <w:pPr>
        <w:spacing w:after="0" w:line="117"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We believe that our sources of liquidity and capital will be sufficient to finance our growth strategy and resulting operations, planned capital expenditures, and the additional expenses we expect to incur as a public company for at least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2022 and 2021 (Unaudited)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summary cash flow information for the six months ended June 30,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gridSpan w:val="5"/>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672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134,615</w:t>
            </w:r>
          </w:p>
        </w:tc>
        <w:tc>
          <w:tcPr>
            <w:tcW w:w="4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119,675</w:t>
            </w:r>
          </w:p>
        </w:tc>
        <w:tc>
          <w:tcPr>
            <w:tcW w:w="100" w:type="dxa"/>
            <w:vAlign w:val="bottom"/>
            <w:shd w:val="clear" w:color="auto" w:fill="CFF0FC"/>
          </w:tcPr>
          <w:p>
            <w:pPr>
              <w:spacing w:after="0"/>
              <w:rPr>
                <w:sz w:val="18"/>
                <w:szCs w:val="18"/>
                <w:color w:val="auto"/>
              </w:rPr>
            </w:pP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Pr>
          <w:p>
            <w:pPr>
              <w:spacing w:after="0"/>
              <w:rPr>
                <w:sz w:val="18"/>
                <w:szCs w:val="18"/>
                <w:color w:val="auto"/>
              </w:rPr>
            </w:pPr>
          </w:p>
        </w:tc>
        <w:tc>
          <w:tcPr>
            <w:tcW w:w="1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(119,766 )</w:t>
            </w:r>
          </w:p>
        </w:tc>
        <w:tc>
          <w:tcPr>
            <w:tcW w:w="4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(66,645 )</w:t>
            </w:r>
          </w:p>
        </w:tc>
      </w:tr>
      <w:tr>
        <w:trPr>
          <w:trHeight w:val="216"/>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4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(12,564 )</w:t>
            </w:r>
          </w:p>
        </w:tc>
      </w:tr>
      <w:tr>
        <w:trPr>
          <w:trHeight w:val="209"/>
        </w:trPr>
        <w:tc>
          <w:tcPr>
            <w:tcW w:w="6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17,911</w:t>
            </w:r>
          </w:p>
        </w:tc>
        <w:tc>
          <w:tcPr>
            <w:tcW w:w="46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40,466</w:t>
            </w:r>
          </w:p>
        </w:tc>
        <w:tc>
          <w:tcPr>
            <w:tcW w:w="100" w:type="dxa"/>
            <w:vAlign w:val="bottom"/>
            <w:tcBorders>
              <w:top w:val="single" w:sz="8" w:color="CFF0FC"/>
            </w:tcBorders>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ind w:right="32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provided by operating activities consists of net income adjusted for certain non-cash items,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property and equipment depreciation, gains on the disposal of property and equipment, amortization of leased assets and deferred income taxes, as well as the effect of changes in other working capital amounts.</w:t>
      </w:r>
    </w:p>
    <w:p>
      <w:pPr>
        <w:spacing w:after="0" w:line="189" w:lineRule="exact"/>
        <w:rPr>
          <w:sz w:val="20"/>
          <w:szCs w:val="20"/>
          <w:color w:val="auto"/>
        </w:rPr>
      </w:pPr>
    </w:p>
    <w:p>
      <w:pPr>
        <w:ind w:right="440" w:firstLine="509"/>
        <w:spacing w:after="0" w:line="246" w:lineRule="auto"/>
        <w:rPr>
          <w:sz w:val="20"/>
          <w:szCs w:val="20"/>
          <w:color w:val="auto"/>
        </w:rPr>
      </w:pPr>
      <w:r>
        <w:rPr>
          <w:rFonts w:ascii="Times New Roman" w:cs="Times New Roman" w:eastAsia="Times New Roman" w:hAnsi="Times New Roman"/>
          <w:sz w:val="18"/>
          <w:szCs w:val="18"/>
          <w:color w:val="auto"/>
        </w:rPr>
        <w:t>For the six months ended June 30, 2022, net cash provided by operating activities was $134.6 million and was comprised of net income of $71.1 million, increased by $73.2 million as a result of non-cash adjustments comprised primarily of stock-based</w:t>
      </w: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43" w:right="239" w:bottom="1440" w:gutter="0" w:footer="0" w:header="0"/>
        </w:sectPr>
      </w:pPr>
    </w:p>
    <w:bookmarkStart w:id="33" w:name="page34"/>
    <w:bookmarkEnd w:id="33"/>
    <w:p>
      <w:pPr>
        <w:spacing w:after="0" w:line="250" w:lineRule="auto"/>
        <w:rPr>
          <w:sz w:val="20"/>
          <w:szCs w:val="20"/>
          <w:color w:val="auto"/>
        </w:rPr>
      </w:pPr>
      <w:r>
        <w:rPr>
          <w:rFonts w:ascii="Times New Roman" w:cs="Times New Roman" w:eastAsia="Times New Roman" w:hAnsi="Times New Roman"/>
          <w:sz w:val="18"/>
          <w:szCs w:val="18"/>
          <w:color w:val="auto"/>
        </w:rPr>
        <w:t>compensation expense, depreciation and amortization expense, non-cash lease expense, deferred income taxes, a gain on disposal of property and equipment, and amortization of deferred financing costs. Changes in working capital balances decreased cash provided by operating activities by $9.7 million and were primarily driven by increases in the operating lease liability, other noncurrent assets and liabilities and prepaid expenses and other current assets, offset by a decrease in other receivables, accounts payable and accrued expenses.</w:t>
      </w:r>
    </w:p>
    <w:p>
      <w:pPr>
        <w:spacing w:after="0" w:line="18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For the six months ended June 30, 2021, net cash provided by operating activities was $119.7 million and was comprised of net loss of $85.7 million, increased by $203.4 million as a result of non-cash adjustments comprised primarily of stock-based compensation expense, deferred income taxes, depreciation and amortization expense, non-cash lease expense, a gain on disposal of property and equipment, and a loss on extinguishment of debt. Changes in working capital balances increased cash provided by operating activities by $2.0 million and were primarily driven by an increase in accounts payable, accrued expenses, and a decrease in deferred revenue, partially offset by decreases in the operating lease liability and other noncurrent assets and liabilities, and increases in accounts receivable, net and prepaid expenses and other current assets.</w:t>
      </w:r>
    </w:p>
    <w:p>
      <w:pPr>
        <w:spacing w:after="0" w:line="183" w:lineRule="exact"/>
        <w:rPr>
          <w:sz w:val="20"/>
          <w:szCs w:val="20"/>
          <w:color w:val="auto"/>
        </w:rPr>
      </w:pPr>
    </w:p>
    <w:p>
      <w:pPr>
        <w:ind w:right="12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primarily consists of purchases and sale of property and equipment and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 washes.</w:t>
      </w:r>
    </w:p>
    <w:p>
      <w:pPr>
        <w:spacing w:after="0" w:line="148"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2022, net cash used in investing activities was $119.8 million and was primarily comprised of investment in property and equipment to support our greenfield development and other initiatives and two acquisitions, partially offset by the sale of property and equipment.</w:t>
      </w:r>
    </w:p>
    <w:p>
      <w:pPr>
        <w:spacing w:after="0" w:line="168"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2021, net cash used in investing activities was $66.6 million and was comprised of purchases of property and equipment primarily to support our greenfield and other initiatives and two acquisitions, partially offset by the sale of property and equipment including sale-leaseback transactions.</w:t>
      </w:r>
    </w:p>
    <w:p>
      <w:pPr>
        <w:spacing w:after="0" w:line="153" w:lineRule="exact"/>
        <w:rPr>
          <w:sz w:val="20"/>
          <w:szCs w:val="20"/>
          <w:color w:val="auto"/>
        </w:rPr>
      </w:pPr>
    </w:p>
    <w:p>
      <w:pPr>
        <w:ind w:right="26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used in financing activities primarily consists of proceeds and payments on our First Lien Term Loan,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Lien Term Loan, and Revolving Commitment, as well as proceeds from our IPO.</w:t>
      </w:r>
    </w:p>
    <w:p>
      <w:pPr>
        <w:spacing w:after="0" w:line="14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net cash used in financing activities was $3.1 million and was primarily comprised of repayments of our First Lien Term Loan and principal payments on finance lease obligations, partially offset by proceeds from exercise of stock options.</w:t>
      </w:r>
    </w:p>
    <w:p>
      <w:pPr>
        <w:spacing w:after="0" w:line="17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2021, net cash used in financing activities was $12.6 million and was primarily comprised of repayments of our First Lien Term Loan and Second Lien Term Loan and payments of issuance costs associated with our IPO, partially offset by proceeds from the consummation of our IPO in June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spacing w:after="0" w:line="8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and estimates used in preparation of the unaudited condensed consolidated financial statements are described in our 2021 10-K. There have been no material changes to our significant accounting policies during the three and six months ended June 30, 2022.</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8"/>
          <w:szCs w:val="18"/>
          <w:color w:val="auto"/>
        </w:rPr>
        <w:t>See the sections titled “Summary of Significant Accounting Policies—Recently issued accounting pronouncements not yet adopted” in Note 2 to our unaudited condensed consolidated financial statements included elsewhere in this Quarterly Report on Form 10-Q for a discussion of recent accounting pronouncements.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9"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June 30, 2022 and December 31, 2021, we had $901.2 million and $903.3 million, respectively, of variable rate debt outstanding under our First Lien Term Loan. Based on the balance outstanding under our First Lien Term Loan as of June 30, 2022, an increase or decrease of 100 basis points in the effective interest rate on the First Lien Term Loan would cause an increase or decrease in interest expense of approximately $9 million over the next 12 months.</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May 2020, we entered into an interest rate swap to mitigate variability in forecasted interest payments on an amortizing notional of $550.0 million of our variable-rate First Lien Term Loan. We designated the interest rate swap as a pay-fixed, receive-floating interest rate swap instrument and are accounting for this derivative as a cash flow hedge.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have recently experienced the effects of inflation on our results of operations and financial condition. In light of the current inflationary market conditions, we cannot assure you that our results of operations and financial condition will not be materially impacted by inflation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0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Quarterly Report on Form 10-Q. Disclosure controls and procedures are designed to provide reasonable assurance that the information required to be disclosed in the reports that we file or submit under the Exchange Act has been appropriately recorded, processed, summarized and reported on a timely basis and are effective in ensuring that such information is accumulated and communicated to the Company’s management, including our Chief Executive Officer and Chief Financial Officer, as appropriate to allow timely decisions regarding required disclosure. Based on such evaluation, our Chief Executive Officer and Chief Financial Officer have concluded that, as of June 30, 2022, our disclosure controls and procedures were effective at the reasonable assurance level.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7"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three months ended June 30, 2022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We are from time to time subject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 We are not party to any material legal proceedings.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disclosed in Part I. Item 1A. "Risk Factors” and in Part II. Item 7. “Management’s Discussion and Analysis of Financial Condition and Results of Operations” of our 2021 10-K,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 There have been no material changes to the risk factors described in Part I. Item 1A. "Risk Factors" of our 2021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1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60" w:type="dxa"/>
            <w:vAlign w:val="bottom"/>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87"/>
        </w:trPr>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14"/>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42"/>
        </w:trPr>
        <w:tc>
          <w:tcPr>
            <w:tcW w:w="8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2.1+ ^</w:t>
            </w:r>
          </w:p>
        </w:tc>
        <w:tc>
          <w:tcPr>
            <w:tcW w:w="140" w:type="dxa"/>
            <w:vAlign w:val="bottom"/>
          </w:tcPr>
          <w:p>
            <w:pPr>
              <w:spacing w:after="0"/>
              <w:rPr>
                <w:sz w:val="12"/>
                <w:szCs w:val="12"/>
                <w:color w:val="auto"/>
              </w:rPr>
            </w:pPr>
          </w:p>
        </w:tc>
        <w:tc>
          <w:tcPr>
            <w:tcW w:w="4800" w:type="dxa"/>
            <w:vAlign w:val="bottom"/>
            <w:gridSpan w:val="19"/>
          </w:tcPr>
          <w:p>
            <w:pPr>
              <w:spacing w:after="0" w:line="142"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Equity Purchase Agreement, dated December 8, 2021, by and among</w:t>
              </w:r>
            </w:hyperlink>
          </w:p>
        </w:tc>
        <w:tc>
          <w:tcPr>
            <w:tcW w:w="860" w:type="dxa"/>
            <w:vAlign w:val="bottom"/>
          </w:tcPr>
          <w:p>
            <w:pPr>
              <w:jc w:val="center"/>
              <w:ind w:left="1"/>
              <w:spacing w:after="0" w:line="142" w:lineRule="exact"/>
              <w:rPr>
                <w:sz w:val="20"/>
                <w:szCs w:val="20"/>
                <w:color w:val="auto"/>
              </w:rPr>
            </w:pPr>
            <w:r>
              <w:rPr>
                <w:rFonts w:ascii="Times New Roman" w:cs="Times New Roman" w:eastAsia="Times New Roman" w:hAnsi="Times New Roman"/>
                <w:sz w:val="16"/>
                <w:szCs w:val="16"/>
                <w:color w:val="auto"/>
              </w:rPr>
              <w:t>10-Q</w:t>
            </w: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2.1</w:t>
            </w: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05/13/2022</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0" w:type="dxa"/>
            <w:vAlign w:val="bottom"/>
            <w:gridSpan w:val="19"/>
          </w:tcPr>
          <w:p>
            <w:pPr>
              <w:spacing w:after="0" w:line="155"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Sunshine Acquisition Sub Corp., Clean Streak Ventures, LLC, MDKMH</w:t>
              </w:r>
            </w:hyperlink>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4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Partners, Inc., Clean Streak Ventures Intermediate Holdco, LLC (the</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9"/>
          </w:tcPr>
          <w:p>
            <w:pPr>
              <w:spacing w:after="0" w:line="155" w:lineRule="exact"/>
              <w:rPr>
                <w:rFonts w:ascii="Times New Roman" w:cs="Times New Roman" w:eastAsia="Times New Roman" w:hAnsi="Times New Roman"/>
                <w:sz w:val="16"/>
                <w:szCs w:val="16"/>
                <w:color w:val="0000FF"/>
                <w:w w:val="99"/>
              </w:rPr>
            </w:pPr>
            <w:hyperlink r:id="rId281">
              <w:r>
                <w:rPr>
                  <w:rFonts w:ascii="Times New Roman" w:cs="Times New Roman" w:eastAsia="Times New Roman" w:hAnsi="Times New Roman"/>
                  <w:sz w:val="16"/>
                  <w:szCs w:val="16"/>
                  <w:color w:val="0000FF"/>
                  <w:w w:val="99"/>
                </w:rPr>
                <w:t>“CSV Seller”), MKH Capital Partners Offshore Fund I, LP (the “CSV</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40" w:type="dxa"/>
            <w:vAlign w:val="bottom"/>
            <w:tcBorders>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Blocker Seller” and together with the CSV Seller, each a “Seller”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0" w:type="dxa"/>
            <w:vAlign w:val="bottom"/>
            <w:gridSpan w:val="19"/>
          </w:tcPr>
          <w:p>
            <w:pPr>
              <w:spacing w:after="0" w:line="155"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together the “Sellers”), and Clean Streak Ventures Holdco, LLC, as the</w:t>
              </w:r>
            </w:hyperlink>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Borders>
              <w:top w:val="single" w:sz="8" w:color="0000FF"/>
              <w:bottom w:val="single" w:sz="8" w:color="0000EE"/>
            </w:tcBorders>
            <w:gridSpan w:val="5"/>
          </w:tcPr>
          <w:p>
            <w:pPr>
              <w:spacing w:after="0" w:line="155"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representative of the Sellers</w:t>
              </w:r>
            </w:hyperlink>
          </w:p>
        </w:tc>
        <w:tc>
          <w:tcPr>
            <w:tcW w:w="27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5"/>
                <w:szCs w:val="15"/>
                <w:color w:val="auto"/>
              </w:rPr>
            </w:pPr>
          </w:p>
        </w:tc>
        <w:tc>
          <w:tcPr>
            <w:tcW w:w="1860" w:type="dxa"/>
            <w:vAlign w:val="bottom"/>
            <w:gridSpan w:val="5"/>
          </w:tcPr>
          <w:p>
            <w:pPr>
              <w:spacing w:after="0" w:line="182"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Amended and Restated</w:t>
              </w:r>
            </w:hyperlink>
          </w:p>
        </w:tc>
        <w:tc>
          <w:tcPr>
            <w:tcW w:w="2940" w:type="dxa"/>
            <w:vAlign w:val="bottom"/>
            <w:gridSpan w:val="14"/>
          </w:tcPr>
          <w:p>
            <w:pPr>
              <w:spacing w:after="0" w:line="182"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Certificate of Incorporation of the</w:t>
              </w:r>
            </w:hyperlink>
          </w:p>
        </w:tc>
        <w:tc>
          <w:tcPr>
            <w:tcW w:w="860" w:type="dxa"/>
            <w:vAlign w:val="bottom"/>
          </w:tcPr>
          <w:p>
            <w:pPr>
              <w:jc w:val="center"/>
              <w:ind w:left="1"/>
              <w:spacing w:after="0" w:line="182"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3.2</w:t>
            </w:r>
          </w:p>
        </w:tc>
        <w:tc>
          <w:tcPr>
            <w:tcW w:w="11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06/01/2022</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4"/>
                <w:szCs w:val="14"/>
                <w:color w:val="auto"/>
              </w:rPr>
            </w:pPr>
          </w:p>
        </w:tc>
        <w:tc>
          <w:tcPr>
            <w:tcW w:w="418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Company</w:t>
              </w:r>
            </w:hyperlink>
          </w:p>
        </w:tc>
        <w:tc>
          <w:tcPr>
            <w:tcW w:w="40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001-40542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07/02/2021</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100" w:type="dxa"/>
            <w:vAlign w:val="bottom"/>
            <w:gridSpan w:val="16"/>
            <w:vMerge w:val="restart"/>
          </w:tcPr>
          <w:p>
            <w:pPr>
              <w:spacing w:after="0"/>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and Restated Bylaws of the Company</w:t>
              </w:r>
            </w:hyperlink>
          </w:p>
        </w:tc>
        <w:tc>
          <w:tcPr>
            <w:tcW w:w="86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spacing w:after="0" w:line="169" w:lineRule="exact"/>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Amended</w:t>
              </w:r>
            </w:hyperlink>
          </w:p>
        </w:tc>
        <w:tc>
          <w:tcPr>
            <w:tcW w:w="4100" w:type="dxa"/>
            <w:vAlign w:val="bottom"/>
            <w:gridSpan w:val="16"/>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00" w:type="dxa"/>
            <w:vAlign w:val="bottom"/>
            <w:gridSpan w:val="13"/>
            <w:vMerge w:val="restart"/>
          </w:tcPr>
          <w:p>
            <w:pPr>
              <w:spacing w:after="0"/>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and between Mister Car</w:t>
              </w:r>
            </w:hyperlink>
          </w:p>
        </w:tc>
        <w:tc>
          <w:tcPr>
            <w:tcW w:w="86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001-40542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06/24/2022</w:t>
            </w: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6"/>
          </w:tcPr>
          <w:p>
            <w:pPr>
              <w:spacing w:after="0" w:line="169" w:lineRule="exact"/>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Transition Agreement, dated June 21, 2022, by</w:t>
              </w:r>
            </w:hyperlink>
          </w:p>
        </w:tc>
        <w:tc>
          <w:tcPr>
            <w:tcW w:w="1700" w:type="dxa"/>
            <w:vAlign w:val="bottom"/>
            <w:gridSpan w:val="13"/>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Borders>
              <w:top w:val="single" w:sz="8" w:color="0000FF"/>
              <w:bottom w:val="single" w:sz="8" w:color="0000EE"/>
            </w:tcBorders>
            <w:gridSpan w:val="4"/>
          </w:tcPr>
          <w:p>
            <w:pPr>
              <w:spacing w:after="0" w:line="155" w:lineRule="exact"/>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Wash, Inc. and Lisa Funk</w:t>
              </w:r>
            </w:hyperlink>
          </w:p>
        </w:tc>
        <w:tc>
          <w:tcPr>
            <w:tcW w:w="29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13"/>
                <w:szCs w:val="13"/>
                <w:color w:val="auto"/>
              </w:rPr>
            </w:pPr>
          </w:p>
        </w:tc>
        <w:tc>
          <w:tcPr>
            <w:tcW w:w="16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Principal</w:t>
            </w:r>
          </w:p>
        </w:tc>
        <w:tc>
          <w:tcPr>
            <w:tcW w:w="3120" w:type="dxa"/>
            <w:vAlign w:val="bottom"/>
            <w:gridSpan w:val="15"/>
          </w:tcPr>
          <w:p>
            <w:pPr>
              <w:spacing w:after="0" w:line="155" w:lineRule="exact"/>
              <w:rPr>
                <w:sz w:val="20"/>
                <w:szCs w:val="20"/>
                <w:color w:val="auto"/>
              </w:rPr>
            </w:pPr>
            <w:r>
              <w:rPr>
                <w:rFonts w:ascii="Times New Roman" w:cs="Times New Roman" w:eastAsia="Times New Roman" w:hAnsi="Times New Roman"/>
                <w:sz w:val="16"/>
                <w:szCs w:val="16"/>
                <w:color w:val="0000FF"/>
              </w:rPr>
              <w:t>Executive Officer Pursuant to Rules 13a-14(a)</w:t>
            </w: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80" w:type="dxa"/>
            <w:vAlign w:val="bottom"/>
            <w:tcBorders>
              <w:top w:val="single" w:sz="8" w:color="0000FF"/>
            </w:tcBorders>
            <w:gridSpan w:val="16"/>
          </w:tcPr>
          <w:p>
            <w:pPr>
              <w:spacing w:after="0" w:line="155"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12"/>
                <w:szCs w:val="12"/>
                <w:color w:val="auto"/>
              </w:rPr>
            </w:pPr>
          </w:p>
        </w:tc>
        <w:tc>
          <w:tcPr>
            <w:tcW w:w="458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20" w:type="dxa"/>
            <w:vAlign w:val="bottom"/>
            <w:tcBorders>
              <w:right w:val="single" w:sz="8" w:color="0000EE"/>
            </w:tcBorders>
            <w:gridSpan w:val="5"/>
            <w:shd w:val="clear" w:color="auto" w:fill="0000FF"/>
          </w:tcPr>
          <w:p>
            <w:pPr>
              <w:spacing w:after="0" w:line="20" w:lineRule="exact"/>
              <w:rPr>
                <w:sz w:val="1"/>
                <w:szCs w:val="1"/>
                <w:color w:val="auto"/>
              </w:rPr>
            </w:pPr>
          </w:p>
        </w:tc>
        <w:tc>
          <w:tcPr>
            <w:tcW w:w="920" w:type="dxa"/>
            <w:vAlign w:val="bottom"/>
            <w:gridSpan w:val="12"/>
            <w:vMerge w:val="restart"/>
          </w:tcPr>
          <w:p>
            <w:pPr>
              <w:ind w:left="100"/>
              <w:spacing w:after="0"/>
              <w:rPr>
                <w:sz w:val="20"/>
                <w:szCs w:val="20"/>
                <w:color w:val="auto"/>
              </w:rPr>
            </w:pPr>
            <w:r>
              <w:rPr>
                <w:rFonts w:ascii="Times New Roman" w:cs="Times New Roman" w:eastAsia="Times New Roman" w:hAnsi="Times New Roman"/>
                <w:sz w:val="16"/>
                <w:szCs w:val="16"/>
                <w:color w:val="0000FF"/>
              </w:rPr>
              <w:t>13a-14(a)</w:t>
            </w: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80" w:type="dxa"/>
            <w:vAlign w:val="bottom"/>
            <w:gridSpan w:val="7"/>
          </w:tcPr>
          <w:p>
            <w:pPr>
              <w:spacing w:after="0" w:line="169" w:lineRule="exact"/>
              <w:rPr>
                <w:sz w:val="20"/>
                <w:szCs w:val="20"/>
                <w:color w:val="auto"/>
              </w:rPr>
            </w:pPr>
            <w:r>
              <w:rPr>
                <w:rFonts w:ascii="Times New Roman" w:cs="Times New Roman" w:eastAsia="Times New Roman" w:hAnsi="Times New Roman"/>
                <w:sz w:val="16"/>
                <w:szCs w:val="16"/>
                <w:color w:val="0000FF"/>
                <w:w w:val="98"/>
              </w:rPr>
              <w:t>Certification of Principal Financial Officer Pursuant to Rules</w:t>
            </w:r>
          </w:p>
        </w:tc>
        <w:tc>
          <w:tcPr>
            <w:tcW w:w="920" w:type="dxa"/>
            <w:vAlign w:val="bottom"/>
            <w:gridSpan w:val="12"/>
            <w:vMerge w:val="continue"/>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40" w:type="dxa"/>
            <w:vAlign w:val="bottom"/>
            <w:tcBorders>
              <w:top w:val="single" w:sz="8" w:color="0000FF"/>
            </w:tcBorders>
            <w:gridSpan w:val="14"/>
          </w:tcPr>
          <w:p>
            <w:pPr>
              <w:spacing w:after="0" w:line="155"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2"/>
                <w:szCs w:val="12"/>
                <w:color w:val="auto"/>
              </w:rPr>
            </w:pPr>
          </w:p>
        </w:tc>
        <w:tc>
          <w:tcPr>
            <w:tcW w:w="458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100" w:type="dxa"/>
            <w:vAlign w:val="bottom"/>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20" w:type="dxa"/>
            <w:vAlign w:val="bottom"/>
            <w:tcBorders>
              <w:right w:val="single" w:sz="8" w:color="0000EE"/>
            </w:tcBorders>
            <w:gridSpan w:val="5"/>
            <w:shd w:val="clear" w:color="auto" w:fill="0000FF"/>
          </w:tcPr>
          <w:p>
            <w:pPr>
              <w:spacing w:after="0" w:line="20" w:lineRule="exact"/>
              <w:rPr>
                <w:sz w:val="1"/>
                <w:szCs w:val="1"/>
                <w:color w:val="auto"/>
              </w:rPr>
            </w:pPr>
          </w:p>
        </w:tc>
        <w:tc>
          <w:tcPr>
            <w:tcW w:w="92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color w:val="0000FF"/>
                <w:w w:val="94"/>
              </w:rPr>
              <w:t>U.S.C. Section</w:t>
            </w: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80" w:type="dxa"/>
            <w:vAlign w:val="bottom"/>
            <w:gridSpan w:val="7"/>
          </w:tcPr>
          <w:p>
            <w:pPr>
              <w:spacing w:after="0" w:line="169"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18</w:t>
            </w:r>
          </w:p>
        </w:tc>
        <w:tc>
          <w:tcPr>
            <w:tcW w:w="920" w:type="dxa"/>
            <w:vAlign w:val="bottom"/>
            <w:gridSpan w:val="12"/>
            <w:vMerge w:val="continue"/>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0" w:type="dxa"/>
            <w:vAlign w:val="bottom"/>
            <w:tcBorders>
              <w:top w:val="single" w:sz="8" w:color="0000FF"/>
            </w:tcBorders>
            <w:gridSpan w:val="19"/>
          </w:tcPr>
          <w:p>
            <w:pPr>
              <w:spacing w:after="0" w:line="155" w:lineRule="exact"/>
              <w:rPr>
                <w:sz w:val="20"/>
                <w:szCs w:val="20"/>
                <w:color w:val="auto"/>
              </w:rPr>
            </w:pPr>
            <w:r>
              <w:rPr>
                <w:rFonts w:ascii="Times New Roman" w:cs="Times New Roman" w:eastAsia="Times New Roman" w:hAnsi="Times New Roman"/>
                <w:sz w:val="16"/>
                <w:szCs w:val="16"/>
                <w:color w:val="0000FF"/>
              </w:rPr>
              <w:t>1350, as Adopted Pursuant to Section 906 of the Sarbanes-Oxley Act of</w:t>
            </w: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88"/>
              </w:rPr>
              <w:t>2002.</w:t>
            </w:r>
          </w:p>
        </w:tc>
        <w:tc>
          <w:tcPr>
            <w:tcW w:w="20" w:type="dxa"/>
            <w:vAlign w:val="bottom"/>
            <w:tcBorders>
              <w:top w:val="single" w:sz="8" w:color="0000FF"/>
              <w:bottom w:val="single" w:sz="8" w:color="0000EE"/>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gridSpan w:val="19"/>
          </w:tcPr>
          <w:p>
            <w:pPr>
              <w:spacing w:after="0" w:line="169"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60" w:type="dxa"/>
            <w:vAlign w:val="bottom"/>
            <w:tcBorders>
              <w:top w:val="single" w:sz="8" w:color="0000FF"/>
            </w:tcBorders>
            <w:gridSpan w:val="18"/>
          </w:tcPr>
          <w:p>
            <w:pPr>
              <w:spacing w:after="0" w:line="155" w:lineRule="exact"/>
              <w:rPr>
                <w:sz w:val="20"/>
                <w:szCs w:val="20"/>
                <w:color w:val="auto"/>
              </w:rPr>
            </w:pPr>
            <w:r>
              <w:rPr>
                <w:rFonts w:ascii="Times New Roman" w:cs="Times New Roman" w:eastAsia="Times New Roman" w:hAnsi="Times New Roman"/>
                <w:sz w:val="16"/>
                <w:szCs w:val="16"/>
                <w:color w:val="0000FF"/>
              </w:rPr>
              <w:t>1350, as Adopted Pursuant to Section 906 of the Sarbanes-Oxley Act of</w:t>
            </w: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88"/>
              </w:rPr>
              <w:t>2002.</w:t>
            </w:r>
          </w:p>
        </w:tc>
        <w:tc>
          <w:tcPr>
            <w:tcW w:w="20" w:type="dxa"/>
            <w:vAlign w:val="bottom"/>
            <w:tcBorders>
              <w:top w:val="single" w:sz="8" w:color="0000FF"/>
              <w:bottom w:val="single" w:sz="8" w:color="0000EE"/>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8"/>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w w:val="90"/>
              </w:rPr>
              <w:t>Inline</w:t>
            </w:r>
          </w:p>
        </w:tc>
        <w:tc>
          <w:tcPr>
            <w:tcW w:w="4440" w:type="dxa"/>
            <w:vAlign w:val="bottom"/>
            <w:gridSpan w:val="17"/>
          </w:tcPr>
          <w:p>
            <w:pPr>
              <w:ind w:left="40"/>
              <w:spacing w:after="0" w:line="168"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gridSpan w:val="19"/>
          </w:tcPr>
          <w:p>
            <w:pPr>
              <w:spacing w:after="0" w:line="162" w:lineRule="exact"/>
              <w:rPr>
                <w:sz w:val="20"/>
                <w:szCs w:val="20"/>
                <w:color w:val="auto"/>
              </w:rPr>
            </w:pPr>
            <w:r>
              <w:rPr>
                <w:rFonts w:ascii="Times New Roman" w:cs="Times New Roman" w:eastAsia="Times New Roman" w:hAnsi="Times New Roman"/>
                <w:sz w:val="16"/>
                <w:szCs w:val="16"/>
                <w:color w:val="auto"/>
              </w:rPr>
              <w:t>in the Interactive Data File because XBRL tags are embedded within the</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16"/>
                <w:szCs w:val="16"/>
                <w:color w:val="auto"/>
              </w:rPr>
            </w:pPr>
          </w:p>
        </w:tc>
        <w:tc>
          <w:tcPr>
            <w:tcW w:w="480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140" w:type="dxa"/>
            <w:vAlign w:val="bottom"/>
          </w:tcPr>
          <w:p>
            <w:pPr>
              <w:spacing w:after="0"/>
              <w:rPr>
                <w:sz w:val="16"/>
                <w:szCs w:val="16"/>
                <w:color w:val="auto"/>
              </w:rPr>
            </w:pPr>
          </w:p>
        </w:tc>
        <w:tc>
          <w:tcPr>
            <w:tcW w:w="480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140" w:type="dxa"/>
            <w:vAlign w:val="bottom"/>
          </w:tcPr>
          <w:p>
            <w:pPr>
              <w:spacing w:after="0"/>
              <w:rPr>
                <w:sz w:val="16"/>
                <w:szCs w:val="16"/>
                <w:color w:val="auto"/>
              </w:rPr>
            </w:pPr>
          </w:p>
        </w:tc>
        <w:tc>
          <w:tcPr>
            <w:tcW w:w="480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140" w:type="dxa"/>
            <w:vAlign w:val="bottom"/>
          </w:tcPr>
          <w:p>
            <w:pPr>
              <w:spacing w:after="0"/>
              <w:rPr>
                <w:sz w:val="16"/>
                <w:szCs w:val="16"/>
                <w:color w:val="auto"/>
              </w:rPr>
            </w:pPr>
          </w:p>
        </w:tc>
        <w:tc>
          <w:tcPr>
            <w:tcW w:w="480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140" w:type="dxa"/>
            <w:vAlign w:val="bottom"/>
          </w:tcPr>
          <w:p>
            <w:pPr>
              <w:spacing w:after="0"/>
              <w:rPr>
                <w:sz w:val="16"/>
                <w:szCs w:val="16"/>
                <w:color w:val="auto"/>
              </w:rPr>
            </w:pPr>
          </w:p>
        </w:tc>
        <w:tc>
          <w:tcPr>
            <w:tcW w:w="480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75"/>
        </w:trPr>
        <w:tc>
          <w:tcPr>
            <w:tcW w:w="8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5"/>
                <w:szCs w:val="15"/>
                <w:color w:val="auto"/>
              </w:rPr>
            </w:pPr>
          </w:p>
        </w:tc>
        <w:tc>
          <w:tcPr>
            <w:tcW w:w="4800" w:type="dxa"/>
            <w:vAlign w:val="bottom"/>
            <w:gridSpan w:val="19"/>
          </w:tcPr>
          <w:p>
            <w:pPr>
              <w:spacing w:after="0" w:line="175" w:lineRule="exact"/>
              <w:rPr>
                <w:sz w:val="20"/>
                <w:szCs w:val="20"/>
                <w:color w:val="auto"/>
              </w:rPr>
            </w:pPr>
            <w:r>
              <w:rPr>
                <w:rFonts w:ascii="Times New Roman" w:cs="Times New Roman" w:eastAsia="Times New Roman" w:hAnsi="Times New Roman"/>
                <w:sz w:val="16"/>
                <w:szCs w:val="16"/>
                <w:color w:val="auto"/>
              </w:rPr>
              <w:t>Cover Page Interactive Data File (embedded within the Inline XBRL</w:t>
            </w: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document)</w:t>
            </w: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9505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03" w:lineRule="exact"/>
        <w:rPr>
          <w:sz w:val="20"/>
          <w:szCs w:val="20"/>
          <w:color w:val="auto"/>
        </w:rPr>
      </w:pPr>
    </w:p>
    <w:p>
      <w:pPr>
        <w:ind w:left="520" w:right="360" w:hanging="512"/>
        <w:spacing w:after="0" w:line="281" w:lineRule="auto"/>
        <w:tabs>
          <w:tab w:leader="none" w:pos="3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Company undertakes to furnish supplemental copies of any of the omitted schedules upon request by the SEC.</w:t>
      </w:r>
    </w:p>
    <w:p>
      <w:pPr>
        <w:spacing w:after="0" w:line="41" w:lineRule="exact"/>
        <w:rPr>
          <w:sz w:val="20"/>
          <w:szCs w:val="20"/>
          <w:color w:val="auto"/>
        </w:rPr>
      </w:pPr>
    </w:p>
    <w:p>
      <w:pPr>
        <w:ind w:left="5540" w:right="4200" w:hanging="5532"/>
        <w:spacing w:after="0" w:line="391"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7" w:name="page38"/>
    <w:bookmarkEnd w:id="37"/>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Mister Car Wash, Inc.</w:t>
      </w:r>
    </w:p>
    <w:p>
      <w:pPr>
        <w:sectPr>
          <w:pgSz w:w="11900" w:h="16838" w:orient="portrait"/>
          <w:cols w:equalWidth="0" w:num="1">
            <w:col w:w="10780"/>
          </w:cols>
          <w:pgMar w:left="320" w:top="319" w:right="799" w:bottom="1440" w:gutter="0" w:footer="0" w:header="0"/>
        </w:sect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August 12,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August 12, 2022</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60"/>
        <w:spacing w:after="0"/>
        <w:tabs>
          <w:tab w:leader="none" w:pos="2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wp:posOffset>
            </wp:positionV>
            <wp:extent cx="330517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John Lai</w:t>
      </w:r>
    </w:p>
    <w:p>
      <w:pPr>
        <w:jc w:val="center"/>
        <w:ind w:left="-159"/>
        <w:spacing w:after="0" w:line="218" w:lineRule="auto"/>
        <w:rPr>
          <w:sz w:val="20"/>
          <w:szCs w:val="20"/>
          <w:color w:val="auto"/>
        </w:rPr>
      </w:pPr>
      <w:r>
        <w:rPr>
          <w:rFonts w:ascii="Times New Roman" w:cs="Times New Roman" w:eastAsia="Times New Roman" w:hAnsi="Times New Roman"/>
          <w:sz w:val="18"/>
          <w:szCs w:val="18"/>
          <w:color w:val="auto"/>
        </w:rPr>
        <w:t>Chairperson, President and Chief Executive Officer</w:t>
      </w:r>
    </w:p>
    <w:p>
      <w:pPr>
        <w:spacing w:after="0" w:line="1" w:lineRule="exact"/>
        <w:rPr>
          <w:sz w:val="20"/>
          <w:szCs w:val="20"/>
          <w:color w:val="auto"/>
        </w:rPr>
      </w:pPr>
    </w:p>
    <w:p>
      <w:pPr>
        <w:jc w:val="center"/>
        <w:ind w:left="-159"/>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8" w:lineRule="exact"/>
        <w:rPr>
          <w:sz w:val="20"/>
          <w:szCs w:val="20"/>
          <w:color w:val="auto"/>
        </w:rPr>
      </w:pPr>
    </w:p>
    <w:p>
      <w:pPr>
        <w:ind w:left="160"/>
        <w:spacing w:after="0"/>
        <w:tabs>
          <w:tab w:leader="none" w:pos="2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wp:posOffset>
            </wp:positionV>
            <wp:extent cx="330517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Jedidiah Gold</w:t>
      </w:r>
    </w:p>
    <w:p>
      <w:pPr>
        <w:jc w:val="center"/>
        <w:ind w:left="-159"/>
        <w:spacing w:after="0" w:line="218"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jc w:val="center"/>
        <w:ind w:left="-159"/>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64135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20" w:space="720"/>
            <w:col w:w="5240"/>
          </w:cols>
          <w:pgMar w:left="320" w:top="319" w:right="79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Lai, certify that:</w:t>
      </w:r>
    </w:p>
    <w:p>
      <w:pPr>
        <w:spacing w:after="0" w:line="211"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2022 of Mister Car Wash,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58" w:lineRule="auto"/>
        <w:tabs>
          <w:tab w:leader="none" w:pos="8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4" w:lineRule="exact"/>
        <w:rPr>
          <w:rFonts w:ascii="Times New Roman" w:cs="Times New Roman" w:eastAsia="Times New Roman" w:hAnsi="Times New Roman"/>
          <w:sz w:val="18"/>
          <w:szCs w:val="18"/>
          <w:color w:val="auto"/>
        </w:rPr>
      </w:pPr>
    </w:p>
    <w:p>
      <w:pPr>
        <w:ind w:left="1020" w:right="500" w:hanging="479"/>
        <w:spacing w:after="0" w:line="295" w:lineRule="auto"/>
        <w:tabs>
          <w:tab w:leader="none" w:pos="894"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020" w:right="180" w:hanging="479"/>
        <w:spacing w:after="0" w:line="258" w:lineRule="auto"/>
        <w:tabs>
          <w:tab w:leader="none" w:pos="8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ind w:left="5700" w:right="2180" w:hanging="8304"/>
        <w:spacing w:after="0" w:line="253" w:lineRule="auto"/>
        <w:tabs>
          <w:tab w:leader="none" w:pos="568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 /s/ John Lai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0</wp:posOffset>
            </wp:positionV>
            <wp:extent cx="330517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6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color w:val="auto"/>
        </w:rPr>
        <w:t>Chairperson, President and Chief Executive Officer</w:t>
      </w:r>
    </w:p>
    <w:p>
      <w:pPr>
        <w:jc w:val="center"/>
        <w:ind w:left="6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Jedidiah Gold, certify that:</w:t>
      </w:r>
    </w:p>
    <w:p>
      <w:pPr>
        <w:spacing w:after="0" w:line="211"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2022 of Mister Car Wash,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58" w:lineRule="auto"/>
        <w:tabs>
          <w:tab w:leader="none" w:pos="89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4" w:lineRule="exact"/>
        <w:rPr>
          <w:rFonts w:ascii="Times New Roman" w:cs="Times New Roman" w:eastAsia="Times New Roman" w:hAnsi="Times New Roman"/>
          <w:sz w:val="18"/>
          <w:szCs w:val="18"/>
          <w:color w:val="auto"/>
        </w:rPr>
      </w:pPr>
    </w:p>
    <w:p>
      <w:pPr>
        <w:ind w:left="1020" w:right="500" w:hanging="479"/>
        <w:spacing w:after="0" w:line="295" w:lineRule="auto"/>
        <w:tabs>
          <w:tab w:leader="none" w:pos="894"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020" w:right="180" w:hanging="479"/>
        <w:spacing w:after="0" w:line="258" w:lineRule="auto"/>
        <w:tabs>
          <w:tab w:leader="none" w:pos="89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ind w:left="5700" w:right="2000" w:hanging="8114"/>
        <w:spacing w:after="0" w:line="253" w:lineRule="auto"/>
        <w:tabs>
          <w:tab w:leader="none" w:pos="568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 /s/ Jedidiah Gold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0</wp:posOffset>
            </wp:positionV>
            <wp:extent cx="330517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6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left="6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Mister Car Wash, Inc. (the “Company”) on Form 10-Q for the quarterly period ended June 30, 2022 as filed with the Securities and Exchange Commission on the date hereof (the “Report”), I certify, pursuant to 18 U.S.C. § 1350, as adopted pursuant to § 906 of the Sarbanes-Oxley Act of 2002, that:</w:t>
      </w:r>
    </w:p>
    <w:p>
      <w:pPr>
        <w:spacing w:after="0" w:line="189" w:lineRule="exact"/>
        <w:rPr>
          <w:sz w:val="20"/>
          <w:szCs w:val="20"/>
          <w:color w:val="auto"/>
        </w:rPr>
      </w:pPr>
    </w:p>
    <w:p>
      <w:pPr>
        <w:ind w:left="900" w:hanging="35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760" w:hanging="479"/>
        <w:spacing w:after="0" w:line="266" w:lineRule="auto"/>
        <w:tabs>
          <w:tab w:leader="none" w:pos="8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8" w:lineRule="exact"/>
        <w:rPr>
          <w:sz w:val="20"/>
          <w:szCs w:val="20"/>
          <w:color w:val="auto"/>
        </w:rPr>
      </w:pPr>
    </w:p>
    <w:p>
      <w:pPr>
        <w:ind w:left="5700" w:right="2180" w:hanging="8304"/>
        <w:spacing w:after="0" w:line="253" w:lineRule="auto"/>
        <w:tabs>
          <w:tab w:leader="none" w:pos="568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 /s/ John Lai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0</wp:posOffset>
            </wp:positionV>
            <wp:extent cx="33051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6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color w:val="auto"/>
        </w:rPr>
        <w:t>Chairperson, President and Chief Executive Officer</w:t>
      </w:r>
    </w:p>
    <w:p>
      <w:pPr>
        <w:jc w:val="center"/>
        <w:ind w:left="6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Mister Car Wash, Inc. (the “Company”) on Form 10-Q for the quarterly period ended June 30, 2022 as filed with the Securities and Exchange Commission on the date hereof (the “Report”), I certify, pursuant to 18 U.S.C. § 1350, as adopted pursuant to § 906 of the Sarbanes-Oxley Act of 2002, that:</w:t>
      </w:r>
    </w:p>
    <w:p>
      <w:pPr>
        <w:spacing w:after="0" w:line="189" w:lineRule="exact"/>
        <w:rPr>
          <w:sz w:val="20"/>
          <w:szCs w:val="20"/>
          <w:color w:val="auto"/>
        </w:rPr>
      </w:pPr>
    </w:p>
    <w:p>
      <w:pPr>
        <w:ind w:left="900" w:hanging="35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760" w:hanging="479"/>
        <w:spacing w:after="0" w:line="266" w:lineRule="auto"/>
        <w:tabs>
          <w:tab w:leader="none" w:pos="8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8" w:lineRule="exact"/>
        <w:rPr>
          <w:sz w:val="20"/>
          <w:szCs w:val="20"/>
          <w:color w:val="auto"/>
        </w:rPr>
      </w:pPr>
    </w:p>
    <w:p>
      <w:pPr>
        <w:ind w:left="5700" w:right="2000" w:hanging="8114"/>
        <w:spacing w:after="0" w:line="253" w:lineRule="auto"/>
        <w:tabs>
          <w:tab w:leader="none" w:pos="568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 /s/ Jedidiah Gold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0</wp:posOffset>
            </wp:positionV>
            <wp:extent cx="33051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6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left="6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3"/>
    </w:lvl>
  </w:abstractNum>
  <w:abstractNum w:abstractNumId="5">
    <w:nsid w:val="140E0F76"/>
    <w:multiLevelType w:val="hybridMultilevel"/>
    <w:lvl w:ilvl="0">
      <w:lvlJc w:val="left"/>
      <w:lvlText w:val="(%1)"/>
      <w:numFmt w:val="lowerLetter"/>
      <w:start w:val="9"/>
    </w:lvl>
  </w:abstractNum>
  <w:abstractNum w:abstractNumId="6">
    <w:nsid w:val="3352255A"/>
    <w:multiLevelType w:val="hybridMultilevel"/>
    <w:lvl w:ilvl="0">
      <w:lvlJc w:val="left"/>
      <w:lvlText w:val="(%1)"/>
      <w:numFmt w:val="lowerLetter"/>
      <w:start w:val="3"/>
    </w:lvl>
  </w:abstractNum>
  <w:abstractNum w:abstractNumId="7">
    <w:nsid w:val="109CF92E"/>
    <w:multiLevelType w:val="hybridMultilevel"/>
    <w:lvl w:ilvl="0">
      <w:lvlJc w:val="left"/>
      <w:lvlText w:val="%1."/>
      <w:numFmt w:val="decimal"/>
      <w:start w:val="16"/>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81" Type="http://schemas.openxmlformats.org/officeDocument/2006/relationships/hyperlink" Target="https://www.sec.gov/Archives/edgar/data/1853513/000095017022009801/mcw-ex2_1.htm" TargetMode="External"/><Relationship Id="rId282" Type="http://schemas.openxmlformats.org/officeDocument/2006/relationships/hyperlink" Target="https://www.sec.gov/Archives/edgar/data/1853513/000095017022010967/mcw-ex3_2.htm" TargetMode="External"/><Relationship Id="rId283" Type="http://schemas.openxmlformats.org/officeDocument/2006/relationships/hyperlink" Target="https://www.sec.gov/Archives/edgar/data/1853513/000119312521207571/d197509dex32.htm" TargetMode="External"/><Relationship Id="rId284" Type="http://schemas.openxmlformats.org/officeDocument/2006/relationships/hyperlink" Target="https://www.sec.gov/Archives/edgar/data/1853513/000119312522181493/d36256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2022-08-13T10:17:05Z</dcterms:created>
  <dcterms:modified xsi:type="dcterms:W3CDTF">2022-08-13T10:17:05Z</dcterms:modified>
</cp:coreProperties>
</file>