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cw-20250630.htm"/>
      <w:bookmarkStart w:id="1" w:name="ksmcw2025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 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001-40542</w:t>
      </w:r>
    </w:p>
    <w:p>
      <w:pPr>
        <w:pStyle w:val="TextBody"/>
        <w:pBdr>
          <w:bottom w:val="single" w:sz="4" w:space="1" w:color="000000"/>
        </w:pBdr>
        <w:bidi w:val="0"/>
        <w:spacing w:before="60" w:after="120"/>
        <w:jc w:val="center"/>
        <w:rPr/>
      </w:pPr>
      <w:r>
        <w:rPr/>
        <w:t> </w:t>
      </w:r>
    </w:p>
    <w:p>
      <w:pPr>
        <w:pStyle w:val="TextBody"/>
        <w:bidi w:val="0"/>
        <w:jc w:val="center"/>
        <w:rPr/>
      </w:pPr>
      <w:r>
        <w:rPr/>
        <w:drawing>
          <wp:inline distT="0" distB="0" distL="0" distR="0">
            <wp:extent cx="204787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695325"/>
                    </a:xfrm>
                    <a:prstGeom prst="rect">
                      <a:avLst/>
                    </a:prstGeom>
                  </pic:spPr>
                </pic:pic>
              </a:graphicData>
            </a:graphic>
          </wp:inline>
        </w:drawing>
      </w:r>
    </w:p>
    <w:p>
      <w:pPr>
        <w:pStyle w:val="TextBody"/>
        <w:bidi w:val="0"/>
        <w:jc w:val="center"/>
        <w:rPr>
          <w:rFonts w:ascii="Times New Roman" w:hAnsi="Times New Roman"/>
          <w:b/>
          <w:color w:val="000000"/>
          <w:sz w:val="48"/>
        </w:rPr>
      </w:pPr>
      <w:r>
        <w:rPr>
          <w:rFonts w:ascii="Times New Roman" w:hAnsi="Times New Roman"/>
          <w:b/>
          <w:color w:val="000000"/>
          <w:sz w:val="48"/>
        </w:rPr>
        <w:t>Mister Car Wash,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6002" w:type="dxa"/>
        <w:jc w:val="left"/>
        <w:tblInd w:w="0" w:type="dxa"/>
        <w:tblLayout w:type="fixed"/>
        <w:tblCellMar>
          <w:top w:w="28" w:type="dxa"/>
          <w:left w:w="28" w:type="dxa"/>
          <w:bottom w:w="28" w:type="dxa"/>
          <w:right w:w="28" w:type="dxa"/>
        </w:tblCellMar>
      </w:tblPr>
      <w:tblGrid>
        <w:gridCol w:w="3751"/>
        <w:gridCol w:w="2251"/>
      </w:tblGrid>
      <w:tr>
        <w:trPr/>
        <w:tc>
          <w:tcPr>
            <w:tcW w:w="3751"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47-1393909</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 of incorporation or organization)</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 Identification No.)</w:t>
            </w:r>
          </w:p>
        </w:tc>
      </w:tr>
      <w:tr>
        <w:trPr/>
        <w:tc>
          <w:tcPr>
            <w:tcW w:w="375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222 E. 5</w:t>
            </w:r>
            <w:r>
              <w:rPr>
                <w:rFonts w:ascii="Times New Roman" w:hAnsi="Times New Roman"/>
                <w:b/>
                <w:color w:val="000000"/>
                <w:sz w:val="13"/>
              </w:rPr>
              <w:t>th</w:t>
            </w:r>
            <w:r>
              <w:rPr>
                <w:rFonts w:ascii="Times New Roman" w:hAnsi="Times New Roman"/>
                <w:color w:val="000000"/>
                <w:sz w:val="20"/>
              </w:rPr>
              <w:t xml:space="preserve"> </w:t>
            </w:r>
            <w:r>
              <w:rPr>
                <w:rFonts w:ascii="Times New Roman" w:hAnsi="Times New Roman"/>
                <w:b/>
                <w:color w:val="000000"/>
                <w:sz w:val="20"/>
              </w:rPr>
              <w:t>Street, Tucson, Arizona</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85705</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(520) 615-4000</w:t>
      </w:r>
    </w:p>
    <w:p>
      <w:pPr>
        <w:pStyle w:val="TextBody"/>
        <w:pBdr>
          <w:bottom w:val="single" w:sz="4" w:space="1" w:color="000000"/>
        </w:pBdr>
        <w:bidi w:val="0"/>
        <w:spacing w:before="60" w:after="283"/>
        <w:jc w:val="center"/>
        <w:rPr/>
      </w:pPr>
      <w:r>
        <w:rPr/>
        <w:t> </w:t>
      </w:r>
    </w:p>
    <w:p>
      <w:pPr>
        <w:pStyle w:val="TextBody"/>
        <w:bidi w:val="0"/>
        <w:spacing w:before="80" w:after="283"/>
        <w:jc w:val="center"/>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10" w:type="dxa"/>
        <w:jc w:val="left"/>
        <w:tblInd w:w="0" w:type="dxa"/>
        <w:tblLayout w:type="fixed"/>
        <w:tblCellMar>
          <w:top w:w="28" w:type="dxa"/>
          <w:left w:w="28" w:type="dxa"/>
          <w:bottom w:w="28" w:type="dxa"/>
          <w:right w:w="28" w:type="dxa"/>
        </w:tblCellMar>
      </w:tblPr>
      <w:tblGrid>
        <w:gridCol w:w="3076"/>
        <w:gridCol w:w="146"/>
        <w:gridCol w:w="826"/>
        <w:gridCol w:w="146"/>
        <w:gridCol w:w="331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MCW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July 24, 2025, the registrant had 327,275,242</w:t>
      </w:r>
      <w:r>
        <w:rPr>
          <w:rFonts w:ascii="Times New Roman" w:hAnsi="Times New Roman"/>
          <w:color w:val="000000"/>
          <w:sz w:val="20"/>
        </w:rPr>
        <w:t xml:space="preserve"> </w:t>
      </w:r>
      <w:r>
        <w:rPr>
          <w:rFonts w:ascii="Times New Roman" w:hAnsi="Times New Roman"/>
          <w:color w:val="000000"/>
          <w:sz w:val="18"/>
        </w:rPr>
        <w:t>shares of common stock, $0.01 par value per share, outstanding.</w:t>
      </w:r>
    </w:p>
    <w:p>
      <w:pPr>
        <w:pStyle w:val="TextBody"/>
        <w:pBdr>
          <w:bottom w:val="double" w:sz="6" w:space="1" w:color="000000"/>
        </w:pBdr>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MISTER CAR WASH, INC.</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9169" w:type="dxa"/>
        <w:jc w:val="left"/>
        <w:tblInd w:w="0" w:type="dxa"/>
        <w:tblLayout w:type="fixed"/>
        <w:tblCellMar>
          <w:top w:w="28" w:type="dxa"/>
          <w:left w:w="28" w:type="dxa"/>
          <w:bottom w:w="28" w:type="dxa"/>
          <w:right w:w="28" w:type="dxa"/>
        </w:tblCellMar>
      </w:tblPr>
      <w:tblGrid>
        <w:gridCol w:w="976"/>
        <w:gridCol w:w="434"/>
        <w:gridCol w:w="7366"/>
        <w:gridCol w:w="393"/>
      </w:tblGrid>
      <w:tr>
        <w:trPr/>
        <w:tc>
          <w:tcPr>
            <w:tcW w:w="97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8776" w:type="dxa"/>
            <w:gridSpan w:val="3"/>
            <w:tcBorders/>
            <w:shd w:fill="CFF0FC" w:val="clear"/>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Forward-Looking Statements</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forward_looking_statements">
              <w:r>
                <w:rPr>
                  <w:rStyle w:val="InternetLink"/>
                  <w:rFonts w:ascii="Times New Roman" w:hAnsi="Times New Roman"/>
                  <w:color w:val="0000FF"/>
                  <w:sz w:val="20"/>
                  <w:u w:val="single"/>
                </w:rPr>
                <w:t>2</w:t>
              </w:r>
            </w:hyperlink>
          </w:p>
        </w:tc>
      </w:tr>
      <w:tr>
        <w:trPr/>
        <w:tc>
          <w:tcPr>
            <w:tcW w:w="8776"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69"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PART I - FINANCIAL INFORMATION</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Item 1.</w:t>
              </w:r>
            </w:hyperlink>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Financial Statements (Unaudited)</w:t>
              </w:r>
            </w:hyperlink>
            <w:r>
              <w:rPr>
                <w:rFonts w:ascii="Times New Roman" w:hAnsi="Times New Roman"/>
                <w:color w:val="000000"/>
                <w:sz w:val="2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hyperlink w:anchor="i_item1">
              <w:r>
                <w:rPr>
                  <w:rStyle w:val="InternetLink"/>
                  <w:rFonts w:ascii="Times New Roman" w:hAnsi="Times New Roman"/>
                  <w:color w:val="0000FF"/>
                  <w:sz w:val="20"/>
                  <w:u w:val="single"/>
                </w:rPr>
                <w:t>3</w:t>
              </w:r>
            </w:hyperlink>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left"/>
              <w:rPr/>
            </w:pPr>
            <w:hyperlink w:anchor="statements_of_operations">
              <w:r>
                <w:rPr>
                  <w:rStyle w:val="InternetLink"/>
                  <w:rFonts w:ascii="Times New Roman" w:hAnsi="Times New Roman"/>
                  <w:color w:val="0000FF"/>
                  <w:sz w:val="20"/>
                  <w:u w:val="single"/>
                </w:rPr>
                <w:t>Consolidated Statements of Operations and Comprehensive Income</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right"/>
              <w:rPr/>
            </w:pPr>
            <w:hyperlink w:anchor="statements_of_operations">
              <w:r>
                <w:rPr>
                  <w:rStyle w:val="InternetLink"/>
                  <w:rFonts w:ascii="Times New Roman" w:hAnsi="Times New Roman"/>
                  <w:color w:val="0000FF"/>
                  <w:sz w:val="20"/>
                  <w:u w:val="single"/>
                </w:rPr>
                <w:t>3</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hyperlink w:anchor="statements_of_cash_flows">
              <w:r>
                <w:rPr>
                  <w:rStyle w:val="InternetLink"/>
                  <w:rFonts w:ascii="Times New Roman" w:hAnsi="Times New Roman"/>
                  <w:color w:val="0000FF"/>
                  <w:sz w:val="20"/>
                  <w:u w:val="single"/>
                </w:rPr>
                <w:t>Consolidated Statements of Cash Flows</w:t>
              </w:r>
            </w:hyperlink>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hyperlink w:anchor="statements_of_cash_flows">
              <w:r>
                <w:rPr>
                  <w:rStyle w:val="InternetLink"/>
                  <w:rFonts w:ascii="Times New Roman" w:hAnsi="Times New Roman"/>
                  <w:color w:val="0000FF"/>
                  <w:sz w:val="20"/>
                  <w:u w:val="single"/>
                </w:rPr>
                <w:t>4</w:t>
              </w:r>
            </w:hyperlink>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left"/>
              <w:rPr/>
            </w:pPr>
            <w:hyperlink w:anchor="balance_sheets">
              <w:r>
                <w:rPr>
                  <w:rStyle w:val="InternetLink"/>
                  <w:rFonts w:ascii="Times New Roman" w:hAnsi="Times New Roman"/>
                  <w:color w:val="0000FF"/>
                  <w:sz w:val="20"/>
                  <w:u w:val="single"/>
                </w:rPr>
                <w:t>Consolidated Balance Sheets</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right"/>
              <w:rPr/>
            </w:pPr>
            <w:hyperlink w:anchor="balance_sheets">
              <w:r>
                <w:rPr>
                  <w:rStyle w:val="InternetLink"/>
                  <w:rFonts w:ascii="Times New Roman" w:hAnsi="Times New Roman"/>
                  <w:color w:val="0000FF"/>
                  <w:sz w:val="20"/>
                  <w:u w:val="single"/>
                </w:rPr>
                <w:t>5</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hyperlink w:anchor="statements_of_equity">
              <w:r>
                <w:rPr>
                  <w:rStyle w:val="InternetLink"/>
                  <w:rFonts w:ascii="Times New Roman" w:hAnsi="Times New Roman"/>
                  <w:color w:val="0000FF"/>
                  <w:sz w:val="20"/>
                  <w:u w:val="single"/>
                </w:rPr>
                <w:t>Consolidated Statements of Stockholders' Equity</w:t>
              </w:r>
            </w:hyperlink>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hyperlink w:anchor="statements_of_equity">
              <w:r>
                <w:rPr>
                  <w:rStyle w:val="InternetLink"/>
                  <w:rFonts w:ascii="Times New Roman" w:hAnsi="Times New Roman"/>
                  <w:color w:val="0000FF"/>
                  <w:sz w:val="20"/>
                  <w:u w:val="single"/>
                </w:rPr>
                <w:t>6</w:t>
              </w:r>
            </w:hyperlink>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left"/>
              <w:rPr/>
            </w:pPr>
            <w:hyperlink w:anchor="notes_to_the_financial_statements">
              <w:r>
                <w:rPr>
                  <w:rStyle w:val="InternetLink"/>
                  <w:rFonts w:ascii="Times New Roman" w:hAnsi="Times New Roman"/>
                  <w:color w:val="0000FF"/>
                  <w:sz w:val="20"/>
                  <w:u w:val="single"/>
                </w:rPr>
                <w:t>Notes to Consolidated Financial Statements</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notes_to_the_financial_statements">
              <w:r>
                <w:rPr>
                  <w:rStyle w:val="InternetLink"/>
                  <w:rFonts w:ascii="Times New Roman" w:hAnsi="Times New Roman"/>
                  <w:color w:val="0000FF"/>
                  <w:sz w:val="20"/>
                  <w:u w:val="single"/>
                </w:rPr>
                <w:t>7</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Item 2.</w:t>
              </w:r>
            </w:hyperlink>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notes_to_the_financial_statements">
              <w:r>
                <w:rPr>
                  <w:rStyle w:val="InternetLink"/>
                  <w:rFonts w:ascii="Times New Roman" w:hAnsi="Times New Roman"/>
                  <w:color w:val="0000FF"/>
                  <w:sz w:val="20"/>
                  <w:u w:val="single"/>
                </w:rPr>
                <w:t>19</w:t>
              </w:r>
            </w:hyperlink>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Item 3.</w:t>
              </w:r>
            </w:hyperlink>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i_item3">
              <w:r>
                <w:rPr>
                  <w:rStyle w:val="InternetLink"/>
                  <w:rFonts w:ascii="Times New Roman" w:hAnsi="Times New Roman"/>
                  <w:color w:val="0000FF"/>
                  <w:sz w:val="20"/>
                  <w:u w:val="single"/>
                </w:rPr>
                <w:t>27</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Item 4.</w:t>
              </w:r>
            </w:hyperlink>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i_item4">
              <w:r>
                <w:rPr>
                  <w:rStyle w:val="InternetLink"/>
                  <w:rFonts w:ascii="Times New Roman" w:hAnsi="Times New Roman"/>
                  <w:color w:val="0000FF"/>
                  <w:sz w:val="20"/>
                  <w:u w:val="single"/>
                </w:rPr>
                <w:t>27</w:t>
              </w:r>
            </w:hyperlink>
          </w:p>
        </w:tc>
      </w:tr>
      <w:tr>
        <w:trPr/>
        <w:tc>
          <w:tcPr>
            <w:tcW w:w="8776" w:type="dxa"/>
            <w:gridSpan w:val="3"/>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69"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PART II - OTHER INFORMATION</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Item 1.</w:t>
              </w:r>
            </w:hyperlink>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ii_item1">
              <w:r>
                <w:rPr>
                  <w:rStyle w:val="InternetLink"/>
                  <w:rFonts w:ascii="Times New Roman" w:hAnsi="Times New Roman"/>
                  <w:color w:val="0000FF"/>
                  <w:sz w:val="20"/>
                  <w:u w:val="single"/>
                </w:rPr>
                <w:t>28</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Item 1A.</w:t>
              </w:r>
            </w:hyperlink>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ii_item1a">
              <w:r>
                <w:rPr>
                  <w:rStyle w:val="InternetLink"/>
                  <w:rFonts w:ascii="Times New Roman" w:hAnsi="Times New Roman"/>
                  <w:color w:val="0000FF"/>
                  <w:sz w:val="20"/>
                  <w:u w:val="single"/>
                </w:rPr>
                <w:t>28</w:t>
              </w:r>
            </w:hyperlink>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Item 2.</w:t>
              </w:r>
            </w:hyperlink>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ii_item2">
              <w:r>
                <w:rPr>
                  <w:rStyle w:val="InternetLink"/>
                  <w:rFonts w:ascii="Times New Roman" w:hAnsi="Times New Roman"/>
                  <w:color w:val="0000FF"/>
                  <w:sz w:val="20"/>
                  <w:u w:val="single"/>
                </w:rPr>
                <w:t>28</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Item 3.</w:t>
              </w:r>
            </w:hyperlink>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ii_item3">
              <w:r>
                <w:rPr>
                  <w:rStyle w:val="InternetLink"/>
                  <w:rFonts w:ascii="Times New Roman" w:hAnsi="Times New Roman"/>
                  <w:color w:val="0000FF"/>
                  <w:sz w:val="20"/>
                  <w:u w:val="single"/>
                </w:rPr>
                <w:t>28</w:t>
              </w:r>
            </w:hyperlink>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Item 4.</w:t>
              </w:r>
            </w:hyperlink>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ii_item4">
              <w:r>
                <w:rPr>
                  <w:rStyle w:val="InternetLink"/>
                  <w:rFonts w:ascii="Times New Roman" w:hAnsi="Times New Roman"/>
                  <w:color w:val="0000FF"/>
                  <w:sz w:val="20"/>
                  <w:u w:val="single"/>
                </w:rPr>
                <w:t>28</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Item 5.</w:t>
              </w:r>
            </w:hyperlink>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hyperlink w:anchor="ii_item5">
              <w:r>
                <w:rPr>
                  <w:rStyle w:val="InternetLink"/>
                  <w:rFonts w:ascii="Times New Roman" w:hAnsi="Times New Roman"/>
                  <w:color w:val="0000FF"/>
                  <w:sz w:val="20"/>
                  <w:u w:val="single"/>
                </w:rPr>
                <w:t>28</w:t>
              </w:r>
            </w:hyperlink>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Item 6.</w:t>
              </w:r>
            </w:hyperlink>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ii_item6">
              <w:r>
                <w:rPr>
                  <w:rStyle w:val="InternetLink"/>
                  <w:rFonts w:ascii="Times New Roman" w:hAnsi="Times New Roman"/>
                  <w:color w:val="0000FF"/>
                  <w:sz w:val="20"/>
                  <w:u w:val="single"/>
                </w:rPr>
                <w:t>29</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hyperlink w:anchor="signatures">
              <w:r>
                <w:rPr>
                  <w:rStyle w:val="InternetLink"/>
                  <w:rFonts w:ascii="Times New Roman" w:hAnsi="Times New Roman"/>
                  <w:color w:val="0000FF"/>
                  <w:sz w:val="20"/>
                  <w:u w:val="single"/>
                </w:rPr>
                <w:t>30</w:t>
              </w:r>
            </w:hyperlink>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Heading1"/>
        <w:bidi w:val="0"/>
        <w:spacing w:before="120" w:after="283"/>
        <w:jc w:val="center"/>
        <w:rPr>
          <w:rFonts w:ascii="Times New Roman" w:hAnsi="Times New Roman"/>
          <w:sz w:val="20"/>
        </w:rPr>
      </w:pPr>
      <w:bookmarkStart w:id="3" w:name="forward_looking_statements"/>
      <w:bookmarkEnd w:id="3"/>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19"/>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present and historical facts contained in this Quarterly Report on Form 10-Q, including without limitation, statements regarding our future results of operations and financial position, business strategy and approach are forward-looking. You can generally identify forward-looking statements by our use of forward-looking terminology such as “anticipate,” “believe,” “continue,” “could,” “estimate,” “expect,” “intend,” “may,” “might,” “plan,” “potential,” “predict,” “seek,” “should,” “will,” “would” or the negative thereof or comparable terminology.</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19"/>
        </w:rPr>
      </w:pPr>
      <w:r>
        <w:rPr>
          <w:rFonts w:ascii="Times New Roman" w:hAnsi="Times New Roman"/>
          <w:color w:val="000000"/>
          <w:sz w:val="19"/>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in this Quarterly Report on Form 10-Q due to various factors, including, but not limited to, those identified in Part I. Item 1A. “Risk Factors” and in Part II. Item 7. “Management's Discussion and Analysis of Financial Condition and Results of Operations” of our Annual Report on Form 10-K for the fiscal year ended December 31, 2024 (the “2024 Form 10-K”) and in Part I. Item 2. “Management’s Discussion and Analysis of Financial Condition and Results of Operations” of this Quarterly Report on Form 10-Q.</w:t>
      </w:r>
    </w:p>
    <w:p>
      <w:pPr>
        <w:pStyle w:val="TextBody"/>
        <w:bidi w:val="0"/>
        <w:spacing w:before="0" w:after="120"/>
        <w:jc w:val="both"/>
        <w:rPr>
          <w:rFonts w:ascii="Times New Roman" w:hAnsi="Times New Roman"/>
          <w:color w:val="000000"/>
          <w:sz w:val="19"/>
        </w:rPr>
      </w:pPr>
      <w:r>
        <w:rPr>
          <w:rFonts w:ascii="Times New Roman" w:hAnsi="Times New Roman"/>
          <w:color w:val="000000"/>
          <w:sz w:val="19"/>
        </w:rPr>
        <w:t>You are cautioned not to place undue reliance on such forward-looking statements. In addition, even if actual results are consistent with the forward-looking statements included elsewhere in this Quarterly Report on Form 10-Q, they may not be indicative of results or developments in future periods.</w:t>
      </w:r>
    </w:p>
    <w:p>
      <w:pPr>
        <w:pStyle w:val="TextBody"/>
        <w:bidi w:val="0"/>
        <w:spacing w:before="0" w:after="120"/>
        <w:jc w:val="both"/>
        <w:rPr>
          <w:rFonts w:ascii="Times New Roman" w:hAnsi="Times New Roman"/>
          <w:sz w:val="20"/>
        </w:rPr>
      </w:pPr>
      <w:r>
        <w:rPr>
          <w:rFonts w:ascii="Times New Roman" w:hAnsi="Times New Roman"/>
          <w:color w:val="000000"/>
          <w:sz w:val="19"/>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19"/>
        </w:rPr>
      </w:pPr>
      <w:r>
        <w:rPr>
          <w:rFonts w:ascii="Times New Roman" w:hAnsi="Times New Roman"/>
          <w:color w:val="000000"/>
          <w:sz w:val="19"/>
        </w:rPr>
        <w:t>As used in this Quarterly Report on Form 10-Q, unless otherwise stated or the context requires otherwise, references to “Mister Car Wash,” “Mister,” the “Company,” “we,” “us,” and “our,” refer to Mister Car Wash, Inc. and its subsidiaries on a consolidated basis.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Heading1"/>
        <w:bidi w:val="0"/>
        <w:spacing w:before="120" w:after="283"/>
        <w:jc w:val="center"/>
        <w:rPr>
          <w:rFonts w:ascii="Times New Roman" w:hAnsi="Times New Roman"/>
          <w:b/>
          <w:color w:val="000000"/>
          <w:sz w:val="20"/>
        </w:rPr>
      </w:pPr>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u w:val="single"/>
        </w:rPr>
      </w:pPr>
      <w:bookmarkStart w:id="4" w:name="i_item1"/>
      <w:bookmarkEnd w:id="4"/>
      <w:r>
        <w:rPr>
          <w:rFonts w:ascii="Times New Roman" w:hAnsi="Times New Roman"/>
          <w:b/>
          <w:color w:val="000000"/>
          <w:sz w:val="20"/>
          <w:u w:val="single"/>
        </w:rPr>
        <w:t>Item 1. Financial Statements.</w:t>
      </w:r>
    </w:p>
    <w:p>
      <w:pPr>
        <w:pStyle w:val="TextBody"/>
        <w:bidi w:val="0"/>
        <w:spacing w:before="12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Mister Car Wash, Inc.</w:t>
      </w:r>
    </w:p>
    <w:p>
      <w:pPr>
        <w:pStyle w:val="TextBody"/>
        <w:bidi w:val="0"/>
        <w:jc w:val="center"/>
        <w:rPr>
          <w:rFonts w:ascii="Times New Roman" w:hAnsi="Times New Roman"/>
          <w:sz w:val="20"/>
        </w:rPr>
      </w:pPr>
      <w:bookmarkStart w:id="5" w:name="statements_of_operations"/>
      <w:bookmarkEnd w:id="5"/>
      <w:r>
        <w:rPr>
          <w:rFonts w:ascii="Times New Roman" w:hAnsi="Times New Roman"/>
          <w:b/>
          <w:color w:val="000000"/>
          <w:sz w:val="20"/>
        </w:rPr>
        <w:t>Consolidated</w:t>
      </w:r>
      <w:r>
        <w:rPr>
          <w:rFonts w:ascii="Times New Roman" w:hAnsi="Times New Roman"/>
          <w:color w:val="000000"/>
          <w:sz w:val="20"/>
        </w:rPr>
        <w:t xml:space="preserve"> </w:t>
      </w:r>
      <w:r>
        <w:rPr>
          <w:rFonts w:ascii="Times New Roman" w:hAnsi="Times New Roman"/>
          <w:b/>
          <w:color w:val="000000"/>
          <w:sz w:val="20"/>
        </w:rPr>
        <w:t>Statements of Operations and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944"/>
        <w:gridCol w:w="146"/>
        <w:gridCol w:w="211"/>
        <w:gridCol w:w="1141"/>
        <w:gridCol w:w="246"/>
        <w:gridCol w:w="246"/>
        <w:gridCol w:w="211"/>
        <w:gridCol w:w="1141"/>
        <w:gridCol w:w="246"/>
        <w:gridCol w:w="246"/>
        <w:gridCol w:w="211"/>
        <w:gridCol w:w="1141"/>
        <w:gridCol w:w="166"/>
        <w:gridCol w:w="146"/>
        <w:gridCol w:w="211"/>
        <w:gridCol w:w="1141"/>
        <w:gridCol w:w="411"/>
      </w:tblGrid>
      <w:tr>
        <w:trPr/>
        <w:tc>
          <w:tcPr>
            <w:tcW w:w="2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16"/>
              </w:rPr>
              <w:t>(Amounts 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265,415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255,043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494,226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labor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76,627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72,691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store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108,850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99,543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196,346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sale of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211,269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200,043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60,574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28,595</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28,945</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9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325,561,496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319,415,156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324,884,649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317,626,972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331,824,299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328,325,135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331,655,434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329,168,640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231F20"/>
          <w:sz w:val="20"/>
        </w:rPr>
      </w:pPr>
      <w:r>
        <w:rPr>
          <w:rFonts w:ascii="Times New Roman" w:hAnsi="Times New Roman"/>
          <w:i/>
          <w:color w:val="231F20"/>
          <w:sz w:val="20"/>
        </w:rPr>
        <w:t>See accompanying notes to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Mister Car Wash, Inc.</w:t>
      </w:r>
    </w:p>
    <w:p>
      <w:pPr>
        <w:pStyle w:val="TextBody"/>
        <w:bidi w:val="0"/>
        <w:jc w:val="center"/>
        <w:rPr>
          <w:rFonts w:ascii="Times New Roman" w:hAnsi="Times New Roman"/>
          <w:b/>
          <w:color w:val="000000"/>
          <w:sz w:val="20"/>
        </w:rPr>
      </w:pPr>
      <w:bookmarkStart w:id="6" w:name="statements_of_cash_flows"/>
      <w:bookmarkEnd w:id="6"/>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898" w:type="dxa"/>
        <w:jc w:val="left"/>
        <w:tblInd w:w="0" w:type="dxa"/>
        <w:tblLayout w:type="fixed"/>
        <w:tblCellMar>
          <w:top w:w="28" w:type="dxa"/>
          <w:left w:w="28" w:type="dxa"/>
          <w:bottom w:w="28" w:type="dxa"/>
          <w:right w:w="28" w:type="dxa"/>
        </w:tblCellMar>
      </w:tblPr>
      <w:tblGrid>
        <w:gridCol w:w="6901"/>
        <w:gridCol w:w="196"/>
        <w:gridCol w:w="751"/>
        <w:gridCol w:w="166"/>
        <w:gridCol w:w="146"/>
        <w:gridCol w:w="196"/>
        <w:gridCol w:w="751"/>
        <w:gridCol w:w="791"/>
      </w:tblGrid>
      <w:tr>
        <w:trPr/>
        <w:tc>
          <w:tcPr>
            <w:tcW w:w="69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(Amounts in thousands)</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operating activities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38,728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Adjustments to reconcile net income to net cash provided by operating activities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Depreciation and amortization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39,856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12,152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Loss on sale of assets,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Loss on extinguishment of debt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Amortization of deferred debt issuance costs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Non-cash lease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24,037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income tax</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19,903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Changes in assets and liabilities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receivable,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receivables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(5,846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Inventory,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3,093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payable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3,251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expenses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3,022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2,070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liability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(21,025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noncurrent assets and liabilities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7"/>
              </w:rPr>
            </w:pPr>
            <w:r>
              <w:rPr>
                <w:rFonts w:ascii="Times New Roman" w:hAnsi="Times New Roman"/>
                <w:b/>
                <w:color w:val="000000"/>
                <w:sz w:val="17"/>
              </w:rPr>
              <w:t>Net cash provided by operating activities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118,882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investing activities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Purchases of property and 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(163,096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Proceeds from sale of property and equipment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18,454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7"/>
              </w:rPr>
            </w:pPr>
            <w:r>
              <w:rPr>
                <w:rFonts w:ascii="Times New Roman" w:hAnsi="Times New Roman"/>
                <w:b/>
                <w:color w:val="000000"/>
                <w:sz w:val="17"/>
              </w:rPr>
              <w:t>Net cash used in investing activities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(144,642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financing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Proceeds from issuance of common stock under employee plans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2,773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Payments of tax withholding on option exercises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(19,290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Proceeds from debt borrowings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925,000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Proceeds from revolving line of credit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92,000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Payments on debt borrowings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(901,201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Payments on revolving line of credit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(84,000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Payments of deferred debt issuance costs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(4,525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Principal payments on finance lease obligations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7"/>
              </w:rPr>
            </w:pPr>
            <w:r>
              <w:rPr>
                <w:rFonts w:ascii="Times New Roman" w:hAnsi="Times New Roman"/>
                <w:b/>
                <w:color w:val="000000"/>
                <w:sz w:val="17"/>
              </w:rPr>
              <w:t>Net cash provided by (used in) financing activities</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(64,032</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10,395</w:t>
            </w:r>
          </w:p>
        </w:tc>
        <w:tc>
          <w:tcPr>
            <w:tcW w:w="7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change in cash and cash equivalents and restricted cash during period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(15,365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 and restricted cash at beginning of period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19,119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and cash equivalents and restricted cash at end of period</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3,754</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Reconciliation of cash, cash equivalents, and restricted cash to the consolidated balance sheets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3,609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Restricted cash, included in prepaid expenses and other current assets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cash, cash equivalents, and restricted cash</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3,754</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 of cash flow information</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Cash paid for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39,646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Cash paid for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 of non-cash investing and financing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Property and equipment in accounts payable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21,119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Property and equipment accrued in other accrued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Payment of debt financing costs in other accrued expenses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Mister Car Wash, Inc.</w:t>
      </w:r>
    </w:p>
    <w:p>
      <w:pPr>
        <w:pStyle w:val="TextBody"/>
        <w:bidi w:val="0"/>
        <w:jc w:val="center"/>
        <w:rPr>
          <w:rFonts w:ascii="Times New Roman" w:hAnsi="Times New Roman"/>
          <w:b/>
          <w:color w:val="000000"/>
          <w:sz w:val="20"/>
        </w:rPr>
      </w:pPr>
      <w:bookmarkStart w:id="7" w:name="balance_sheets"/>
      <w:bookmarkEnd w:id="7"/>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105" w:type="dxa"/>
        <w:jc w:val="left"/>
        <w:tblInd w:w="0" w:type="dxa"/>
        <w:tblLayout w:type="fixed"/>
        <w:tblCellMar>
          <w:top w:w="28" w:type="dxa"/>
          <w:left w:w="28" w:type="dxa"/>
          <w:bottom w:w="28" w:type="dxa"/>
          <w:right w:w="28" w:type="dxa"/>
        </w:tblCellMar>
      </w:tblPr>
      <w:tblGrid>
        <w:gridCol w:w="5576"/>
        <w:gridCol w:w="146"/>
        <w:gridCol w:w="213"/>
        <w:gridCol w:w="942"/>
        <w:gridCol w:w="146"/>
        <w:gridCol w:w="146"/>
        <w:gridCol w:w="285"/>
        <w:gridCol w:w="1260"/>
        <w:gridCol w:w="391"/>
      </w:tblGrid>
      <w:tr>
        <w:trPr/>
        <w:tc>
          <w:tcPr>
            <w:tcW w:w="5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16"/>
              </w:rPr>
              <w:t>(Amounts 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 of 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1,134,734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3,105,997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3,101,796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payroll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maturities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maturities of finance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909,094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890,613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2,035,014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2,103,444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$0.01 par value, 1,000,000,000 shares authorized,</w:t>
              <w:br/>
              <w:t>   327,257,547 and 323,693,863 shares outstanding as of</w:t>
              <w:br/>
              <w:t>   June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830,264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1,070,983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3,105,997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3,101,796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231F20"/>
          <w:sz w:val="20"/>
        </w:rPr>
      </w:pPr>
      <w:r>
        <w:rPr>
          <w:rFonts w:ascii="Times New Roman" w:hAnsi="Times New Roman"/>
          <w:i/>
          <w:color w:val="231F2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231F20"/>
          <w:sz w:val="20"/>
        </w:rPr>
      </w:pPr>
      <w:r>
        <w:rPr>
          <w:rFonts w:ascii="Times New Roman" w:hAnsi="Times New Roman"/>
          <w:b/>
          <w:color w:val="231F20"/>
          <w:sz w:val="20"/>
        </w:rPr>
        <w:t>Mister Car Wash, Inc.</w:t>
      </w:r>
    </w:p>
    <w:p>
      <w:pPr>
        <w:pStyle w:val="TextBody"/>
        <w:bidi w:val="0"/>
        <w:jc w:val="center"/>
        <w:rPr>
          <w:rFonts w:ascii="Times New Roman" w:hAnsi="Times New Roman"/>
          <w:b/>
          <w:color w:val="231F20"/>
          <w:sz w:val="20"/>
        </w:rPr>
      </w:pPr>
      <w:bookmarkStart w:id="8" w:name="statements_of_equity"/>
      <w:bookmarkEnd w:id="8"/>
      <w:r>
        <w:rPr>
          <w:rFonts w:ascii="Times New Roman" w:hAnsi="Times New Roman"/>
          <w:b/>
          <w:color w:val="231F20"/>
          <w:sz w:val="20"/>
        </w:rPr>
        <w:t>Consolidated Statements of Stockholders’ Equity</w:t>
      </w:r>
    </w:p>
    <w:p>
      <w:pPr>
        <w:pStyle w:val="TextBody"/>
        <w:bidi w:val="0"/>
        <w:jc w:val="center"/>
        <w:rPr>
          <w:rFonts w:ascii="Times New Roman" w:hAnsi="Times New Roman"/>
          <w:b/>
          <w:color w:val="231F20"/>
          <w:sz w:val="20"/>
        </w:rPr>
      </w:pPr>
      <w:r>
        <w:rPr>
          <w:rFonts w:ascii="Times New Roman" w:hAnsi="Times New Roman"/>
          <w:b/>
          <w:color w:val="231F20"/>
          <w:sz w:val="20"/>
        </w:rPr>
        <w:t>(Amounts in thousands, except share and per share data)</w:t>
      </w:r>
    </w:p>
    <w:p>
      <w:pPr>
        <w:pStyle w:val="TextBody"/>
        <w:bidi w:val="0"/>
        <w:jc w:val="center"/>
        <w:rPr>
          <w:rFonts w:ascii="Times New Roman" w:hAnsi="Times New Roman"/>
          <w:b/>
          <w:color w:val="231F20"/>
          <w:sz w:val="20"/>
        </w:rPr>
      </w:pPr>
      <w:r>
        <w:rPr>
          <w:rFonts w:ascii="Times New Roman" w:hAnsi="Times New Roman"/>
          <w:b/>
          <w:color w:val="231F20"/>
          <w:sz w:val="20"/>
        </w:rPr>
        <w:t>(Unaudited)</w:t>
      </w:r>
    </w:p>
    <w:p>
      <w:pPr>
        <w:pStyle w:val="TextBody"/>
        <w:bidi w:val="0"/>
        <w:jc w:val="center"/>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Six Months Ended June 30, 2025</w:t>
      </w:r>
    </w:p>
    <w:tbl>
      <w:tblPr>
        <w:tblW w:w="10205" w:type="dxa"/>
        <w:jc w:val="left"/>
        <w:tblInd w:w="0" w:type="dxa"/>
        <w:tblLayout w:type="fixed"/>
        <w:tblCellMar>
          <w:top w:w="28" w:type="dxa"/>
          <w:left w:w="28" w:type="dxa"/>
          <w:bottom w:w="28" w:type="dxa"/>
          <w:right w:w="28" w:type="dxa"/>
        </w:tblCellMar>
      </w:tblPr>
      <w:tblGrid>
        <w:gridCol w:w="1571"/>
        <w:gridCol w:w="146"/>
        <w:gridCol w:w="1141"/>
        <w:gridCol w:w="146"/>
        <w:gridCol w:w="146"/>
        <w:gridCol w:w="211"/>
        <w:gridCol w:w="571"/>
        <w:gridCol w:w="146"/>
        <w:gridCol w:w="146"/>
        <w:gridCol w:w="229"/>
        <w:gridCol w:w="848"/>
        <w:gridCol w:w="166"/>
        <w:gridCol w:w="146"/>
        <w:gridCol w:w="490"/>
        <w:gridCol w:w="978"/>
        <w:gridCol w:w="146"/>
        <w:gridCol w:w="146"/>
        <w:gridCol w:w="219"/>
        <w:gridCol w:w="813"/>
        <w:gridCol w:w="146"/>
        <w:gridCol w:w="146"/>
        <w:gridCol w:w="223"/>
        <w:gridCol w:w="989"/>
        <w:gridCol w:w="296"/>
      </w:tblGrid>
      <w:tr>
        <w:trPr/>
        <w:tc>
          <w:tcPr>
            <w:tcW w:w="1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 Comprehensive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 Equity</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323,693,863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998,352</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6,843</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324,814,438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838,795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1,033,895</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5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6,477</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under employee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327,257,547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846,914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1,070,983</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5" w:after="283"/>
        <w:jc w:val="center"/>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Six Months Ended June 30, 2024</w:t>
      </w:r>
    </w:p>
    <w:tbl>
      <w:tblPr>
        <w:tblW w:w="10205" w:type="dxa"/>
        <w:jc w:val="left"/>
        <w:tblInd w:w="0" w:type="dxa"/>
        <w:tblLayout w:type="fixed"/>
        <w:tblCellMar>
          <w:top w:w="28" w:type="dxa"/>
          <w:left w:w="28" w:type="dxa"/>
          <w:bottom w:w="28" w:type="dxa"/>
          <w:right w:w="28" w:type="dxa"/>
        </w:tblCellMar>
      </w:tblPr>
      <w:tblGrid>
        <w:gridCol w:w="1548"/>
        <w:gridCol w:w="146"/>
        <w:gridCol w:w="1141"/>
        <w:gridCol w:w="166"/>
        <w:gridCol w:w="146"/>
        <w:gridCol w:w="211"/>
        <w:gridCol w:w="571"/>
        <w:gridCol w:w="166"/>
        <w:gridCol w:w="146"/>
        <w:gridCol w:w="227"/>
        <w:gridCol w:w="841"/>
        <w:gridCol w:w="166"/>
        <w:gridCol w:w="146"/>
        <w:gridCol w:w="548"/>
        <w:gridCol w:w="901"/>
        <w:gridCol w:w="146"/>
        <w:gridCol w:w="146"/>
        <w:gridCol w:w="218"/>
        <w:gridCol w:w="809"/>
        <w:gridCol w:w="146"/>
        <w:gridCol w:w="146"/>
        <w:gridCol w:w="257"/>
        <w:gridCol w:w="951"/>
        <w:gridCol w:w="316"/>
      </w:tblGrid>
      <w:tr>
        <w:trPr/>
        <w:tc>
          <w:tcPr>
            <w:tcW w:w="1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 Comprehensive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 Equity</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315,192,401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915,035</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6,246</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withholding on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(9,940</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5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317,835,082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928,724</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5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5,906</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under employee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withholding on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(9,395</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54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321,395,188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812,845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949,400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231F20"/>
          <w:sz w:val="20"/>
        </w:rPr>
      </w:pPr>
      <w:r>
        <w:rPr>
          <w:rFonts w:ascii="Times New Roman" w:hAnsi="Times New Roman"/>
          <w:i/>
          <w:color w:val="231F20"/>
          <w:sz w:val="20"/>
        </w:rPr>
        <w:t>See accompanying notes to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Mister Car Wash,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center"/>
        <w:rPr/>
      </w:pPr>
      <w:r>
        <w:rPr/>
        <w:t> </w:t>
      </w:r>
    </w:p>
    <w:p>
      <w:pPr>
        <w:pStyle w:val="TextBody"/>
        <w:bidi w:val="0"/>
        <w:spacing w:before="120" w:after="283"/>
        <w:jc w:val="left"/>
        <w:rPr>
          <w:rFonts w:ascii="Times New Roman" w:hAnsi="Times New Roman"/>
          <w:b/>
          <w:color w:val="231F20"/>
          <w:sz w:val="20"/>
        </w:rPr>
      </w:pPr>
      <w:bookmarkStart w:id="9" w:name="notes_to_the_financial_statements"/>
      <w:bookmarkEnd w:id="9"/>
      <w:r>
        <w:rPr>
          <w:rFonts w:ascii="Times New Roman" w:hAnsi="Times New Roman"/>
          <w:b/>
          <w:color w:val="231F20"/>
          <w:sz w:val="20"/>
        </w:rPr>
        <w:t>1. Nature of Business</w:t>
      </w:r>
    </w:p>
    <w:p>
      <w:pPr>
        <w:pStyle w:val="TextBody"/>
        <w:bidi w:val="0"/>
        <w:spacing w:before="120" w:after="120"/>
        <w:jc w:val="left"/>
        <w:rPr>
          <w:rFonts w:ascii="Times New Roman" w:hAnsi="Times New Roman"/>
          <w:sz w:val="20"/>
        </w:rPr>
      </w:pPr>
      <w:r>
        <w:rPr>
          <w:rFonts w:ascii="Times New Roman" w:hAnsi="Times New Roman"/>
          <w:color w:val="231F20"/>
          <w:sz w:val="20"/>
        </w:rPr>
        <w:t xml:space="preserve">Mister Car Wash, Inc., a Delaware corporation, together with its subsidiaries (collectively, </w:t>
      </w:r>
      <w:r>
        <w:rPr>
          <w:rFonts w:ascii="Times New Roman" w:hAnsi="Times New Roman"/>
          <w:color w:val="000000"/>
          <w:sz w:val="20"/>
        </w:rPr>
        <w:t xml:space="preserve">“we,” “us,” “our” or </w:t>
      </w:r>
      <w:r>
        <w:rPr>
          <w:rFonts w:ascii="Times New Roman" w:hAnsi="Times New Roman"/>
          <w:color w:val="231F20"/>
          <w:sz w:val="20"/>
        </w:rPr>
        <w:t xml:space="preserve">the </w:t>
      </w:r>
      <w:r>
        <w:rPr>
          <w:rFonts w:ascii="Times New Roman" w:hAnsi="Times New Roman"/>
          <w:color w:val="000000"/>
          <w:sz w:val="20"/>
        </w:rPr>
        <w:t>“</w:t>
      </w:r>
      <w:r>
        <w:rPr>
          <w:rFonts w:ascii="Times New Roman" w:hAnsi="Times New Roman"/>
          <w:color w:val="231F20"/>
          <w:sz w:val="20"/>
        </w:rPr>
        <w:t>Company</w:t>
      </w:r>
      <w:r>
        <w:rPr>
          <w:rFonts w:ascii="Times New Roman" w:hAnsi="Times New Roman"/>
          <w:color w:val="000000"/>
          <w:sz w:val="20"/>
        </w:rPr>
        <w:t>”</w:t>
      </w:r>
      <w:r>
        <w:rPr>
          <w:rFonts w:ascii="Times New Roman" w:hAnsi="Times New Roman"/>
          <w:color w:val="231F20"/>
          <w:sz w:val="20"/>
        </w:rPr>
        <w:t xml:space="preserve">), is based in Tucson, Arizona and is a provider of conveyorized car wash services. We primarily operate Express Exterior Locations, which offer express exterior cleaning services along with free vacuum services, and interior cleaning services at select locations. As of June 30, 2025, we operated 522 car washes in 21 states. </w:t>
      </w:r>
    </w:p>
    <w:p>
      <w:pPr>
        <w:pStyle w:val="TextBody"/>
        <w:bidi w:val="0"/>
        <w:jc w:val="left"/>
        <w:rPr/>
      </w:pPr>
      <w:r>
        <w:rPr/>
        <w:t> </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2. Summary of Significant Accounting Policies</w:t>
      </w:r>
    </w:p>
    <w:p>
      <w:pPr>
        <w:pStyle w:val="Heading2"/>
        <w:bidi w:val="0"/>
        <w:spacing w:before="120" w:after="283"/>
        <w:jc w:val="left"/>
        <w:rPr>
          <w:rFonts w:ascii="Times New Roman" w:hAnsi="Times New Roman"/>
          <w:b/>
          <w:i/>
          <w:color w:val="231F20"/>
          <w:sz w:val="20"/>
        </w:rPr>
      </w:pPr>
      <w:r>
        <w:rPr>
          <w:rFonts w:ascii="Times New Roman" w:hAnsi="Times New Roman"/>
          <w:b/>
          <w:i/>
          <w:color w:val="231F20"/>
          <w:sz w:val="20"/>
        </w:rPr>
        <w:t>Basis of Presentation</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accompanying unaudited consolidated financial statements as of June 30, 2025 and for the three and six months ended June 30, 2025 and 2024 have been prepared in accordance with accounting principles generally accepted in the United States of America (“U.S. GAAP”) and pursuant to the rules and regulations of the Securities and Exchange Commission (“SEC”) for interim financial statements. Certain information and note disclosures normally included in financial statements prepared in accordance with U.S. GAAP have been omitted pursuant to such rules and regulations. As such, the information included in this quarterly report on Form 10-Q should be read in conjunction with our audited consolidated financial statements and the notes thereto for the year ended December 31, 2024 included in the 2024 Form 10-K.</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The consolidated financial statements have been prepared on the same basis as the audited consolidated financial statements. In the opinion of management, the accompanying unaudited consolidated financial statements reflect all adjustments consisting of normal recurring adjustments necessary for a fair presentation of our financial position and results of operations. Such adjustments are of a normal and recurring nature. The consolidated results of operations and comprehensive income for the three and six months ended June 30, 2025 are not necessarily indicative of the consolidated results of operations and comprehensive income that may be expected for any other future interim or annual period.</w:t>
      </w:r>
    </w:p>
    <w:p>
      <w:pPr>
        <w:pStyle w:val="Heading2"/>
        <w:bidi w:val="0"/>
        <w:jc w:val="left"/>
        <w:rPr>
          <w:rFonts w:ascii="Times New Roman" w:hAnsi="Times New Roman"/>
          <w:b/>
          <w:i/>
          <w:color w:val="231F20"/>
          <w:sz w:val="20"/>
        </w:rPr>
      </w:pPr>
      <w:r>
        <w:rPr>
          <w:rFonts w:ascii="Times New Roman" w:hAnsi="Times New Roman"/>
          <w:b/>
          <w:i/>
          <w:color w:val="231F20"/>
          <w:sz w:val="20"/>
        </w:rPr>
        <w:t>Use of Estimates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preparation of the unaudited consolidated financial statements in conformity with U.S. GAAP requires management to make estimates and assumptions that affect the reported amounts of assets and liabilities and the disclosure of contingent assets and liabilities at the date of the financial statements. Estimates also affect the reported amounts of revenue and expenses during the periods reported. Some of the significant estimates that we have made pertain to the determination of deferred tax assets and liabilities and certain assumptions used related to the evaluation of goodwill, intangibles, and property and equipment asset impairment. Actual results could differ from those estimates.</w:t>
      </w:r>
    </w:p>
    <w:p>
      <w:pPr>
        <w:pStyle w:val="Heading2"/>
        <w:bidi w:val="0"/>
        <w:jc w:val="left"/>
        <w:rPr>
          <w:rFonts w:ascii="Times New Roman" w:hAnsi="Times New Roman"/>
          <w:b/>
          <w:i/>
          <w:color w:val="231F20"/>
          <w:sz w:val="20"/>
        </w:rPr>
      </w:pPr>
      <w:r>
        <w:rPr>
          <w:rFonts w:ascii="Times New Roman" w:hAnsi="Times New Roman"/>
          <w:b/>
          <w:i/>
          <w:color w:val="231F20"/>
          <w:sz w:val="20"/>
        </w:rPr>
        <w:t>Accounts Receivable, Net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Accounts receivable are presented net of an allowance for doubtful accounts of $169 and $123 as of June 30, 2025 and December 31, 2024, respectively. The activity in the allowance for doubtful accounts was immaterial for the three and six months ended June 30, 2025 and 2024.</w:t>
      </w:r>
    </w:p>
    <w:p>
      <w:pPr>
        <w:pStyle w:val="Heading2"/>
        <w:bidi w:val="0"/>
        <w:jc w:val="left"/>
        <w:rPr>
          <w:rFonts w:ascii="Times New Roman" w:hAnsi="Times New Roman"/>
          <w:sz w:val="20"/>
        </w:rPr>
      </w:pPr>
      <w:r>
        <w:rPr>
          <w:rFonts w:ascii="Times New Roman" w:hAnsi="Times New Roman"/>
          <w:b/>
          <w:i/>
          <w:color w:val="231F20"/>
          <w:sz w:val="20"/>
        </w:rPr>
        <w:t>Other Receivables</w:t>
      </w:r>
      <w:r>
        <w:rPr>
          <w:rFonts w:ascii="Times New Roman" w:hAnsi="Times New Roman"/>
          <w:color w:val="231F20"/>
          <w:sz w:val="20"/>
        </w:rPr>
        <w:t xml:space="preserve"> </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Other receivables consisted of the following for the periods presented: </w:t>
      </w:r>
    </w:p>
    <w:tbl>
      <w:tblPr>
        <w:tblW w:w="8185" w:type="dxa"/>
        <w:jc w:val="left"/>
        <w:tblInd w:w="0" w:type="dxa"/>
        <w:tblLayout w:type="fixed"/>
        <w:tblCellMar>
          <w:top w:w="28" w:type="dxa"/>
          <w:left w:w="28" w:type="dxa"/>
          <w:bottom w:w="28" w:type="dxa"/>
          <w:right w:w="28" w:type="dxa"/>
        </w:tblCellMar>
      </w:tblPr>
      <w:tblGrid>
        <w:gridCol w:w="4756"/>
        <w:gridCol w:w="146"/>
        <w:gridCol w:w="274"/>
        <w:gridCol w:w="881"/>
        <w:gridCol w:w="146"/>
        <w:gridCol w:w="146"/>
        <w:gridCol w:w="367"/>
        <w:gridCol w:w="1178"/>
        <w:gridCol w:w="29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tax withholding and exercise proceeds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Heading2"/>
        <w:bidi w:val="0"/>
        <w:spacing w:before="120" w:after="283"/>
        <w:jc w:val="left"/>
        <w:rPr>
          <w:rFonts w:ascii="Times New Roman" w:hAnsi="Times New Roman"/>
          <w:b/>
          <w:i/>
          <w:color w:val="231F20"/>
          <w:sz w:val="20"/>
        </w:rPr>
      </w:pPr>
      <w:r>
        <w:rPr>
          <w:rFonts w:ascii="Times New Roman" w:hAnsi="Times New Roman"/>
          <w:b/>
          <w:i/>
          <w:color w:val="231F20"/>
          <w:sz w:val="20"/>
        </w:rPr>
        <w:t>Prepaid Expenses and Other Current Assets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Prepaid expenses and other current assets consisted of the following for the periods presented:</w:t>
      </w:r>
    </w:p>
    <w:tbl>
      <w:tblPr>
        <w:tblW w:w="7460" w:type="dxa"/>
        <w:jc w:val="left"/>
        <w:tblInd w:w="0" w:type="dxa"/>
        <w:tblLayout w:type="fixed"/>
        <w:tblCellMar>
          <w:top w:w="28" w:type="dxa"/>
          <w:left w:w="28" w:type="dxa"/>
          <w:bottom w:w="28" w:type="dxa"/>
          <w:right w:w="28" w:type="dxa"/>
        </w:tblCellMar>
      </w:tblPr>
      <w:tblGrid>
        <w:gridCol w:w="4031"/>
        <w:gridCol w:w="146"/>
        <w:gridCol w:w="274"/>
        <w:gridCol w:w="881"/>
        <w:gridCol w:w="146"/>
        <w:gridCol w:w="146"/>
        <w:gridCol w:w="367"/>
        <w:gridCol w:w="1178"/>
        <w:gridCol w:w="29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Spare parts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120" w:after="283"/>
        <w:jc w:val="left"/>
        <w:rPr>
          <w:rFonts w:ascii="Times New Roman" w:hAnsi="Times New Roman"/>
          <w:b/>
          <w:i/>
          <w:color w:val="231F20"/>
          <w:sz w:val="20"/>
        </w:rPr>
      </w:pPr>
      <w:r>
        <w:rPr>
          <w:rFonts w:ascii="Times New Roman" w:hAnsi="Times New Roman"/>
          <w:b/>
          <w:i/>
          <w:color w:val="231F20"/>
          <w:sz w:val="20"/>
        </w:rPr>
        <w:t>Inventory, Net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Inventory consisted of the following for the periods presented:</w:t>
      </w:r>
    </w:p>
    <w:tbl>
      <w:tblPr>
        <w:tblW w:w="6085" w:type="dxa"/>
        <w:jc w:val="left"/>
        <w:tblInd w:w="0" w:type="dxa"/>
        <w:tblLayout w:type="fixed"/>
        <w:tblCellMar>
          <w:top w:w="28" w:type="dxa"/>
          <w:left w:w="28" w:type="dxa"/>
          <w:bottom w:w="28" w:type="dxa"/>
          <w:right w:w="28" w:type="dxa"/>
        </w:tblCellMar>
      </w:tblPr>
      <w:tblGrid>
        <w:gridCol w:w="2516"/>
        <w:gridCol w:w="146"/>
        <w:gridCol w:w="311"/>
        <w:gridCol w:w="844"/>
        <w:gridCol w:w="166"/>
        <w:gridCol w:w="146"/>
        <w:gridCol w:w="417"/>
        <w:gridCol w:w="1128"/>
        <w:gridCol w:w="411"/>
      </w:tblGrid>
      <w:tr>
        <w:trPr/>
        <w:tc>
          <w:tcPr>
            <w:tcW w:w="2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Chemical washing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for obsolescence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activity in the reserve for obsolescence was immaterial for the three and six months ended June 30, 2025 and 2024.</w:t>
      </w:r>
    </w:p>
    <w:p>
      <w:pPr>
        <w:pStyle w:val="Heading2"/>
        <w:bidi w:val="0"/>
        <w:jc w:val="left"/>
        <w:rPr>
          <w:rFonts w:ascii="Times New Roman" w:hAnsi="Times New Roman"/>
          <w:b/>
          <w:i/>
          <w:color w:val="231F20"/>
          <w:sz w:val="20"/>
        </w:rPr>
      </w:pPr>
      <w:r>
        <w:rPr>
          <w:rFonts w:ascii="Times New Roman" w:hAnsi="Times New Roman"/>
          <w:b/>
          <w:i/>
          <w:color w:val="231F20"/>
          <w:sz w:val="20"/>
        </w:rPr>
        <w:t>Derivative Financial Instruments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Company has a pay fixed, receive variable interest rate swap contract (“Swap”) to manage its exposure to changes in interest rates. The Swap is recognized in the consolidated balance sheets at fair value. The Swap is a cash flow hedge and is recorded using hedge accounting, as such, changes in the fair value of the Swap are recorded in Other comprehensive income (loss), net of tax until the hedged item is recognized in earnings. Amounts reported in Other comprehensive income, net of tax related to the Swap are reclassified to interest expense as interest payments are made on the Company’s variable-rate debt. The swap is scheduled to terminate June 30, 2027.</w:t>
      </w:r>
    </w:p>
    <w:p>
      <w:pPr>
        <w:pStyle w:val="TextBody"/>
        <w:bidi w:val="0"/>
        <w:jc w:val="left"/>
        <w:rPr>
          <w:rFonts w:ascii="Times New Roman" w:hAnsi="Times New Roman"/>
          <w:color w:val="231F20"/>
          <w:sz w:val="20"/>
        </w:rPr>
      </w:pPr>
      <w:r>
        <w:rPr>
          <w:rFonts w:ascii="Times New Roman" w:hAnsi="Times New Roman"/>
          <w:color w:val="231F20"/>
          <w:sz w:val="20"/>
        </w:rPr>
        <w:t>The Company assesses, both at the inception of the hedge and on an ongoing basis, whether the derivative used as a hedging instrument is highly effective in offsetting the changes in the cash flow of the hedged item. If it is determined that the derivative is not highly effective as a hedge or ceases to be highly effective, the Company will discontinue hedge accounting prospectively. See Note 8- Fair Value Measurements and Note 9-Interest Rate Swap for additional information.</w:t>
      </w:r>
    </w:p>
    <w:p>
      <w:pPr>
        <w:pStyle w:val="Heading2"/>
        <w:bidi w:val="0"/>
        <w:spacing w:before="120" w:after="283"/>
        <w:jc w:val="left"/>
        <w:rPr>
          <w:rFonts w:ascii="Times New Roman" w:hAnsi="Times New Roman"/>
          <w:b/>
          <w:i/>
          <w:color w:val="231F20"/>
          <w:sz w:val="20"/>
        </w:rPr>
      </w:pPr>
      <w:r>
        <w:rPr>
          <w:rFonts w:ascii="Times New Roman" w:hAnsi="Times New Roman"/>
          <w:b/>
          <w:i/>
          <w:color w:val="231F20"/>
          <w:sz w:val="20"/>
        </w:rPr>
        <w:t>Revenue Recognition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composition of our net revenues for the periods presented:</w:t>
      </w:r>
    </w:p>
    <w:tbl>
      <w:tblPr>
        <w:tblW w:w="7968" w:type="dxa"/>
        <w:jc w:val="left"/>
        <w:tblInd w:w="0" w:type="dxa"/>
        <w:tblLayout w:type="fixed"/>
        <w:tblCellMar>
          <w:top w:w="28" w:type="dxa"/>
          <w:left w:w="28" w:type="dxa"/>
          <w:bottom w:w="28" w:type="dxa"/>
          <w:right w:w="28" w:type="dxa"/>
        </w:tblCellMar>
      </w:tblPr>
      <w:tblGrid>
        <w:gridCol w:w="2521"/>
        <w:gridCol w:w="146"/>
        <w:gridCol w:w="226"/>
        <w:gridCol w:w="839"/>
        <w:gridCol w:w="156"/>
        <w:gridCol w:w="156"/>
        <w:gridCol w:w="226"/>
        <w:gridCol w:w="839"/>
        <w:gridCol w:w="146"/>
        <w:gridCol w:w="146"/>
        <w:gridCol w:w="211"/>
        <w:gridCol w:w="781"/>
        <w:gridCol w:w="146"/>
        <w:gridCol w:w="146"/>
        <w:gridCol w:w="211"/>
        <w:gridCol w:w="781"/>
        <w:gridCol w:w="2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over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200,191</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184,082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392,039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360,341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at a point in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64,917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70,861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134,601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133,707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307</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431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178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265,415</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494,226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Heading2"/>
        <w:bidi w:val="0"/>
        <w:spacing w:before="120" w:after="283"/>
        <w:jc w:val="left"/>
        <w:rPr>
          <w:rFonts w:ascii="Times New Roman" w:hAnsi="Times New Roman"/>
          <w:b/>
          <w:i/>
          <w:color w:val="231F20"/>
          <w:sz w:val="20"/>
        </w:rPr>
      </w:pPr>
      <w:r>
        <w:rPr>
          <w:rFonts w:ascii="Times New Roman" w:hAnsi="Times New Roman"/>
          <w:b/>
          <w:i/>
          <w:color w:val="231F20"/>
          <w:sz w:val="20"/>
        </w:rPr>
        <w:t>Earnings Per Share</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Reconciliations of the numerators and denominators of the basic and diluted earnings per share calculations for the periods presented are as follows:</w:t>
      </w:r>
    </w:p>
    <w:tbl>
      <w:tblPr>
        <w:tblW w:w="10205" w:type="dxa"/>
        <w:jc w:val="left"/>
        <w:tblInd w:w="0" w:type="dxa"/>
        <w:tblLayout w:type="fixed"/>
        <w:tblCellMar>
          <w:top w:w="28" w:type="dxa"/>
          <w:left w:w="28" w:type="dxa"/>
          <w:bottom w:w="28" w:type="dxa"/>
          <w:right w:w="28" w:type="dxa"/>
        </w:tblCellMar>
      </w:tblPr>
      <w:tblGrid>
        <w:gridCol w:w="3284"/>
        <w:gridCol w:w="146"/>
        <w:gridCol w:w="211"/>
        <w:gridCol w:w="1141"/>
        <w:gridCol w:w="146"/>
        <w:gridCol w:w="146"/>
        <w:gridCol w:w="211"/>
        <w:gridCol w:w="1141"/>
        <w:gridCol w:w="146"/>
        <w:gridCol w:w="146"/>
        <w:gridCol w:w="211"/>
        <w:gridCol w:w="1141"/>
        <w:gridCol w:w="146"/>
        <w:gridCol w:w="146"/>
        <w:gridCol w:w="211"/>
        <w:gridCol w:w="1141"/>
        <w:gridCol w:w="491"/>
      </w:tblGrid>
      <w:tr>
        <w:trPr/>
        <w:tc>
          <w:tcPr>
            <w:tcW w:w="3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common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325,561,496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319,415,156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324,884,649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317,626,972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potentially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8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7,509,205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10,097,192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1,428,419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8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Stock purchase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331,824,299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328,325,135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331,655,434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329,168,640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potentially dilutive shares were excluded from the computation of diluted earnings per share for the periods presented because including them would have been antidilutive:</w:t>
      </w:r>
    </w:p>
    <w:tbl>
      <w:tblPr>
        <w:tblW w:w="7397" w:type="dxa"/>
        <w:jc w:val="left"/>
        <w:tblInd w:w="0" w:type="dxa"/>
        <w:tblLayout w:type="fixed"/>
        <w:tblCellMar>
          <w:top w:w="28" w:type="dxa"/>
          <w:left w:w="28" w:type="dxa"/>
          <w:bottom w:w="28" w:type="dxa"/>
          <w:right w:w="28" w:type="dxa"/>
        </w:tblCellMar>
      </w:tblPr>
      <w:tblGrid>
        <w:gridCol w:w="1876"/>
        <w:gridCol w:w="146"/>
        <w:gridCol w:w="146"/>
        <w:gridCol w:w="931"/>
        <w:gridCol w:w="146"/>
        <w:gridCol w:w="146"/>
        <w:gridCol w:w="146"/>
        <w:gridCol w:w="931"/>
        <w:gridCol w:w="146"/>
        <w:gridCol w:w="146"/>
        <w:gridCol w:w="146"/>
        <w:gridCol w:w="931"/>
        <w:gridCol w:w="146"/>
        <w:gridCol w:w="146"/>
        <w:gridCol w:w="146"/>
        <w:gridCol w:w="931"/>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4,894,707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3,909,744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purchase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120" w:after="283"/>
        <w:jc w:val="left"/>
        <w:rPr>
          <w:rFonts w:ascii="Times New Roman" w:hAnsi="Times New Roman"/>
          <w:b/>
          <w:i/>
          <w:color w:val="000000"/>
          <w:sz w:val="20"/>
        </w:rPr>
      </w:pPr>
      <w:r>
        <w:rPr>
          <w:rFonts w:ascii="Times New Roman" w:hAnsi="Times New Roman"/>
          <w:b/>
          <w:i/>
          <w:color w:val="000000"/>
          <w:sz w:val="20"/>
        </w:rPr>
        <w:t>Employee Retention Credit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response to the COVID-19 pandemic, the Employee Retention Credit (“ERC”), was established under the Coronavirus Aid, Relief, and Economic Security Act. The ERC is a refundable tax credit against certain employment taxes equal to 50% of the qualified wages an eligible employer paid to employees from March 13, 2020 to December 31, 2020. Companies who meet the eligibility requirements can claim the ERC on an original or adjusted employment tax return for a period within those dates.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March 2024, we determined that we qualified for and recognized $4,663 (net of tax advisory costs) in relief for the period from March 13, 2020 to December 31, 2020. Upon receipt of the credit, we will owe an immaterial amount for tax advisory costs associated with the assessment of the tax credit. As there is no authoritative guidance under U.S. GAAP for government assistance to for-profit business entities, the Company accounted for the ERC by analogy to International Accounting Standards 20, or IAS 20, </w:t>
      </w:r>
      <w:r>
        <w:rPr>
          <w:rFonts w:ascii="Times New Roman" w:hAnsi="Times New Roman"/>
          <w:i/>
          <w:color w:val="000000"/>
          <w:sz w:val="20"/>
        </w:rPr>
        <w:t>Accounting for Government Grants and Disclosure of Government Assistance</w:t>
      </w:r>
      <w:r>
        <w:rPr>
          <w:rFonts w:ascii="Times New Roman" w:hAnsi="Times New Roman"/>
          <w:color w:val="000000"/>
          <w:sz w:val="20"/>
        </w:rPr>
        <w:t>. In accordance with IAS 20, management determined it has reasonable assurance of receipt of the identified ERC amount and recorded the credit in Other income on our consolidated statements of operations</w:t>
      </w:r>
      <w:r>
        <w:rPr>
          <w:rFonts w:ascii="Times New Roman" w:hAnsi="Times New Roman"/>
          <w:color w:val="231F20"/>
          <w:sz w:val="20"/>
        </w:rPr>
        <w:t xml:space="preserve"> and comprehensive income</w:t>
      </w:r>
      <w:r>
        <w:rPr>
          <w:rFonts w:ascii="Times New Roman" w:hAnsi="Times New Roman"/>
          <w:color w:val="000000"/>
          <w:sz w:val="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June 30, 2025 and December 31, 2024, the tax credit receivable was $4,663. This amount is included in Other assets on our consolidated balance sheet.</w:t>
      </w:r>
    </w:p>
    <w:p>
      <w:pPr>
        <w:pStyle w:val="Heading2"/>
        <w:bidi w:val="0"/>
        <w:jc w:val="left"/>
        <w:rPr>
          <w:rFonts w:ascii="Times New Roman" w:hAnsi="Times New Roman"/>
          <w:b/>
          <w:i/>
          <w:color w:val="231F20"/>
          <w:sz w:val="20"/>
        </w:rPr>
      </w:pPr>
      <w:r>
        <w:rPr>
          <w:rFonts w:ascii="Times New Roman" w:hAnsi="Times New Roman"/>
          <w:b/>
          <w:i/>
          <w:color w:val="231F20"/>
          <w:sz w:val="20"/>
        </w:rPr>
        <w:t>Recent Accounting Pronouncements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The adoption of this ASU will be reflected in the Company's annual financial statements for the year ending December 31, 2025, and is not expected to have a material impact on our consolidated financial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November 2024, the FASB issued ASU No. 2024-03, Income Statement - Reporting Comprehensive Income - Expense Disaggregation Disclosures (Subtopic 220-40): Disaggregation of Income Statement Expenses, which requires a PBE to disclose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additional information about specific expense categories in the notes to financial statements at interim and annual periods. This information is generally not presented in the financial statements. The ASU requires that at each interim and annual period a PBE: (1) disclose the amounts of (a) purchases of inventory, (b) employee compensation, (c) depreciation, (d) intangible asset amortization, and (e) depreciation, depletion, and amortization; (2) include certain amounts that are already required to be disclosed under current U.S. GAAP in the same disclosure as the other disaggregation requirements; (3) disclose a qualitative description of the amounts remaining in relevant expense captions that are not separately disaggregated quantitatively, and (4) disclose the total amount of selling expenses and, in annual reporting periods, an entity's definition of selling expenses. The ASU is effective for annual periods beginning after December 15, 2026, and interim periods beginning after December 15, 2027, with early adoption permitted. The guidance should be applied either prospectively to financial statements issued for periods after the effective date of this ASU or retrospectively to any or all prior periods presented in the financial statements. We are still assessing the impact of this ASU.</w:t>
      </w:r>
    </w:p>
    <w:p>
      <w:pPr>
        <w:pStyle w:val="TextBody"/>
        <w:bidi w:val="0"/>
        <w:jc w:val="left"/>
        <w:rPr/>
      </w:pPr>
      <w:r>
        <w:rPr/>
        <w:t> </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3. Property and Equipment, Net</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Property and equipment, net consisted of the following </w:t>
      </w:r>
      <w:r>
        <w:rPr>
          <w:rFonts w:ascii="Times New Roman" w:hAnsi="Times New Roman"/>
          <w:color w:val="231F20"/>
          <w:sz w:val="20"/>
        </w:rPr>
        <w:t>for the periods presented</w:t>
      </w:r>
      <w:r>
        <w:rPr>
          <w:rFonts w:ascii="Times New Roman" w:hAnsi="Times New Roman"/>
          <w:color w:val="000000"/>
          <w:sz w:val="20"/>
        </w:rPr>
        <w:t>:</w:t>
      </w:r>
    </w:p>
    <w:tbl>
      <w:tblPr>
        <w:tblW w:w="7125" w:type="dxa"/>
        <w:jc w:val="left"/>
        <w:tblInd w:w="0" w:type="dxa"/>
        <w:tblLayout w:type="fixed"/>
        <w:tblCellMar>
          <w:top w:w="28" w:type="dxa"/>
          <w:left w:w="28" w:type="dxa"/>
          <w:bottom w:w="28" w:type="dxa"/>
          <w:right w:w="28" w:type="dxa"/>
        </w:tblCellMar>
      </w:tblPr>
      <w:tblGrid>
        <w:gridCol w:w="3556"/>
        <w:gridCol w:w="146"/>
        <w:gridCol w:w="213"/>
        <w:gridCol w:w="942"/>
        <w:gridCol w:w="166"/>
        <w:gridCol w:w="146"/>
        <w:gridCol w:w="285"/>
        <w:gridCol w:w="1260"/>
        <w:gridCol w:w="4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Vehicles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Furniture, fixtures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1,141,487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(322,676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amortization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880,527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color w:val="000000"/>
          <w:sz w:val="20"/>
        </w:rPr>
        <w:t>For the three months ended June 30, 2025 and 2024, depreciation expense was $21,032</w:t>
      </w:r>
      <w:r>
        <w:rPr>
          <w:rFonts w:ascii="Times New Roman" w:hAnsi="Times New Roman"/>
          <w:color w:val="231F20"/>
          <w:sz w:val="20"/>
        </w:rPr>
        <w:t xml:space="preserve"> and $18,372</w:t>
      </w:r>
      <w:r>
        <w:rPr>
          <w:rFonts w:ascii="Times New Roman" w:hAnsi="Times New Roman"/>
          <w:color w:val="000000"/>
          <w:sz w:val="20"/>
        </w:rPr>
        <w:t>, respectively. For the six months ended June 30, 2025 and 2024, depreciation expense was $41,239 and $36,072, respectively.</w:t>
      </w:r>
    </w:p>
    <w:p>
      <w:pPr>
        <w:pStyle w:val="TextBody"/>
        <w:bidi w:val="0"/>
        <w:spacing w:before="0" w:after="120"/>
        <w:jc w:val="left"/>
        <w:rPr>
          <w:rFonts w:ascii="Times New Roman" w:hAnsi="Times New Roman"/>
          <w:sz w:val="20"/>
        </w:rPr>
      </w:pPr>
      <w:r>
        <w:rPr>
          <w:rFonts w:ascii="Times New Roman" w:hAnsi="Times New Roman"/>
          <w:color w:val="000000"/>
          <w:sz w:val="20"/>
        </w:rPr>
        <w:t>For the three months ended June 30, 2025 and 2024, amortization expense on finance leases was $242</w:t>
      </w:r>
      <w:r>
        <w:rPr>
          <w:rFonts w:ascii="Times New Roman" w:hAnsi="Times New Roman"/>
          <w:color w:val="231F20"/>
          <w:sz w:val="20"/>
        </w:rPr>
        <w:t xml:space="preserve"> and $251</w:t>
      </w:r>
      <w:r>
        <w:rPr>
          <w:rFonts w:ascii="Times New Roman" w:hAnsi="Times New Roman"/>
          <w:color w:val="000000"/>
          <w:sz w:val="20"/>
        </w:rPr>
        <w:t>, respectively. For the six months ended June 30, 2025 and 2024, amortization expense on finance leases was $486 and $502, respectively.</w:t>
      </w:r>
    </w:p>
    <w:p>
      <w:pPr>
        <w:pStyle w:val="TextBody"/>
        <w:bidi w:val="0"/>
        <w:spacing w:before="0" w:after="120"/>
        <w:jc w:val="left"/>
        <w:rPr>
          <w:rFonts w:ascii="Times New Roman" w:hAnsi="Times New Roman"/>
          <w:sz w:val="20"/>
        </w:rPr>
      </w:pPr>
      <w:r>
        <w:rPr>
          <w:rFonts w:ascii="Times New Roman" w:hAnsi="Times New Roman"/>
          <w:color w:val="000000"/>
          <w:sz w:val="20"/>
        </w:rPr>
        <w:t>During the second quarter of 2025, the Company sold a car wash location that was classified as held for sale. Based on the net proceeds of the sale, a gain of $338 was recorded during the second quarter of 2025. The gain was recorded in loss on sale of assets, net on the consolidated statements of operations</w:t>
      </w:r>
      <w:r>
        <w:rPr>
          <w:rFonts w:ascii="Times New Roman" w:hAnsi="Times New Roman"/>
          <w:color w:val="231F20"/>
          <w:sz w:val="20"/>
        </w:rPr>
        <w:t xml:space="preserve"> and comprehensive income</w:t>
      </w:r>
      <w:r>
        <w:rPr>
          <w:rFonts w:ascii="Times New Roman" w:hAnsi="Times New Roman"/>
          <w:color w:val="000000"/>
          <w:sz w:val="2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June 30, 2025, the two car wash locations classified as held for sale have a net book value of $3,294. The assets of these locations are recorded in property and equipment, net on the consolidated balance sheets.</w:t>
      </w:r>
    </w:p>
    <w:p>
      <w:pPr>
        <w:pStyle w:val="TextBody"/>
        <w:bidi w:val="0"/>
        <w:spacing w:before="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4. Other Intangible Assets, Net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Other intangibles assets, net consisted of the following as of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11"/>
        <w:gridCol w:w="354"/>
        <w:gridCol w:w="1314"/>
        <w:gridCol w:w="146"/>
        <w:gridCol w:w="146"/>
        <w:gridCol w:w="437"/>
        <w:gridCol w:w="1407"/>
        <w:gridCol w:w="146"/>
        <w:gridCol w:w="146"/>
        <w:gridCol w:w="354"/>
        <w:gridCol w:w="1314"/>
        <w:gridCol w:w="146"/>
        <w:gridCol w:w="146"/>
        <w:gridCol w:w="437"/>
        <w:gridCol w:w="1407"/>
        <w:gridCol w:w="294"/>
      </w:tblGrid>
      <w:tr>
        <w:trPr/>
        <w:tc>
          <w:tcPr>
            <w:tcW w:w="201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Amortization</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 and trademarks</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7,019</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Covenants not to compete</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10,404</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intangible assets, net</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17,423</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For the three months ended June 30, 2025 and 2024, amortization expense associated with our finite-lived intangible assets was $464 and $1,638, respectively. For the six months ended June 30, 2025 and 2024, amortization expense associated with our finite-lived intangible assets was $930 and $3,282,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As of June 30, 2025, estimated future amortization expense was as follows:</w:t>
      </w:r>
    </w:p>
    <w:tbl>
      <w:tblPr>
        <w:tblW w:w="5009" w:type="dxa"/>
        <w:jc w:val="left"/>
        <w:tblInd w:w="0" w:type="dxa"/>
        <w:tblLayout w:type="fixed"/>
        <w:tblCellMar>
          <w:top w:w="28" w:type="dxa"/>
          <w:left w:w="28" w:type="dxa"/>
          <w:bottom w:w="28" w:type="dxa"/>
          <w:right w:w="28" w:type="dxa"/>
        </w:tblCellMar>
      </w:tblPr>
      <w:tblGrid>
        <w:gridCol w:w="2985"/>
        <w:gridCol w:w="805"/>
        <w:gridCol w:w="146"/>
        <w:gridCol w:w="211"/>
        <w:gridCol w:w="571"/>
        <w:gridCol w:w="291"/>
      </w:tblGrid>
      <w:tr>
        <w:trPr/>
        <w:tc>
          <w:tcPr>
            <w:tcW w:w="298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9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Fiscal Year Ending: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9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estimated future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5. Other Accrued Expenses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Other accrued expenses consisted of the following for the periods presented:</w:t>
      </w:r>
    </w:p>
    <w:tbl>
      <w:tblPr>
        <w:tblW w:w="6220" w:type="dxa"/>
        <w:jc w:val="left"/>
        <w:tblInd w:w="0" w:type="dxa"/>
        <w:tblLayout w:type="fixed"/>
        <w:tblCellMar>
          <w:top w:w="28" w:type="dxa"/>
          <w:left w:w="28" w:type="dxa"/>
          <w:bottom w:w="28" w:type="dxa"/>
          <w:right w:w="28" w:type="dxa"/>
        </w:tblCellMar>
      </w:tblPr>
      <w:tblGrid>
        <w:gridCol w:w="2791"/>
        <w:gridCol w:w="146"/>
        <w:gridCol w:w="274"/>
        <w:gridCol w:w="881"/>
        <w:gridCol w:w="146"/>
        <w:gridCol w:w="146"/>
        <w:gridCol w:w="367"/>
        <w:gridCol w:w="1178"/>
        <w:gridCol w:w="2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Greenfield development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tax expense is comprised of federal, state, and local taxes payable for property, income, sales, use, and personal property.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Greenfield development accruals represent an obligation to pay for invoices not yet received, primarily related to land and buildings and improvements, on properties which we have taken control of as of June 30, 2025 and December 31, 2024.</w:t>
      </w:r>
    </w:p>
    <w:p>
      <w:pPr>
        <w:pStyle w:val="TextBody"/>
        <w:bidi w:val="0"/>
        <w:spacing w:before="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6. Income Taxes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effective income tax rates on continuing operations for the six months ended June 30, 2025 and 2024 were 26.8% and 36.1%, respectively. In general, the effective tax rates differed from the U.S. federal statutory income tax rate primarily due to state income taxes, non-deductible expenses such as those related to certain executive compensation, and discrete tax expenses related to stock option exercises during the period.</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The year-to-date provision for income taxes for the six months ended June 30, 2025 included taxes on earnings at an anticipated annual effective tax rate of 25.3% and a net, unfavorable tax impact of $1,095 related primarily to discrete tax expense originating from stock options exercised during the six months ended June 30, 2025.</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The year-to-date provision for income taxes for the six months ended June 30, 2024 included taxes on earnings at an anticipated annual effective tax rate of 25.5% and a net, unfavorable tax impact of $6,399 related primarily to discrete tax expense originating from stock options exercised during the six months ended June 30, 2024.</w:t>
      </w:r>
    </w:p>
    <w:p>
      <w:pPr>
        <w:pStyle w:val="TextBody"/>
        <w:bidi w:val="0"/>
        <w:jc w:val="left"/>
        <w:rPr>
          <w:rFonts w:ascii="Times New Roman" w:hAnsi="Times New Roman"/>
          <w:color w:val="231F20"/>
          <w:sz w:val="20"/>
        </w:rPr>
      </w:pPr>
      <w:r>
        <w:rPr>
          <w:rFonts w:ascii="Times New Roman" w:hAnsi="Times New Roman"/>
          <w:color w:val="231F20"/>
          <w:sz w:val="20"/>
        </w:rPr>
        <w:t>On July 4, 2025, the "One Big Beautiful Bill Act” (the "OBBBA") was signed into law. The OBBBA includes a broad range of tax reform provisions, such as the permanent extension of certain expiring provisions of the 2017 Tax Cuts and Jobs Act (“TCJA”), and the restoration of favorable tax treatment for certain business provisions. The legislation has multiple effective dates, with certain provisions effective for the 2025 tax year and others being implemented through 2027. We are currently evaluating the impact of the OBBBA, including the extension of TCJA provisions, on our consolidated financial statements.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For the six months ended June 30, 2025 and 2024, we recorded $44 and $219 related to unrecognized tax benefits or interest and penalties related to any uncertain tax positions.</w:t>
      </w:r>
    </w:p>
    <w:p>
      <w:pPr>
        <w:pStyle w:val="TextBody"/>
        <w:bidi w:val="0"/>
        <w:spacing w:before="0" w:after="12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7. Debt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Long-term debt consisted of the following as of the periods presented:</w:t>
      </w:r>
    </w:p>
    <w:tbl>
      <w:tblPr>
        <w:tblW w:w="10205" w:type="dxa"/>
        <w:jc w:val="left"/>
        <w:tblInd w:w="0" w:type="dxa"/>
        <w:tblLayout w:type="fixed"/>
        <w:tblCellMar>
          <w:top w:w="28" w:type="dxa"/>
          <w:left w:w="28" w:type="dxa"/>
          <w:bottom w:w="28" w:type="dxa"/>
          <w:right w:w="28" w:type="dxa"/>
        </w:tblCellMar>
      </w:tblPr>
      <w:tblGrid>
        <w:gridCol w:w="2782"/>
        <w:gridCol w:w="146"/>
        <w:gridCol w:w="1133"/>
        <w:gridCol w:w="146"/>
        <w:gridCol w:w="1237"/>
        <w:gridCol w:w="146"/>
        <w:gridCol w:w="1357"/>
        <w:gridCol w:w="146"/>
        <w:gridCol w:w="230"/>
        <w:gridCol w:w="853"/>
        <w:gridCol w:w="166"/>
        <w:gridCol w:w="146"/>
        <w:gridCol w:w="276"/>
        <w:gridCol w:w="1026"/>
        <w:gridCol w:w="415"/>
      </w:tblGrid>
      <w:tr>
        <w:trPr/>
        <w:tc>
          <w:tcPr>
            <w:tcW w:w="2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7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Stated 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Effective 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7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lien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920,381</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Unamortized discount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maturities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long-term portion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909,094</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As of June 30, 2025, there are no payments required until the maturity date.</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June 30, 2025 and December 31, 2024, unamortized discount and debt issuance costs were $5,729 and $6,304, respectively, and accumulated amortization of debt issuance costs was $4,591 and $4,018, respectively.</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For the three months ended June 30, 2025 and 2024, the amortization of debt issuance costs in interest expense, net in the consolidated statements of operations and comprehensive income was approximately $288 and $303, respectively.</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For the six months ended June 30, 2025 and 2024, the amortization of debt issuance costs in interest expense, net in the consolidated statements of operations and comprehensive income was approximately $574 and $713, respectively.</w:t>
      </w:r>
    </w:p>
    <w:p>
      <w:pPr>
        <w:pStyle w:val="Heading2"/>
        <w:bidi w:val="0"/>
        <w:jc w:val="left"/>
        <w:rPr>
          <w:rFonts w:ascii="Times New Roman" w:hAnsi="Times New Roman"/>
          <w:b/>
          <w:i/>
          <w:color w:val="231F20"/>
          <w:sz w:val="20"/>
        </w:rPr>
      </w:pPr>
      <w:r>
        <w:rPr>
          <w:rFonts w:ascii="Times New Roman" w:hAnsi="Times New Roman"/>
          <w:b/>
          <w:i/>
          <w:color w:val="231F20"/>
          <w:sz w:val="20"/>
        </w:rPr>
        <w:t>Amended and Restated First Lien Credit Agreement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On August 21, 2014, we entered into a Credit Agreement (“Credit Agreement”) which was originally comprised of a term loan (“First Lien Term Loan”) and a revolving commitment (“Revolving Commitment”), which was subsequently amended and restated. The Credit Agreement was collateralized by substantially all personal property (including cash, inventory, property and equipment, and intangible assets), real property, and equity interests owned by us.</w:t>
      </w:r>
    </w:p>
    <w:p>
      <w:pPr>
        <w:pStyle w:val="Heading2"/>
        <w:bidi w:val="0"/>
        <w:jc w:val="left"/>
        <w:rPr>
          <w:rFonts w:ascii="Times New Roman" w:hAnsi="Times New Roman"/>
          <w:b/>
          <w:i/>
          <w:color w:val="231F20"/>
          <w:sz w:val="20"/>
        </w:rPr>
      </w:pPr>
      <w:r>
        <w:rPr>
          <w:rFonts w:ascii="Times New Roman" w:hAnsi="Times New Roman"/>
          <w:b/>
          <w:i/>
          <w:color w:val="231F20"/>
          <w:sz w:val="20"/>
        </w:rPr>
        <w:t>First Lien Term Loan</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In March 2024, we entered into Amendment No. 5 to the Credit Agreement with the lenders party thereto, and Bank of America, N.A. (“BofA”) as the successor administrative agent and collateral agent. This amendment further modified the Credit Agreement by providing $925,000 in first lien term commitments, consisting of $901,201 to refinance outstanding term loans and $23,799 in additional incremental term commitments (collectively, the “2024 Term Loans”). Starting September 30, 2024, the loans will be amortized in equal quarterly installments at an annual rate of 1.00% of the original principal amount. In connection with Amendment No. 5, we expensed $1,882 of previously unamortized debt issuance costs as a loss on extinguishment of debt in the consolidated statements of operations and comprehensive income.</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In November 2024, we entered into Amendment No. 6 to the Credit Agreement with the lenders party thereto, and BofA as the successor administrative agent and collateral agent. This amendment further modified the Credit Agreement by resetting the soft call protection of 1% for voluntary prepayments of the Term Loans to last for six months after the effective date of this Amendment, as well as repricing the Term and Revolving Loans margins, where each was reduced by 0.25%. In connection with Amendment No. 6, we expensed $94 of previously unamortized debt issuance costs as a loss on extinguishment of debt in the consolidated statements of operations and comprehensive income.</w:t>
      </w:r>
    </w:p>
    <w:p>
      <w:pPr>
        <w:pStyle w:val="Heading2"/>
        <w:bidi w:val="0"/>
        <w:jc w:val="left"/>
        <w:rPr>
          <w:rFonts w:ascii="Times New Roman" w:hAnsi="Times New Roman"/>
          <w:b/>
          <w:i/>
          <w:color w:val="231F20"/>
          <w:sz w:val="20"/>
        </w:rPr>
      </w:pPr>
      <w:r>
        <w:rPr>
          <w:rFonts w:ascii="Times New Roman" w:hAnsi="Times New Roman"/>
          <w:b/>
          <w:i/>
          <w:color w:val="231F20"/>
          <w:sz w:val="20"/>
        </w:rPr>
        <w:t>Revolving Commitment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Amendment No. 5 to our Credit Agreement also increased our borrowing capacity under the Revolving Commitment from $150,000 to $300,000. Any unused commitment fee is also payable based on the First Lien Net Leverage Ratio. The Credit Agreement requires a Rent Adjusted Total Net Leverage Ratio no greater than 6.50 to 1.00, tested quarterly beginning with the quarter ending September 30, 2024, for the benefit of lenders holding the Revolving Commitment.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The maximum available borrowing capacity under the Revolving Commitment is reduced by outstanding letters of credit under the Revolving Commitment. As of June 30, 2025 and December 31, 2024, the available borrowing capacity under the Revolving Commitment was $299,791.</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In addition, an unused commitment fee based on our First Lien Net Leverage Ratio is payable on the average of the unused borrowing capacity under the Revolving Commitment. As of June 30, 2025 and December 31, 2024, the unused commitment fee was 0.20% and 0.25%, respectively.</w:t>
      </w:r>
    </w:p>
    <w:p>
      <w:pPr>
        <w:pStyle w:val="Heading2"/>
        <w:bidi w:val="0"/>
        <w:jc w:val="left"/>
        <w:rPr>
          <w:rFonts w:ascii="Times New Roman" w:hAnsi="Times New Roman"/>
          <w:b/>
          <w:i/>
          <w:color w:val="231F20"/>
          <w:sz w:val="20"/>
        </w:rPr>
      </w:pPr>
      <w:r>
        <w:rPr>
          <w:rFonts w:ascii="Times New Roman" w:hAnsi="Times New Roman"/>
          <w:b/>
          <w:i/>
          <w:color w:val="231F20"/>
          <w:sz w:val="20"/>
        </w:rPr>
        <w:t>Standby Letters of Credit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 xml:space="preserve">As of June 30, 2025, we have a letter of credit sublimit of $90,000 under the Revolving Commitment, provided that the total utilization of revolving commitments under the Revolving Commitment does not exceed $300,000. Any letter of credit issued under the Credit Agreement has an expiration date which is the earlier of (i) no later than 12 months from the date of issuance or (ii) five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left"/>
        <w:rPr>
          <w:rFonts w:ascii="Times New Roman" w:hAnsi="Times New Roman"/>
          <w:sz w:val="20"/>
        </w:rPr>
      </w:pPr>
      <w:r>
        <w:rPr>
          <w:rFonts w:ascii="Times New Roman" w:hAnsi="Times New Roman"/>
          <w:color w:val="231F20"/>
          <w:sz w:val="20"/>
        </w:rPr>
        <w:t xml:space="preserve">business days prior to the maturity date of the Revolving Commitment, as amended under </w:t>
      </w:r>
      <w:r>
        <w:rPr>
          <w:rFonts w:ascii="Times New Roman" w:hAnsi="Times New Roman"/>
          <w:color w:val="000000"/>
          <w:sz w:val="20"/>
        </w:rPr>
        <w:t>Amendment No. 2 to the Credit Agreement</w:t>
      </w:r>
      <w:r>
        <w:rPr>
          <w:rFonts w:ascii="Times New Roman" w:hAnsi="Times New Roman"/>
          <w:color w:val="231F20"/>
          <w:sz w:val="20"/>
        </w:rPr>
        <w:t>. Letters of credit under the Revolving Commitments reduce the maximum available borrowing capacity under the Revolving Commitment. As of June 30, 2025 and December 31, 2024, the amounts associated with outstanding letters of credit were $209.</w:t>
      </w:r>
    </w:p>
    <w:p>
      <w:pPr>
        <w:pStyle w:val="Heading2"/>
        <w:bidi w:val="0"/>
        <w:jc w:val="left"/>
        <w:rPr>
          <w:rFonts w:ascii="Times New Roman" w:hAnsi="Times New Roman"/>
          <w:b/>
          <w:i/>
          <w:color w:val="231F20"/>
          <w:sz w:val="20"/>
        </w:rPr>
      </w:pPr>
      <w:r>
        <w:rPr>
          <w:rFonts w:ascii="Times New Roman" w:hAnsi="Times New Roman"/>
          <w:b/>
          <w:i/>
          <w:color w:val="231F20"/>
          <w:sz w:val="20"/>
        </w:rPr>
        <w:t>Covenants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of June 30, 2025, we were in compliance with all covenants related to our long-term debt.</w:t>
      </w:r>
    </w:p>
    <w:p>
      <w:pPr>
        <w:pStyle w:val="TextBody"/>
        <w:bidi w:val="0"/>
        <w:spacing w:before="12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8. Fair Value Measurements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table presents financial assets and liabilities which are measured at fair value on a recurring basis as of June 30, 2025:</w:t>
      </w:r>
    </w:p>
    <w:tbl>
      <w:tblPr>
        <w:tblW w:w="6805" w:type="dxa"/>
        <w:jc w:val="left"/>
        <w:tblInd w:w="0" w:type="dxa"/>
        <w:tblLayout w:type="fixed"/>
        <w:tblCellMar>
          <w:top w:w="28" w:type="dxa"/>
          <w:left w:w="28" w:type="dxa"/>
          <w:bottom w:w="28" w:type="dxa"/>
          <w:right w:w="28" w:type="dxa"/>
        </w:tblCellMar>
      </w:tblPr>
      <w:tblGrid>
        <w:gridCol w:w="2501"/>
        <w:gridCol w:w="146"/>
        <w:gridCol w:w="211"/>
        <w:gridCol w:w="571"/>
        <w:gridCol w:w="146"/>
        <w:gridCol w:w="146"/>
        <w:gridCol w:w="211"/>
        <w:gridCol w:w="571"/>
        <w:gridCol w:w="146"/>
        <w:gridCol w:w="146"/>
        <w:gridCol w:w="215"/>
        <w:gridCol w:w="430"/>
        <w:gridCol w:w="146"/>
        <w:gridCol w:w="146"/>
        <w:gridCol w:w="211"/>
        <w:gridCol w:w="571"/>
        <w:gridCol w:w="291"/>
      </w:tblGrid>
      <w:tr>
        <w:trPr/>
        <w:tc>
          <w:tcPr>
            <w:tcW w:w="2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Measurements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compensation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table presents financial assets and liabilities which are measured at fair value on a recurring basis as of December 31, 2024:</w:t>
      </w:r>
    </w:p>
    <w:tbl>
      <w:tblPr>
        <w:tblW w:w="6805" w:type="dxa"/>
        <w:jc w:val="left"/>
        <w:tblInd w:w="0" w:type="dxa"/>
        <w:tblLayout w:type="fixed"/>
        <w:tblCellMar>
          <w:top w:w="28" w:type="dxa"/>
          <w:left w:w="28" w:type="dxa"/>
          <w:bottom w:w="28" w:type="dxa"/>
          <w:right w:w="28" w:type="dxa"/>
        </w:tblCellMar>
      </w:tblPr>
      <w:tblGrid>
        <w:gridCol w:w="2501"/>
        <w:gridCol w:w="146"/>
        <w:gridCol w:w="211"/>
        <w:gridCol w:w="571"/>
        <w:gridCol w:w="146"/>
        <w:gridCol w:w="146"/>
        <w:gridCol w:w="211"/>
        <w:gridCol w:w="571"/>
        <w:gridCol w:w="146"/>
        <w:gridCol w:w="146"/>
        <w:gridCol w:w="244"/>
        <w:gridCol w:w="401"/>
        <w:gridCol w:w="146"/>
        <w:gridCol w:w="146"/>
        <w:gridCol w:w="211"/>
        <w:gridCol w:w="571"/>
        <w:gridCol w:w="291"/>
      </w:tblGrid>
      <w:tr>
        <w:trPr/>
        <w:tc>
          <w:tcPr>
            <w:tcW w:w="2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Measurements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We measure the fair value of our financial assets and liabilities using the highest level of inputs that are available as of the measurement date. The carrying amounts of cash and cash equivalents, accounts receivable, and accounts payable approximate their fair value due to the immediate or short-term maturity of these financial instruments. See Note 9 Interest Rate Swap for additional information on the interest rate swap.</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June 30, 2025, and December 31, 2024, we did not hold any cash investments.</w:t>
      </w:r>
    </w:p>
    <w:p>
      <w:pPr>
        <w:pStyle w:val="TextBody"/>
        <w:bidi w:val="0"/>
        <w:jc w:val="left"/>
        <w:rPr>
          <w:rFonts w:ascii="Times New Roman" w:hAnsi="Times New Roman"/>
          <w:color w:val="000000"/>
          <w:sz w:val="20"/>
        </w:rPr>
      </w:pPr>
      <w:r>
        <w:rPr>
          <w:rFonts w:ascii="Times New Roman" w:hAnsi="Times New Roman"/>
          <w:color w:val="000000"/>
          <w:sz w:val="20"/>
        </w:rPr>
        <w:t>We maintain a deferred compensation plan for a certain group of our highly compensated employees, in which certain of our executive officers participate in. The plan allows eligible participants to defer up to 90% of their base salary and/or incentive plan compensation as well as any refunds from our 401(k) Plan. Participants may elect investment funds selected by the Company in whole percentages. Changes in the value of compensation deferred under these plans are recognized each period based on the fair value of the underlying measurement funds. These investment funds consist primarily of equity securities, such as common stock and mutual funds, and fixed income securities and are valued at the closing price reported on the active market on which the individual securities are traded and are classified as Level 1. These investment options do not represent actual ownership of or ownership rights in the applicable funds; they serve the purpose of valuing the account and the corresponding obligation of the Company.</w:t>
      </w:r>
    </w:p>
    <w:p>
      <w:pPr>
        <w:pStyle w:val="TextBody"/>
        <w:bidi w:val="0"/>
        <w:spacing w:before="120" w:after="120"/>
        <w:jc w:val="left"/>
        <w:rPr>
          <w:rFonts w:ascii="Times New Roman" w:hAnsi="Times New Roman"/>
          <w:sz w:val="20"/>
        </w:rPr>
      </w:pPr>
      <w:r>
        <w:rPr>
          <w:rFonts w:ascii="Times New Roman" w:hAnsi="Times New Roman"/>
          <w:color w:val="231F20"/>
          <w:sz w:val="20"/>
        </w:rPr>
        <w:t xml:space="preserve">As of June 30, 2025 and December 31, 2024, the fair value of our First Lien Term Loan approximated its carrying value </w:t>
      </w:r>
      <w:r>
        <w:rPr>
          <w:rFonts w:ascii="Times New Roman" w:hAnsi="Times New Roman"/>
          <w:color w:val="000000"/>
          <w:sz w:val="20"/>
        </w:rPr>
        <w:t>due to the debt’s variable interest rate terms</w:t>
      </w:r>
      <w:r>
        <w:rPr>
          <w:rFonts w:ascii="Times New Roman" w:hAnsi="Times New Roman"/>
          <w:color w:val="231F20"/>
          <w:sz w:val="2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recognized a Level 3 contingent consideration liability in connection with the Downtowner Car Wash acquisition in December 2021. We measured its contingent consideration liability using Level 3 unobservable inputs. The contingent consideration liability is associated with the achievement of certain targets and is estimated at each balance sheet date by considering among other factors, results of completed periods and our most recent financial projection for future periods subject to earn-out payments. There are two components to the contingent consideration: a payment when we obtained the certificate of occupancy for the car wash and opened it to the public in 2023 and an annual payment based on certain financial metrics of the acquired business. A change in the forecasted revenue or projected opening dates could result in a significantly lower or higher fair value measurement. We determined that there were no significant changes to the unobservable inputs that would have resulted in a change in fair value of this contingent consideration liability at June 30, 2025. No payments were made during the three and six months ended June 30, 2025 and 2024.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and six months ended June 30, 2025 and 2024, there were no transfers between fair value measurement levels.</w:t>
      </w:r>
    </w:p>
    <w:p>
      <w:pPr>
        <w:pStyle w:val="TextBody"/>
        <w:bidi w:val="0"/>
        <w:spacing w:before="0" w:after="12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9. Interest Rate Swap</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On April 28, 2025, the Company executed a pay-fixed, receive-floating interest rate swap (the “Swap”) to mitigate variability in forecasted interest payments on an aggregate notional amount of $250,000 of the Company’s variable-rate First Lien Term Loan. The Swap has an effective date of June 30, 2025, with a maturity date of June 30, 2027. The Company designated the Swap as a cash flow hedge.</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June 30, 2025, information pertaining to the Swap is as follows:</w:t>
      </w:r>
    </w:p>
    <w:tbl>
      <w:tblPr>
        <w:tblW w:w="6789" w:type="dxa"/>
        <w:jc w:val="left"/>
        <w:tblInd w:w="0" w:type="dxa"/>
        <w:tblLayout w:type="fixed"/>
        <w:tblCellMar>
          <w:top w:w="28" w:type="dxa"/>
          <w:left w:w="28" w:type="dxa"/>
          <w:bottom w:w="28" w:type="dxa"/>
          <w:right w:w="28" w:type="dxa"/>
        </w:tblCellMar>
      </w:tblPr>
      <w:tblGrid>
        <w:gridCol w:w="330"/>
        <w:gridCol w:w="1140"/>
        <w:gridCol w:w="146"/>
        <w:gridCol w:w="146"/>
        <w:gridCol w:w="305"/>
        <w:gridCol w:w="610"/>
        <w:gridCol w:w="146"/>
        <w:gridCol w:w="146"/>
        <w:gridCol w:w="871"/>
        <w:gridCol w:w="146"/>
        <w:gridCol w:w="1366"/>
        <w:gridCol w:w="146"/>
        <w:gridCol w:w="1291"/>
      </w:tblGrid>
      <w:tr>
        <w:trPr/>
        <w:tc>
          <w:tcPr>
            <w:tcW w:w="33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Pay-Fixed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Receive-Floating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Maturity Date</w:t>
            </w:r>
          </w:p>
        </w:tc>
      </w:tr>
      <w:tr>
        <w:trPr/>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2027</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and December 31, 2024, the current portion of the fair value of the Swap was $1,096 and $0, respectively, and is included in prepaid and other current assets in the accompanying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and December 31, 2024, the long-term portion of the fair value of the Swap was $630 and $0, respectively, and is included in other long-term liabilities in the accompanying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2025 and 2024, amounts reported in other comprehensive income in the accompanying consolidated statements of operations and comprehensive income are net of tax of $116 and $0, respectively.</w:t>
      </w:r>
    </w:p>
    <w:p>
      <w:pPr>
        <w:pStyle w:val="TextBody"/>
        <w:bidi w:val="0"/>
        <w:spacing w:before="120" w:after="283"/>
        <w:jc w:val="left"/>
        <w:rPr/>
      </w:pPr>
      <w:r>
        <w:rPr/>
        <w:t> </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10. Leases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Balance sheet information related to leases consisted of the following for the periods presented:</w:t>
      </w:r>
    </w:p>
    <w:tbl>
      <w:tblPr>
        <w:tblW w:w="9472" w:type="dxa"/>
        <w:jc w:val="left"/>
        <w:tblInd w:w="0" w:type="dxa"/>
        <w:tblLayout w:type="fixed"/>
        <w:tblCellMar>
          <w:top w:w="28" w:type="dxa"/>
          <w:left w:w="28" w:type="dxa"/>
          <w:bottom w:w="28" w:type="dxa"/>
          <w:right w:w="28" w:type="dxa"/>
        </w:tblCellMar>
      </w:tblPr>
      <w:tblGrid>
        <w:gridCol w:w="2031"/>
        <w:gridCol w:w="146"/>
        <w:gridCol w:w="3766"/>
        <w:gridCol w:w="146"/>
        <w:gridCol w:w="245"/>
        <w:gridCol w:w="910"/>
        <w:gridCol w:w="146"/>
        <w:gridCol w:w="146"/>
        <w:gridCol w:w="328"/>
        <w:gridCol w:w="1217"/>
        <w:gridCol w:w="391"/>
      </w:tblGrid>
      <w:tr>
        <w:trPr/>
        <w:tc>
          <w:tcPr>
            <w:tcW w:w="2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right of 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917,038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937,240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finance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890,613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939,507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953,665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Components of total lease cost, net, consisted of the following for the periods presented:</w:t>
      </w:r>
    </w:p>
    <w:tbl>
      <w:tblPr>
        <w:tblW w:w="7976" w:type="dxa"/>
        <w:jc w:val="left"/>
        <w:tblInd w:w="0" w:type="dxa"/>
        <w:tblLayout w:type="fixed"/>
        <w:tblCellMar>
          <w:top w:w="28" w:type="dxa"/>
          <w:left w:w="28" w:type="dxa"/>
          <w:bottom w:w="28" w:type="dxa"/>
          <w:right w:w="28" w:type="dxa"/>
        </w:tblCellMar>
      </w:tblPr>
      <w:tblGrid>
        <w:gridCol w:w="2471"/>
        <w:gridCol w:w="146"/>
        <w:gridCol w:w="249"/>
        <w:gridCol w:w="800"/>
        <w:gridCol w:w="172"/>
        <w:gridCol w:w="172"/>
        <w:gridCol w:w="249"/>
        <w:gridCol w:w="800"/>
        <w:gridCol w:w="146"/>
        <w:gridCol w:w="146"/>
        <w:gridCol w:w="228"/>
        <w:gridCol w:w="731"/>
        <w:gridCol w:w="158"/>
        <w:gridCol w:w="158"/>
        <w:gridCol w:w="228"/>
        <w:gridCol w:w="731"/>
        <w:gridCol w:w="391"/>
      </w:tblGrid>
      <w:tr>
        <w:trPr/>
        <w:tc>
          <w:tcPr>
            <w:tcW w:w="2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61,487</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34,308</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73,417</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66,020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231F20"/>
          <w:sz w:val="16"/>
        </w:rPr>
      </w:pPr>
      <w:r>
        <w:rPr>
          <w:rFonts w:ascii="Times New Roman" w:hAnsi="Times New Roman"/>
          <w:color w:val="231F20"/>
          <w:sz w:val="16"/>
        </w:rPr>
        <w:t>a)</w:t>
      </w:r>
    </w:p>
    <w:p>
      <w:pPr>
        <w:pStyle w:val="TextBody"/>
        <w:bidi w:val="0"/>
        <w:spacing w:before="120" w:after="283"/>
        <w:jc w:val="left"/>
        <w:rPr>
          <w:rFonts w:ascii="Times New Roman" w:hAnsi="Times New Roman"/>
          <w:color w:val="231F20"/>
          <w:sz w:val="16"/>
        </w:rPr>
      </w:pPr>
      <w:r>
        <w:rPr>
          <w:rFonts w:ascii="Times New Roman" w:hAnsi="Times New Roman"/>
          <w:color w:val="231F20"/>
          <w:sz w:val="16"/>
        </w:rPr>
        <w:t>Operating lease expense includes an immaterial amount of sublease income and is included in other store operating expenses and general and administrative expenses in the accompanying consolidated statements of operations and comprehensive income.</w:t>
      </w:r>
    </w:p>
    <w:p>
      <w:pPr>
        <w:pStyle w:val="TextBody"/>
        <w:bidi w:val="0"/>
        <w:spacing w:before="120" w:after="120"/>
        <w:jc w:val="left"/>
        <w:rPr>
          <w:rFonts w:ascii="Times New Roman" w:hAnsi="Times New Roman"/>
          <w:color w:val="231F20"/>
          <w:sz w:val="16"/>
        </w:rPr>
      </w:pPr>
      <w:r>
        <w:rPr>
          <w:rFonts w:ascii="Times New Roman" w:hAnsi="Times New Roman"/>
          <w:color w:val="231F20"/>
          <w:sz w:val="16"/>
        </w:rPr>
        <w:t>b)</w:t>
      </w:r>
    </w:p>
    <w:p>
      <w:pPr>
        <w:pStyle w:val="TextBody"/>
        <w:bidi w:val="0"/>
        <w:spacing w:before="120" w:after="120"/>
        <w:jc w:val="left"/>
        <w:rPr>
          <w:rFonts w:ascii="Times New Roman" w:hAnsi="Times New Roman"/>
          <w:color w:val="231F20"/>
          <w:sz w:val="16"/>
        </w:rPr>
      </w:pPr>
      <w:r>
        <w:rPr>
          <w:rFonts w:ascii="Times New Roman" w:hAnsi="Times New Roman"/>
          <w:color w:val="231F20"/>
          <w:sz w:val="16"/>
        </w:rPr>
        <w:t>Variable lease costs consist of property taxes, property insurance, and common area or other maintenance costs for our leases of land and buildings and is included in other store operating expenses in the accompanying consolidated statements of operations and comprehensive income.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includes supplemental information for the periods presented:</w:t>
      </w:r>
    </w:p>
    <w:tbl>
      <w:tblPr>
        <w:tblW w:w="10205" w:type="dxa"/>
        <w:jc w:val="left"/>
        <w:tblInd w:w="0" w:type="dxa"/>
        <w:tblLayout w:type="fixed"/>
        <w:tblCellMar>
          <w:top w:w="28" w:type="dxa"/>
          <w:left w:w="28" w:type="dxa"/>
          <w:bottom w:w="28" w:type="dxa"/>
          <w:right w:w="28" w:type="dxa"/>
        </w:tblCellMar>
      </w:tblPr>
      <w:tblGrid>
        <w:gridCol w:w="4721"/>
        <w:gridCol w:w="146"/>
        <w:gridCol w:w="229"/>
        <w:gridCol w:w="735"/>
        <w:gridCol w:w="294"/>
        <w:gridCol w:w="158"/>
        <w:gridCol w:w="229"/>
        <w:gridCol w:w="735"/>
        <w:gridCol w:w="271"/>
        <w:gridCol w:w="146"/>
        <w:gridCol w:w="214"/>
        <w:gridCol w:w="685"/>
        <w:gridCol w:w="274"/>
        <w:gridCol w:w="147"/>
        <w:gridCol w:w="214"/>
        <w:gridCol w:w="685"/>
        <w:gridCol w:w="322"/>
      </w:tblGrid>
      <w:tr>
        <w:trPr/>
        <w:tc>
          <w:tcPr>
            <w:tcW w:w="4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29,909</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59,429</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53,360</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ROU assets obtained in exchange for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7,595</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34,947</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operating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finance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operating lease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finance lease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As of June 30, 2025, lease obligation maturities were as follows:</w:t>
      </w:r>
    </w:p>
    <w:tbl>
      <w:tblPr>
        <w:tblW w:w="8255" w:type="dxa"/>
        <w:jc w:val="left"/>
        <w:tblInd w:w="0" w:type="dxa"/>
        <w:tblLayout w:type="fixed"/>
        <w:tblCellMar>
          <w:top w:w="28" w:type="dxa"/>
          <w:left w:w="28" w:type="dxa"/>
          <w:bottom w:w="28" w:type="dxa"/>
          <w:right w:w="28" w:type="dxa"/>
        </w:tblCellMar>
      </w:tblPr>
      <w:tblGrid>
        <w:gridCol w:w="4686"/>
        <w:gridCol w:w="146"/>
        <w:gridCol w:w="266"/>
        <w:gridCol w:w="1174"/>
        <w:gridCol w:w="166"/>
        <w:gridCol w:w="146"/>
        <w:gridCol w:w="280"/>
        <w:gridCol w:w="980"/>
        <w:gridCol w:w="411"/>
      </w:tblGrid>
      <w:tr>
        <w:trPr/>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Fiscal Year Ending: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Finance Leases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future minimum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Present value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net future minimum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874,858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120" w:after="283"/>
        <w:jc w:val="left"/>
        <w:rPr>
          <w:rFonts w:ascii="Times New Roman" w:hAnsi="Times New Roman"/>
          <w:b/>
          <w:i/>
          <w:color w:val="231F20"/>
          <w:sz w:val="20"/>
        </w:rPr>
      </w:pPr>
      <w:r>
        <w:rPr>
          <w:rFonts w:ascii="Times New Roman" w:hAnsi="Times New Roman"/>
          <w:b/>
          <w:i/>
          <w:color w:val="231F20"/>
          <w:sz w:val="20"/>
        </w:rPr>
        <w:t>Forward-Starting Leases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As of June 30, 2025, we entered into 11 leases that had not yet commenced related to build-to-suit arrangements for car wash locations. These leases will commence in years 2025 through 2027 with initial lease terms of 15 to 20 years.</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December 31, 2024, we entered into 10 leases that had not yet commenced related to build-to-suit arrangements for car wash locations. These leases will commence in years 2025 through 2027 with initial lease terms of 15 to 20 years.</w:t>
      </w:r>
    </w:p>
    <w:p>
      <w:pPr>
        <w:pStyle w:val="Heading2"/>
        <w:bidi w:val="0"/>
        <w:jc w:val="left"/>
        <w:rPr>
          <w:rFonts w:ascii="Times New Roman" w:hAnsi="Times New Roman"/>
          <w:b/>
          <w:i/>
          <w:color w:val="231F20"/>
          <w:sz w:val="20"/>
        </w:rPr>
      </w:pPr>
      <w:r>
        <w:rPr>
          <w:rFonts w:ascii="Times New Roman" w:hAnsi="Times New Roman"/>
          <w:b/>
          <w:i/>
          <w:color w:val="231F20"/>
          <w:sz w:val="20"/>
        </w:rPr>
        <w:t>Sale-Leaseback Transactions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During the three and six months ended June 30, 2025, we did not complete any sale-leaseback transactions.</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During the three and six months ended June 30, 2024, we completed three and four sale-leaseback transactions related to car wash locations, respectively, with aggregate consideration of $13,845 and $18,745, respectively, resulting in net losses of $2,658 and $961, respectively, which are included in (gain) loss on sale of assets in the accompanying consolidated statements of operations and comprehensive income. Contemporaneously with the closing of the sales, we entered into lease agreements for the properties for initial 20-year terms. For the sale-leaseback transactions consummated in the three and six months ended June 30, 2024, the cumulative initial annual rent for the property was approximately $881 and $1,187, respectively, subject to annual escalations. These leases are accounted for as operating leases.</w:t>
      </w:r>
    </w:p>
    <w:p>
      <w:pPr>
        <w:pStyle w:val="TextBody"/>
        <w:bidi w:val="0"/>
        <w:spacing w:before="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11. Stockholders’ Equity</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As of June 30, 2025, there were 1,000,000,000 shares of common stock authorized, 333,430,468 shares of common stock issued, and 327,257,547 shares of common stock outstanding.</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December 31, 2024, there were 1,000,000,000 shares of common stock authorized, 329,866,784 shares of common stock issued, and 323,693,863 shares of common stock outstanding.</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June 30, 2025 and December 31, 2024, there were 5,000,000 shares of preferred stock authorized, and none were issued or outstanding.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left"/>
        <w:rPr>
          <w:rFonts w:ascii="Times New Roman" w:hAnsi="Times New Roman"/>
          <w:sz w:val="20"/>
        </w:rPr>
      </w:pPr>
      <w:r>
        <w:rPr>
          <w:rFonts w:ascii="Times New Roman" w:hAnsi="Times New Roman"/>
          <w:color w:val="231F20"/>
          <w:sz w:val="20"/>
        </w:rPr>
        <w:t xml:space="preserve">We use the cost method to account for treasury stock. As of June 30, 2025 and December 31, 2024, we had 6,172,921 shares of treasury stock. As of June 30, 2025 and December 31, 2024, the cost of treasury stock included in additional paid-in capital in </w:t>
      </w:r>
      <w:r>
        <w:rPr>
          <w:rFonts w:ascii="Times New Roman" w:hAnsi="Times New Roman"/>
          <w:color w:val="000000"/>
          <w:sz w:val="20"/>
        </w:rPr>
        <w:t>the accompanying consolidated balance sheets was $28,895.</w:t>
      </w:r>
    </w:p>
    <w:p>
      <w:pPr>
        <w:pStyle w:val="TextBody"/>
        <w:bidi w:val="0"/>
        <w:spacing w:before="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12. Stock-Based Compensation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recognize stock-based compensation expense associated with stock options and restricted stock units ("RSUs"), and stock purchase rights. Stock options and RSUs are granted under the 2014 Stock Option Plan of Hotshine Holdings, Inc. (the “2014 Plan”) and 2021 Incentive Award Plan (the “2021 Plan”) while stock purchase rights are granted under the 2021 Employee Stock Purchase Plan (“2021 ESPP”).</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Refer to our 2024 Form 10-K for additional details on employee stock incentive plans.</w:t>
      </w:r>
    </w:p>
    <w:p>
      <w:pPr>
        <w:pStyle w:val="Heading2"/>
        <w:bidi w:val="0"/>
        <w:jc w:val="left"/>
        <w:rPr>
          <w:rFonts w:ascii="Times New Roman" w:hAnsi="Times New Roman"/>
          <w:b/>
          <w:i/>
          <w:color w:val="231F20"/>
          <w:sz w:val="20"/>
        </w:rPr>
      </w:pPr>
      <w:r>
        <w:rPr>
          <w:rFonts w:ascii="Times New Roman" w:hAnsi="Times New Roman"/>
          <w:b/>
          <w:i/>
          <w:color w:val="231F20"/>
          <w:sz w:val="20"/>
        </w:rPr>
        <w:t>Share-Based Payment Valuation</w:t>
      </w:r>
    </w:p>
    <w:p>
      <w:pPr>
        <w:pStyle w:val="TextBody"/>
        <w:bidi w:val="0"/>
        <w:spacing w:before="120" w:after="120"/>
        <w:jc w:val="left"/>
        <w:rPr>
          <w:rFonts w:ascii="Times New Roman" w:hAnsi="Times New Roman"/>
          <w:sz w:val="20"/>
        </w:rPr>
      </w:pPr>
      <w:r>
        <w:rPr>
          <w:rFonts w:ascii="Times New Roman" w:hAnsi="Times New Roman"/>
          <w:color w:val="231F20"/>
          <w:sz w:val="20"/>
        </w:rPr>
        <w:t xml:space="preserve">The grant date fair value of Time Vesting Options granted is determined using the Black-Scholes option-pricing model. The grant date fair value of </w:t>
      </w:r>
      <w:r>
        <w:rPr>
          <w:rFonts w:ascii="Times New Roman" w:hAnsi="Times New Roman"/>
          <w:color w:val="000000"/>
          <w:sz w:val="20"/>
        </w:rPr>
        <w:t xml:space="preserve">stock purchase rights </w:t>
      </w:r>
      <w:r>
        <w:rPr>
          <w:rFonts w:ascii="Times New Roman" w:hAnsi="Times New Roman"/>
          <w:color w:val="231F20"/>
          <w:sz w:val="20"/>
        </w:rPr>
        <w:t>granted under the 2021 ESPP is determined using the Black-Scholes option-pricing model.</w:t>
      </w:r>
    </w:p>
    <w:p>
      <w:pPr>
        <w:pStyle w:val="TextBody"/>
        <w:bidi w:val="0"/>
        <w:jc w:val="left"/>
        <w:rPr>
          <w:rFonts w:ascii="Times New Roman" w:hAnsi="Times New Roman"/>
          <w:i/>
          <w:color w:val="231F20"/>
          <w:sz w:val="20"/>
        </w:rPr>
      </w:pPr>
      <w:r>
        <w:rPr>
          <w:rFonts w:ascii="Times New Roman" w:hAnsi="Times New Roman"/>
          <w:i/>
          <w:color w:val="231F20"/>
          <w:sz w:val="20"/>
        </w:rPr>
        <w:t>2021 ESPP</w:t>
      </w:r>
    </w:p>
    <w:p>
      <w:pPr>
        <w:pStyle w:val="TextBody"/>
        <w:bidi w:val="0"/>
        <w:spacing w:before="120" w:after="120"/>
        <w:jc w:val="left"/>
        <w:rPr>
          <w:rFonts w:ascii="Times New Roman" w:hAnsi="Times New Roman"/>
          <w:sz w:val="20"/>
        </w:rPr>
      </w:pPr>
      <w:r>
        <w:rPr>
          <w:rFonts w:ascii="Times New Roman" w:hAnsi="Times New Roman"/>
          <w:color w:val="231F20"/>
          <w:sz w:val="20"/>
        </w:rPr>
        <w:t>The following table presents, on a weighted-average basis, the assumptions used in the Black-Scholes option-pricing model to determine the grant date fair value of</w:t>
      </w:r>
      <w:r>
        <w:rPr>
          <w:rFonts w:ascii="Times New Roman" w:hAnsi="Times New Roman"/>
          <w:color w:val="000000"/>
          <w:sz w:val="20"/>
        </w:rPr>
        <w:t xml:space="preserve"> stock purchase rights granted under the 2021 ESPP</w:t>
      </w:r>
      <w:r>
        <w:rPr>
          <w:rFonts w:ascii="Times New Roman" w:hAnsi="Times New Roman"/>
          <w:color w:val="231F20"/>
          <w:sz w:val="20"/>
        </w:rPr>
        <w:t xml:space="preserve"> during the periods presented:</w:t>
      </w:r>
    </w:p>
    <w:tbl>
      <w:tblPr>
        <w:tblW w:w="5545" w:type="dxa"/>
        <w:jc w:val="left"/>
        <w:tblInd w:w="0" w:type="dxa"/>
        <w:tblLayout w:type="fixed"/>
        <w:tblCellMar>
          <w:top w:w="28" w:type="dxa"/>
          <w:left w:w="28" w:type="dxa"/>
          <w:bottom w:w="28" w:type="dxa"/>
          <w:right w:w="28" w:type="dxa"/>
        </w:tblCellMar>
      </w:tblPr>
      <w:tblGrid>
        <w:gridCol w:w="2131"/>
        <w:gridCol w:w="146"/>
        <w:gridCol w:w="1561"/>
        <w:gridCol w:w="146"/>
        <w:gridCol w:w="156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39.42 % - 42.14%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49.59% - 50.14%</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4.30% - 4.44%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5.38% - 5.41%</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0.49 - 0.50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bl>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Time Vesting Options</w:t>
      </w:r>
    </w:p>
    <w:p>
      <w:pPr>
        <w:pStyle w:val="TextBody"/>
        <w:bidi w:val="0"/>
        <w:spacing w:before="120" w:after="120"/>
        <w:jc w:val="left"/>
        <w:rPr>
          <w:rFonts w:ascii="Times New Roman" w:hAnsi="Times New Roman"/>
          <w:sz w:val="20"/>
        </w:rPr>
      </w:pPr>
      <w:r>
        <w:rPr>
          <w:rFonts w:ascii="Times New Roman" w:hAnsi="Times New Roman"/>
          <w:color w:val="231F20"/>
          <w:sz w:val="20"/>
        </w:rPr>
        <w:t xml:space="preserve">The following table presents, on a weighted-average basis, the assumptions used in the Black-Scholes option-pricing model to determine the grant date fair value of </w:t>
      </w:r>
      <w:r>
        <w:rPr>
          <w:rFonts w:ascii="Times New Roman" w:hAnsi="Times New Roman"/>
          <w:color w:val="000000"/>
          <w:sz w:val="20"/>
        </w:rPr>
        <w:t>Time Vesting Options granted under the 2021 Plan</w:t>
      </w:r>
      <w:r>
        <w:rPr>
          <w:rFonts w:ascii="Times New Roman" w:hAnsi="Times New Roman"/>
          <w:color w:val="231F20"/>
          <w:sz w:val="20"/>
        </w:rPr>
        <w:t xml:space="preserve"> during the periods presented:</w:t>
      </w:r>
    </w:p>
    <w:tbl>
      <w:tblPr>
        <w:tblW w:w="4557" w:type="dxa"/>
        <w:jc w:val="left"/>
        <w:tblInd w:w="0" w:type="dxa"/>
        <w:tblLayout w:type="fixed"/>
        <w:tblCellMar>
          <w:top w:w="28" w:type="dxa"/>
          <w:left w:w="28" w:type="dxa"/>
          <w:bottom w:w="28" w:type="dxa"/>
          <w:right w:w="28" w:type="dxa"/>
        </w:tblCellMar>
      </w:tblPr>
      <w:tblGrid>
        <w:gridCol w:w="2131"/>
        <w:gridCol w:w="146"/>
        <w:gridCol w:w="1009"/>
        <w:gridCol w:w="200"/>
        <w:gridCol w:w="107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46.74%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45.98%</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4.52%</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bl>
    <w:p>
      <w:pPr>
        <w:pStyle w:val="Heading2"/>
        <w:bidi w:val="0"/>
        <w:spacing w:before="12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A summary of our stock option activity during the period presented is as follows:</w:t>
      </w:r>
    </w:p>
    <w:tbl>
      <w:tblPr>
        <w:tblW w:w="10205" w:type="dxa"/>
        <w:jc w:val="left"/>
        <w:tblInd w:w="0" w:type="dxa"/>
        <w:tblLayout w:type="fixed"/>
        <w:tblCellMar>
          <w:top w:w="28" w:type="dxa"/>
          <w:left w:w="28" w:type="dxa"/>
          <w:bottom w:w="28" w:type="dxa"/>
          <w:right w:w="28" w:type="dxa"/>
        </w:tblCellMar>
      </w:tblPr>
      <w:tblGrid>
        <w:gridCol w:w="2352"/>
        <w:gridCol w:w="146"/>
        <w:gridCol w:w="180"/>
        <w:gridCol w:w="1152"/>
        <w:gridCol w:w="166"/>
        <w:gridCol w:w="146"/>
        <w:gridCol w:w="208"/>
        <w:gridCol w:w="1338"/>
        <w:gridCol w:w="166"/>
        <w:gridCol w:w="146"/>
        <w:gridCol w:w="206"/>
        <w:gridCol w:w="1465"/>
        <w:gridCol w:w="166"/>
        <w:gridCol w:w="146"/>
        <w:gridCol w:w="600"/>
        <w:gridCol w:w="1326"/>
        <w:gridCol w:w="296"/>
      </w:tblGrid>
      <w:tr>
        <w:trPr/>
        <w:tc>
          <w:tcPr>
            <w:tcW w:w="2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3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Time Vesting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Performance Vesting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Number of 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 Exercise Price</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9,137,994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11,035,461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9,542,340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1,344,167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10,886,507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or expected to vest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9,010,111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1,344,167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10,354,278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1,344,167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7,294,168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number and weighted-average grant date fair value of stock options during the period presented are as follows:</w:t>
      </w:r>
    </w:p>
    <w:tbl>
      <w:tblPr>
        <w:tblW w:w="10205" w:type="dxa"/>
        <w:jc w:val="left"/>
        <w:tblInd w:w="0" w:type="dxa"/>
        <w:tblLayout w:type="fixed"/>
        <w:tblCellMar>
          <w:top w:w="28" w:type="dxa"/>
          <w:left w:w="28" w:type="dxa"/>
          <w:bottom w:w="28" w:type="dxa"/>
          <w:right w:w="28" w:type="dxa"/>
        </w:tblCellMar>
      </w:tblPr>
      <w:tblGrid>
        <w:gridCol w:w="1977"/>
        <w:gridCol w:w="146"/>
        <w:gridCol w:w="198"/>
        <w:gridCol w:w="1351"/>
        <w:gridCol w:w="177"/>
        <w:gridCol w:w="156"/>
        <w:gridCol w:w="571"/>
        <w:gridCol w:w="1359"/>
        <w:gridCol w:w="146"/>
        <w:gridCol w:w="146"/>
        <w:gridCol w:w="429"/>
        <w:gridCol w:w="951"/>
        <w:gridCol w:w="185"/>
        <w:gridCol w:w="185"/>
        <w:gridCol w:w="568"/>
        <w:gridCol w:w="1362"/>
        <w:gridCol w:w="298"/>
      </w:tblGrid>
      <w:tr>
        <w:trPr/>
        <w:tc>
          <w:tcPr>
            <w:tcW w:w="1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9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Grant Date Fair Value</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Time Vesting Options</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 Vesting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Time Vesting Options</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 Vesting Options</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3,544,956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1,583,512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(1,450,382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(85,746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3,592,340</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We granted 1,583,512 Time Vesting Options with a grant date fair value of $5,637 during the six months ended June 30, 2025. There were no Performance Vesting Options granted during the six months ended June 30, 2025.</w:t>
      </w:r>
    </w:p>
    <w:p>
      <w:pPr>
        <w:pStyle w:val="TextBody"/>
        <w:bidi w:val="0"/>
        <w:spacing w:before="0" w:after="120"/>
        <w:jc w:val="left"/>
        <w:rPr>
          <w:rFonts w:ascii="Times New Roman" w:hAnsi="Times New Roman"/>
          <w:sz w:val="20"/>
        </w:rPr>
      </w:pPr>
      <w:r>
        <w:rPr>
          <w:rFonts w:ascii="Times New Roman" w:hAnsi="Times New Roman"/>
          <w:color w:val="231F20"/>
          <w:sz w:val="20"/>
        </w:rPr>
        <w:t xml:space="preserve">The fair value of shares attributable to stock options that vested during the six months ended June 30, 2025 was </w:t>
      </w:r>
      <w:r>
        <w:rPr>
          <w:rFonts w:ascii="Times New Roman" w:hAnsi="Times New Roman"/>
          <w:color w:val="000000"/>
          <w:sz w:val="20"/>
        </w:rPr>
        <w:t>$10,426</w:t>
      </w:r>
      <w:r>
        <w:rPr>
          <w:rFonts w:ascii="Times New Roman" w:hAnsi="Times New Roman"/>
          <w:color w:val="231F20"/>
          <w:sz w:val="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As of June 30, 2025, the weighted-average remaining contractual life of outstanding stock options was approximately 6.01 years.</w:t>
      </w:r>
    </w:p>
    <w:p>
      <w:pPr>
        <w:pStyle w:val="Heading2"/>
        <w:bidi w:val="0"/>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A summary of our RSU activity during the period presented is as follows:</w:t>
      </w:r>
    </w:p>
    <w:tbl>
      <w:tblPr>
        <w:tblW w:w="8805" w:type="dxa"/>
        <w:jc w:val="left"/>
        <w:tblInd w:w="0" w:type="dxa"/>
        <w:tblLayout w:type="fixed"/>
        <w:tblCellMar>
          <w:top w:w="28" w:type="dxa"/>
          <w:left w:w="28" w:type="dxa"/>
          <w:bottom w:w="28" w:type="dxa"/>
          <w:right w:w="28" w:type="dxa"/>
        </w:tblCellMar>
      </w:tblPr>
      <w:tblGrid>
        <w:gridCol w:w="2926"/>
        <w:gridCol w:w="146"/>
        <w:gridCol w:w="235"/>
        <w:gridCol w:w="1595"/>
        <w:gridCol w:w="166"/>
        <w:gridCol w:w="146"/>
        <w:gridCol w:w="1028"/>
        <w:gridCol w:w="2272"/>
        <w:gridCol w:w="2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 Grant Date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5,693,848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We granted 3,037,300 RSUs with a grant date fair value of $21,503 during the six months ended June 30, 2025.</w:t>
      </w:r>
    </w:p>
    <w:p>
      <w:pPr>
        <w:pStyle w:val="TextBody"/>
        <w:bidi w:val="0"/>
        <w:spacing w:before="0" w:after="120"/>
        <w:jc w:val="left"/>
        <w:rPr>
          <w:rFonts w:ascii="Times New Roman" w:hAnsi="Times New Roman"/>
          <w:sz w:val="20"/>
        </w:rPr>
      </w:pPr>
      <w:r>
        <w:rPr>
          <w:rFonts w:ascii="Times New Roman" w:hAnsi="Times New Roman"/>
          <w:color w:val="231F20"/>
          <w:sz w:val="20"/>
        </w:rPr>
        <w:t>The fair value of shares attributable to RSUs that vested during the</w:t>
      </w:r>
      <w:r>
        <w:rPr>
          <w:rFonts w:ascii="Times New Roman" w:hAnsi="Times New Roman"/>
          <w:color w:val="000000"/>
          <w:sz w:val="20"/>
        </w:rPr>
        <w:t xml:space="preserve"> six months ended June 30, 2025 was $13,067.</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June 30, 2025, the weighted-average remaining contractual life of outstanding RSUs was approximately 9.26 years.</w:t>
      </w:r>
    </w:p>
    <w:p>
      <w:pPr>
        <w:pStyle w:val="Heading2"/>
        <w:bidi w:val="0"/>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We estimated a forfeiture rate of 10.26% for awards with service-based vesting conditions based on historical experience and future expectations of the vesting of these share-based payments. We used this rate as an assumption in calculating stock-based compensation expense for Time Vesting Options, RSUs, and stock purchase rights granted under the 2021 ESPP.</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Total stock-based compensation expense, by caption, recorded in the consolidated statements of operations and comprehensive income for the periods presented is as follows:</w:t>
      </w:r>
    </w:p>
    <w:tbl>
      <w:tblPr>
        <w:tblW w:w="8958" w:type="dxa"/>
        <w:jc w:val="left"/>
        <w:tblInd w:w="0" w:type="dxa"/>
        <w:tblLayout w:type="fixed"/>
        <w:tblCellMar>
          <w:top w:w="28" w:type="dxa"/>
          <w:left w:w="28" w:type="dxa"/>
          <w:bottom w:w="28" w:type="dxa"/>
          <w:right w:w="28" w:type="dxa"/>
        </w:tblCellMar>
      </w:tblPr>
      <w:tblGrid>
        <w:gridCol w:w="3551"/>
        <w:gridCol w:w="146"/>
        <w:gridCol w:w="278"/>
        <w:gridCol w:w="752"/>
        <w:gridCol w:w="192"/>
        <w:gridCol w:w="192"/>
        <w:gridCol w:w="278"/>
        <w:gridCol w:w="752"/>
        <w:gridCol w:w="146"/>
        <w:gridCol w:w="146"/>
        <w:gridCol w:w="228"/>
        <w:gridCol w:w="731"/>
        <w:gridCol w:w="158"/>
        <w:gridCol w:w="158"/>
        <w:gridCol w:w="228"/>
        <w:gridCol w:w="731"/>
        <w:gridCol w:w="29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labor and 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2,794</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2,465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5,576</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4,938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3,683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3,441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7,744</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7,214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6,477</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13,320</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Total stock-based compensation expense, by award type, recorded in the consolidated statements of operations and comprehensive income for the periods presented is as follows:</w:t>
      </w:r>
    </w:p>
    <w:tbl>
      <w:tblPr>
        <w:tblW w:w="8958" w:type="dxa"/>
        <w:jc w:val="left"/>
        <w:tblInd w:w="0" w:type="dxa"/>
        <w:tblLayout w:type="fixed"/>
        <w:tblCellMar>
          <w:top w:w="28" w:type="dxa"/>
          <w:left w:w="28" w:type="dxa"/>
          <w:bottom w:w="28" w:type="dxa"/>
          <w:right w:w="28" w:type="dxa"/>
        </w:tblCellMar>
      </w:tblPr>
      <w:tblGrid>
        <w:gridCol w:w="3551"/>
        <w:gridCol w:w="146"/>
        <w:gridCol w:w="278"/>
        <w:gridCol w:w="752"/>
        <w:gridCol w:w="192"/>
        <w:gridCol w:w="192"/>
        <w:gridCol w:w="278"/>
        <w:gridCol w:w="752"/>
        <w:gridCol w:w="146"/>
        <w:gridCol w:w="146"/>
        <w:gridCol w:w="228"/>
        <w:gridCol w:w="731"/>
        <w:gridCol w:w="158"/>
        <w:gridCol w:w="158"/>
        <w:gridCol w:w="228"/>
        <w:gridCol w:w="731"/>
        <w:gridCol w:w="29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Vesting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1,511</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3,374</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2,959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4,774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4,348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9,562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8,755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192</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176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384</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438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6,477</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13,320</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color w:val="231F20"/>
          <w:sz w:val="20"/>
        </w:rPr>
        <w:t xml:space="preserve">As of June 30, 2025, total </w:t>
      </w:r>
      <w:r>
        <w:rPr>
          <w:rFonts w:ascii="Times New Roman" w:hAnsi="Times New Roman"/>
          <w:color w:val="000000"/>
          <w:sz w:val="20"/>
        </w:rPr>
        <w:t xml:space="preserve">unrecognized </w:t>
      </w:r>
      <w:r>
        <w:rPr>
          <w:rFonts w:ascii="Times New Roman" w:hAnsi="Times New Roman"/>
          <w:color w:val="231F20"/>
          <w:sz w:val="20"/>
        </w:rPr>
        <w:t xml:space="preserve">compensation expense related to unvested Time Vesting Options was </w:t>
      </w:r>
      <w:r>
        <w:rPr>
          <w:rFonts w:ascii="Times New Roman" w:hAnsi="Times New Roman"/>
          <w:color w:val="000000"/>
          <w:sz w:val="20"/>
        </w:rPr>
        <w:t>$9,258</w:t>
      </w:r>
      <w:r>
        <w:rPr>
          <w:rFonts w:ascii="Times New Roman" w:hAnsi="Times New Roman"/>
          <w:color w:val="231F20"/>
          <w:sz w:val="20"/>
        </w:rPr>
        <w:t>, which is expected to be recognized over a weighted-average period of 3.95</w:t>
      </w:r>
      <w:r>
        <w:rPr>
          <w:rFonts w:ascii="Times New Roman" w:hAnsi="Times New Roman"/>
          <w:color w:val="000000"/>
          <w:sz w:val="20"/>
        </w:rPr>
        <w:t xml:space="preserve"> </w:t>
      </w:r>
      <w:r>
        <w:rPr>
          <w:rFonts w:ascii="Times New Roman" w:hAnsi="Times New Roman"/>
          <w:color w:val="231F20"/>
          <w:sz w:val="20"/>
        </w:rPr>
        <w:t>years.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left"/>
        <w:rPr>
          <w:rFonts w:ascii="Times New Roman" w:hAnsi="Times New Roman"/>
          <w:sz w:val="20"/>
        </w:rPr>
      </w:pPr>
      <w:r>
        <w:rPr>
          <w:rFonts w:ascii="Times New Roman" w:hAnsi="Times New Roman"/>
          <w:color w:val="231F20"/>
          <w:sz w:val="20"/>
        </w:rPr>
        <w:t xml:space="preserve">As of June 30, 2025, </w:t>
      </w:r>
      <w:r>
        <w:rPr>
          <w:rFonts w:ascii="Times New Roman" w:hAnsi="Times New Roman"/>
          <w:color w:val="000000"/>
          <w:sz w:val="20"/>
        </w:rPr>
        <w:t xml:space="preserve">there was no unrecognized compensation expense related to unvested </w:t>
      </w:r>
      <w:r>
        <w:rPr>
          <w:rFonts w:ascii="Times New Roman" w:hAnsi="Times New Roman"/>
          <w:color w:val="231F20"/>
          <w:sz w:val="20"/>
        </w:rPr>
        <w:t xml:space="preserve">Performance Vesting Options </w:t>
      </w:r>
      <w:r>
        <w:rPr>
          <w:rFonts w:ascii="Times New Roman" w:hAnsi="Times New Roman"/>
          <w:color w:val="000000"/>
          <w:sz w:val="20"/>
        </w:rPr>
        <w:t>as the completion of the IPO satisfied the performance condition and as a result, all outstanding</w:t>
      </w:r>
      <w:r>
        <w:rPr>
          <w:rFonts w:ascii="Times New Roman" w:hAnsi="Times New Roman"/>
          <w:color w:val="231F20"/>
          <w:sz w:val="20"/>
        </w:rPr>
        <w:t xml:space="preserve"> Performance Vesting Options vested.</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231F20"/>
          <w:sz w:val="20"/>
        </w:rPr>
        <w:t xml:space="preserve">As of June 30, 2025, total unrecognized compensation expense related to unvested RSUs was </w:t>
      </w:r>
      <w:r>
        <w:rPr>
          <w:rFonts w:ascii="Times New Roman" w:hAnsi="Times New Roman"/>
          <w:color w:val="000000"/>
          <w:sz w:val="20"/>
        </w:rPr>
        <w:t>$25,919</w:t>
      </w:r>
      <w:r>
        <w:rPr>
          <w:rFonts w:ascii="Times New Roman" w:hAnsi="Times New Roman"/>
          <w:color w:val="231F20"/>
          <w:sz w:val="20"/>
        </w:rPr>
        <w:t>, which is expected to be recognized over a weighted-average period of 2.34</w:t>
      </w:r>
      <w:r>
        <w:rPr>
          <w:rFonts w:ascii="Times New Roman" w:hAnsi="Times New Roman"/>
          <w:color w:val="000000"/>
          <w:sz w:val="20"/>
        </w:rPr>
        <w:t xml:space="preserve"> </w:t>
      </w:r>
      <w:r>
        <w:rPr>
          <w:rFonts w:ascii="Times New Roman" w:hAnsi="Times New Roman"/>
          <w:color w:val="231F20"/>
          <w:sz w:val="20"/>
        </w:rPr>
        <w:t>years.</w:t>
      </w:r>
    </w:p>
    <w:p>
      <w:pPr>
        <w:pStyle w:val="TextBody"/>
        <w:bidi w:val="0"/>
        <w:spacing w:before="0" w:after="120"/>
        <w:jc w:val="left"/>
        <w:rPr>
          <w:rFonts w:ascii="Times New Roman" w:hAnsi="Times New Roman"/>
          <w:sz w:val="20"/>
        </w:rPr>
      </w:pPr>
      <w:r>
        <w:rPr>
          <w:rFonts w:ascii="Times New Roman" w:hAnsi="Times New Roman"/>
          <w:color w:val="231F20"/>
          <w:sz w:val="20"/>
        </w:rPr>
        <w:t xml:space="preserve">As of June 30, 2025, total unrecognized compensation expense related to unvested stock purchase rights under the 2021 ESPP was </w:t>
      </w:r>
      <w:r>
        <w:rPr>
          <w:rFonts w:ascii="Times New Roman" w:hAnsi="Times New Roman"/>
          <w:color w:val="000000"/>
          <w:sz w:val="20"/>
        </w:rPr>
        <w:t>$289</w:t>
      </w:r>
      <w:r>
        <w:rPr>
          <w:rFonts w:ascii="Times New Roman" w:hAnsi="Times New Roman"/>
          <w:color w:val="231F20"/>
          <w:sz w:val="20"/>
        </w:rPr>
        <w:t>, which is expected to be recognized over a weighted-average period of 0.38</w:t>
      </w:r>
      <w:r>
        <w:rPr>
          <w:rFonts w:ascii="Times New Roman" w:hAnsi="Times New Roman"/>
          <w:color w:val="000000"/>
          <w:sz w:val="20"/>
        </w:rPr>
        <w:t xml:space="preserve"> </w:t>
      </w:r>
      <w:r>
        <w:rPr>
          <w:rFonts w:ascii="Times New Roman" w:hAnsi="Times New Roman"/>
          <w:color w:val="231F20"/>
          <w:sz w:val="20"/>
        </w:rPr>
        <w:t>years.</w:t>
      </w:r>
    </w:p>
    <w:p>
      <w:pPr>
        <w:pStyle w:val="TextBody"/>
        <w:bidi w:val="0"/>
        <w:spacing w:before="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13. Commitments and Contingencies</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Litigation</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We are involved from time to time in various legal proceedings related to employment practices, environmental issues, commercial disputes, antitrust and other regulatory matters concerning our business. We record liabilities for losses from legal proceedings when we determine that it is probable that the outcome in a legal proceeding will be unfavorable and the amount of loss can be reasonably estimated. The Company does not believe that any proceeding or litigation, either alone or in the aggregate, will have a material adverse effect on the Company’s financial position, results of operations or cash flows; it is possible that an unfavorable outcome of some or all of the matters, however unlikely, could result in a charge that might be material to the results of an individual fiscal quarter or year.</w:t>
      </w:r>
    </w:p>
    <w:p>
      <w:pPr>
        <w:pStyle w:val="TextBody"/>
        <w:bidi w:val="0"/>
        <w:jc w:val="left"/>
        <w:rPr>
          <w:rFonts w:ascii="Times New Roman" w:hAnsi="Times New Roman"/>
          <w:b/>
          <w:color w:val="231F20"/>
          <w:sz w:val="20"/>
        </w:rPr>
      </w:pPr>
      <w:r>
        <w:rPr>
          <w:rFonts w:ascii="Times New Roman" w:hAnsi="Times New Roman"/>
          <w:b/>
          <w:color w:val="231F20"/>
          <w:sz w:val="20"/>
        </w:rPr>
        <w:t>Insurance</w:t>
      </w:r>
    </w:p>
    <w:p>
      <w:pPr>
        <w:pStyle w:val="TextBody"/>
        <w:bidi w:val="0"/>
        <w:spacing w:before="120" w:after="120"/>
        <w:jc w:val="left"/>
        <w:rPr>
          <w:rFonts w:ascii="Times New Roman" w:hAnsi="Times New Roman"/>
          <w:sz w:val="20"/>
        </w:rPr>
      </w:pPr>
      <w:r>
        <w:rPr>
          <w:rFonts w:ascii="Times New Roman" w:hAnsi="Times New Roman"/>
          <w:color w:val="231F20"/>
          <w:sz w:val="20"/>
        </w:rPr>
        <w:t xml:space="preserve">We carry a broad range of insurance coverage, including general and business auto liability, commercial property, workers’ compensation, cyber risk, and general umbrella policies. As of June 30, 2025 and December 31, 2024, we accrued </w:t>
      </w:r>
      <w:r>
        <w:rPr>
          <w:rFonts w:ascii="Times New Roman" w:hAnsi="Times New Roman"/>
          <w:color w:val="000000"/>
          <w:sz w:val="20"/>
        </w:rPr>
        <w:t xml:space="preserve">$6,468 and </w:t>
      </w:r>
      <w:r>
        <w:rPr>
          <w:rFonts w:ascii="Times New Roman" w:hAnsi="Times New Roman"/>
          <w:color w:val="231F20"/>
          <w:sz w:val="20"/>
        </w:rPr>
        <w:t xml:space="preserve">$4,803, respectively, for assessments on insurance claims filed, which are included in other accrued expenses in the accompanying consolidated balance sheets. As of June 30, 2025 and December 31, 2024, we recorded </w:t>
      </w:r>
      <w:r>
        <w:rPr>
          <w:rFonts w:ascii="Times New Roman" w:hAnsi="Times New Roman"/>
          <w:color w:val="000000"/>
          <w:sz w:val="20"/>
        </w:rPr>
        <w:t>$5,622</w:t>
      </w:r>
      <w:r>
        <w:rPr>
          <w:rFonts w:ascii="Times New Roman" w:hAnsi="Times New Roman"/>
          <w:color w:val="231F20"/>
          <w:sz w:val="20"/>
        </w:rPr>
        <w:t xml:space="preserve"> </w:t>
      </w:r>
      <w:r>
        <w:rPr>
          <w:rFonts w:ascii="Times New Roman" w:hAnsi="Times New Roman"/>
          <w:color w:val="000000"/>
          <w:sz w:val="20"/>
        </w:rPr>
        <w:t>and</w:t>
      </w:r>
      <w:r>
        <w:rPr>
          <w:rFonts w:ascii="Times New Roman" w:hAnsi="Times New Roman"/>
          <w:color w:val="231F20"/>
          <w:sz w:val="20"/>
        </w:rPr>
        <w:t xml:space="preserve"> $4,250, respectively, in receivables from its non-healthcare insurance carriers related to these insurance claims, which are included in other receivables in the accompanying consolidated balance sheets. The receivables are paid when the claim is finalized, and the reserved amounts on these claims are expected to be paid within one year.</w:t>
      </w:r>
    </w:p>
    <w:p>
      <w:pPr>
        <w:pStyle w:val="TextBody"/>
        <w:bidi w:val="0"/>
        <w:spacing w:before="0" w:after="12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14. Segment Information</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Company operates as one operating segment where it derives its revenues from activities related to providing car wash services at its car wash locations that are geographically diversified throughout the United States and have similar economic characteristics and nature of services.</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To assess consolidated performance the chief operating decision maker (“CODM”), who is the Chief Executive Officer, evaluates the operating results and performance through net income. Our CODM regularly reviews net income as reported on the consolidated statement of operations and comprehensive income and total assets as reported on the consolidated balance sheet for purposes of evaluating performance, allocating resources, setting incentive compensation targets, and planning and forecasting future periods. As presented on the consolidated statements of operations and comprehensive income, the CODM views consolidated expense information related to the cost of labor and chemicals, other store operating expenses, and general and administrative expenses to be significant and there are no other significant segment expenses or items that would require disclosure.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color w:val="000000"/>
          <w:sz w:val="20"/>
          <w:u w:val="single"/>
        </w:rPr>
      </w:pPr>
      <w:bookmarkStart w:id="10" w:name="i_item2"/>
      <w:bookmarkEnd w:id="10"/>
      <w:r>
        <w:rPr>
          <w:rFonts w:ascii="Times New Roman" w:hAnsi="Times New Roman"/>
          <w:b/>
          <w:color w:val="000000"/>
          <w:sz w:val="20"/>
          <w:u w:val="single"/>
        </w:rPr>
        <w:t>Item 2. Management’s Discussion and Analysis of Financial Condition and Results of Operations.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consolidated financial statements and related notes included elsewhere in this Quarterly Report on Form 10-Q and the audited consolidated financial statements and related notes included in our 2024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other parts of this Quarterly Report on Form 10-Q and in Part I, Item 1A. “Risk Factors” and in Part II. Item 7. “Management’s Discussion and Analysis of Financial Condition and Results of Operations” of our 2024 Form 10-K.</w:t>
      </w:r>
    </w:p>
    <w:p>
      <w:pPr>
        <w:pStyle w:val="TextBody"/>
        <w:bidi w:val="0"/>
        <w:jc w:val="left"/>
        <w:rPr>
          <w:rFonts w:ascii="Times New Roman" w:hAnsi="Times New Roman"/>
          <w:b/>
          <w:color w:val="000000"/>
          <w:sz w:val="20"/>
        </w:rPr>
      </w:pPr>
      <w:r>
        <w:rPr>
          <w:rFonts w:ascii="Times New Roman" w:hAnsi="Times New Roman"/>
          <w:b/>
          <w:color w:val="000000"/>
          <w:sz w:val="20"/>
        </w:rPr>
        <w:t>Who We Are</w:t>
      </w:r>
    </w:p>
    <w:p>
      <w:pPr>
        <w:pStyle w:val="TextBody"/>
        <w:bidi w:val="0"/>
        <w:spacing w:before="120" w:after="120"/>
        <w:jc w:val="left"/>
        <w:rPr>
          <w:rFonts w:ascii="Times New Roman" w:hAnsi="Times New Roman"/>
          <w:sz w:val="20"/>
        </w:rPr>
      </w:pPr>
      <w:r>
        <w:rPr>
          <w:rFonts w:ascii="Times New Roman" w:hAnsi="Times New Roman"/>
          <w:color w:val="000000"/>
          <w:sz w:val="20"/>
        </w:rPr>
        <w:t>Mister Car Wash, Inc. is the nation's leading car wash brand, primarily offering express exterior cleaning services, with interior cleaning services at select locations, across 522 car washes in 21 states as of June 30, 2025. We offer a monthly subscription program, which we call the Unlimited Wash Club</w:t>
      </w:r>
      <w:r>
        <w:rPr>
          <w:rFonts w:ascii="Times New Roman" w:hAnsi="Times New Roman"/>
          <w:color w:val="000000"/>
          <w:sz w:val="16"/>
        </w:rPr>
        <w:t>®</w:t>
      </w:r>
      <w:r>
        <w:rPr>
          <w:rFonts w:ascii="Times New Roman" w:hAnsi="Times New Roman"/>
          <w:color w:val="000000"/>
          <w:sz w:val="20"/>
        </w:rPr>
        <w:t xml:space="preserve"> (“UWC”), as a flexible, quick, and convenient option for customers to keep their cars clean. Our scale and over 25 years of innovation allow us to drive operating efficiencies and invest in training, infrastructure, and technology that improve speed of service, quality, and sustainability and realize strong financial performance.</w:t>
      </w:r>
    </w:p>
    <w:p>
      <w:pPr>
        <w:pStyle w:val="TextBody"/>
        <w:bidi w:val="0"/>
        <w:jc w:val="left"/>
        <w:rPr>
          <w:rFonts w:ascii="Times New Roman" w:hAnsi="Times New Roman"/>
          <w:b/>
          <w:color w:val="000000"/>
          <w:sz w:val="20"/>
        </w:rPr>
      </w:pPr>
      <w:r>
        <w:rPr>
          <w:rFonts w:ascii="Times New Roman" w:hAnsi="Times New Roman"/>
          <w:b/>
          <w:color w:val="000000"/>
          <w:sz w:val="20"/>
        </w:rPr>
        <w:t>Factors Affecting Our Business and Trends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believe that our business and growth depend on a number of factors that present significant opportunities for us and may involve risks and challenges, including those discussed below and in Part I, Item 1A. “Risk Factors” of our 2024 Form 10-K.</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Growth in comparable store sales.</w:t>
            </w:r>
            <w:r>
              <w:rPr>
                <w:rFonts w:ascii="Times New Roman" w:hAnsi="Times New Roman"/>
                <w:color w:val="000000"/>
                <w:sz w:val="20"/>
              </w:rPr>
              <w:t> Comparable store sales have been a driver of our net revenue growth. We will seek to continue to grow our comparable store sales by increasing the number of UWC Members, maximizing efficiency and throughput of our car wash locations, optimizing marketing spend to add new customers, and increasing customer visitation frequency.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Number and loyalty of UWC Members</w:t>
            </w:r>
            <w:r>
              <w:rPr>
                <w:rFonts w:ascii="Times New Roman" w:hAnsi="Times New Roman"/>
                <w:color w:val="000000"/>
                <w:sz w:val="20"/>
              </w:rPr>
              <w:t xml:space="preserve">. The UWC program is an important element of our business. UWC Members contribute a large portion of our net revenue and provide recurring revenue through their monthly membership fees.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Labor management.</w:t>
            </w:r>
            <w:r>
              <w:rPr>
                <w:rFonts w:ascii="Times New Roman" w:hAnsi="Times New Roman"/>
                <w:color w:val="000000"/>
                <w:sz w:val="20"/>
              </w:rPr>
              <w:t> Hiring and retaining skilled team members and experienced management represents one of our largest investments. We believe people are the key to our success and we have been able to successfully attract and retain engaged, high-quality team members by paying competitive wages, offering attractive benefit packages, and providing robust training and development opportunities. While the competition for skilled labor is intense and subject to high turnover, we believe our approach to wages and benefits will continue to allow us to attract suitable team members and management to support our growth.</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the United States government recently announced tariffs on goods imported from various countries to the United States. Countries subject to such tariffs have imposed or may in the future impose reciprocal or retaliator. While we believe in the strength of our business, the potential macroeconomic impacts of these actions, if implemented, are difficult to predict and may have a material adverse impact on our business, results of operations and financial condition. Specifically, negative macroeconomic impact on consumers affecting general discretionary income, consumer confidence, or purchasing patterns may reduce demand for our services.</w:t>
      </w:r>
    </w:p>
    <w:p>
      <w:pPr>
        <w:pStyle w:val="TextBody"/>
        <w:bidi w:val="0"/>
        <w:jc w:val="left"/>
        <w:rPr>
          <w:rFonts w:ascii="Times New Roman" w:hAnsi="Times New Roman"/>
          <w:b/>
          <w:color w:val="000000"/>
          <w:sz w:val="20"/>
        </w:rPr>
      </w:pPr>
      <w:r>
        <w:rPr>
          <w:rFonts w:ascii="Times New Roman" w:hAnsi="Times New Roman"/>
          <w:b/>
          <w:color w:val="000000"/>
          <w:sz w:val="20"/>
        </w:rPr>
        <w:t>Factors Affecting the Comparability of Our 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results have been affected by, and may in the future be affected by, the following factors, which must be understood in order to assess the comparability of our period-to-period financial performance and condition.</w:t>
      </w:r>
    </w:p>
    <w:p>
      <w:pPr>
        <w:pStyle w:val="Heading2"/>
        <w:bidi w:val="0"/>
        <w:jc w:val="left"/>
        <w:rPr>
          <w:rFonts w:ascii="Times New Roman" w:hAnsi="Times New Roman"/>
          <w:b/>
          <w:i/>
          <w:color w:val="000000"/>
          <w:sz w:val="20"/>
        </w:rPr>
      </w:pPr>
      <w:r>
        <w:rPr>
          <w:rFonts w:ascii="Times New Roman" w:hAnsi="Times New Roman"/>
          <w:b/>
          <w:i/>
          <w:color w:val="000000"/>
          <w:sz w:val="20"/>
        </w:rPr>
        <w:t>Greenfield Location Development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While we continue to explore and evaluate acquisition opportunities, more recently, a component of our growth strategy has been to grow through greenfield development of Mister Car Wash locations, with particular focus on Express Exterior Locations, and we anticipate further pursuit of this strategy in the future. We believe such a strategy will provide a more controllable pipeline of unit growth for future locations in existing and adjacent markets.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comparability of our results may be impacted by the inclusion of financial performance of greenfield locations that have not delivered a full fiscal year of financial results nor matured to average unit volumes, which we typically expect after approximately three full years of operation.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Performance Indicators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prepare and analyze various operating and financial data to assess the performance of our business and to help in the allocation of our resources. The key operating performance and financial metrics and indicators we use are set forth below, as of and for the three and six months ended June 30, 2025 and 2024.</w:t>
      </w:r>
    </w:p>
    <w:tbl>
      <w:tblPr>
        <w:tblW w:w="9518" w:type="dxa"/>
        <w:jc w:val="left"/>
        <w:tblInd w:w="0" w:type="dxa"/>
        <w:tblLayout w:type="fixed"/>
        <w:tblCellMar>
          <w:top w:w="28" w:type="dxa"/>
          <w:left w:w="28" w:type="dxa"/>
          <w:bottom w:w="28" w:type="dxa"/>
          <w:right w:w="28" w:type="dxa"/>
        </w:tblCellMar>
      </w:tblPr>
      <w:tblGrid>
        <w:gridCol w:w="3796"/>
        <w:gridCol w:w="146"/>
        <w:gridCol w:w="235"/>
        <w:gridCol w:w="754"/>
        <w:gridCol w:w="302"/>
        <w:gridCol w:w="162"/>
        <w:gridCol w:w="235"/>
        <w:gridCol w:w="754"/>
        <w:gridCol w:w="271"/>
        <w:gridCol w:w="146"/>
        <w:gridCol w:w="211"/>
        <w:gridCol w:w="781"/>
        <w:gridCol w:w="271"/>
        <w:gridCol w:w="146"/>
        <w:gridCol w:w="211"/>
        <w:gridCol w:w="781"/>
        <w:gridCol w:w="316"/>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and Operating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Location count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Comparable store sales growth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UWC Members (in thousands,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UWC sales as a percentage of total wash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28,595</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87,046</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163,864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Heading2"/>
        <w:bidi w:val="0"/>
        <w:spacing w:before="120" w:after="283"/>
        <w:jc w:val="left"/>
        <w:rPr>
          <w:rFonts w:ascii="Times New Roman" w:hAnsi="Times New Roman"/>
          <w:b/>
          <w:i/>
          <w:color w:val="000000"/>
          <w:sz w:val="20"/>
        </w:rPr>
      </w:pPr>
      <w:r>
        <w:rPr>
          <w:rFonts w:ascii="Times New Roman" w:hAnsi="Times New Roman"/>
          <w:b/>
          <w:i/>
          <w:color w:val="000000"/>
          <w:sz w:val="20"/>
        </w:rPr>
        <w:t>Location Count (end of period)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location count refers to the total number of car wash locations at the end of a period, inclusive of new greenfield locations, acquired locations and offset by closed locations. The total number of locations that we operate, as well as the timing of location openings, acquisitions, and closings, have, and will continue to have, an impact on our performance. In the three and six months ended June 30, 2025, we increased our location count by 4 and 8 greenfield locations, respectively.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Express Exterior Locations, which offer express exterior cleaning services, comprise 459 of our current locations and our Interior Cleaning Locations, which offer both express exterior cleaning services and interior cleaning services, comprise 63 of our current locations.</w:t>
      </w:r>
    </w:p>
    <w:p>
      <w:pPr>
        <w:pStyle w:val="Heading2"/>
        <w:bidi w:val="0"/>
        <w:jc w:val="left"/>
        <w:rPr>
          <w:rFonts w:ascii="Times New Roman" w:hAnsi="Times New Roman"/>
          <w:b/>
          <w:i/>
          <w:color w:val="000000"/>
          <w:sz w:val="20"/>
        </w:rPr>
      </w:pPr>
      <w:r>
        <w:rPr>
          <w:rFonts w:ascii="Times New Roman" w:hAnsi="Times New Roman"/>
          <w:b/>
          <w:i/>
          <w:color w:val="000000"/>
          <w:sz w:val="20"/>
        </w:rPr>
        <w:t>Comparable Store Sales Growth</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consider a location a comparable store on the first day of the 13th full calendar month following a greenfield location’s first day of operations, or for acquired locations, the first day of the 13th full calendar month following the date of acquisition. A location converted from an Interior Cleaning Location format to an Express Exterior Location format is excluded when the location did not offer interior cleaning services in the current period but did offer interior cleaning services in the prior year period. Comparable store sales growth is the percentage change in total wash sales of all comparable store car washes.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Increasing the number of new locations is a component of our growth strategy and as we continue to execute on our growth strategy, we expect that a significant portion of our sales growth will be attributable to non-comparable store sales. Accordingly, comparable store sales are only one measure we use to assess the success of our growth strategy.</w:t>
      </w:r>
    </w:p>
    <w:p>
      <w:pPr>
        <w:pStyle w:val="Heading2"/>
        <w:bidi w:val="0"/>
        <w:jc w:val="left"/>
        <w:rPr>
          <w:rFonts w:ascii="Times New Roman" w:hAnsi="Times New Roman"/>
          <w:b/>
          <w:i/>
          <w:color w:val="000000"/>
          <w:sz w:val="20"/>
        </w:rPr>
      </w:pPr>
      <w:r>
        <w:rPr>
          <w:rFonts w:ascii="Times New Roman" w:hAnsi="Times New Roman"/>
          <w:b/>
          <w:i/>
          <w:color w:val="000000"/>
          <w:sz w:val="20"/>
        </w:rPr>
        <w:t>UWC Members (end of period)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Members of our monthly subscription service are known as Unlimited Wash Club Members, or UWC Members. We view the number of UWC Members and the growth in the number of UWC Members on a net basis from period to period as key indicators of our revenue growth. The number of UWC Members has grown over time as we have acquired new customers and retained previously acquired customers. There were approximately 2.2 million UWC Members as of June 30, 2025. UWC Members grew by approximately 5% from December 31, 2024 through June 30, 2025. </w:t>
      </w:r>
    </w:p>
    <w:p>
      <w:pPr>
        <w:pStyle w:val="Heading2"/>
        <w:bidi w:val="0"/>
        <w:jc w:val="left"/>
        <w:rPr>
          <w:rFonts w:ascii="Times New Roman" w:hAnsi="Times New Roman"/>
          <w:b/>
          <w:i/>
          <w:color w:val="000000"/>
          <w:sz w:val="20"/>
        </w:rPr>
      </w:pPr>
      <w:r>
        <w:rPr>
          <w:rFonts w:ascii="Times New Roman" w:hAnsi="Times New Roman"/>
          <w:b/>
          <w:i/>
          <w:color w:val="000000"/>
          <w:sz w:val="20"/>
        </w:rPr>
        <w:t>UWC Sales as a Percentage of Total Wash Sales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UWC sales as a percentage of total wash sales represents the penetration of our subscription membership program as a percentage of our overall wash sales. Total wash sales are defined as the net revenue generated from express exterior cleaning services and interior cleaning services for both UWC Members and retail customers. UWC sales as a percentage of total wash sales is calculated as sales generated from UWC Members as a percentage of total wash sales. UWC sales were 76% and 72% of our total wash sales for the three months ended June 30, 2025 and 2024, respectively. UWC sales were 74% and 73% of our total wash sales for the six months ended June 30, 2025 and 2024, respectively.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Heading2"/>
        <w:bidi w:val="0"/>
        <w:spacing w:before="120" w:after="283"/>
        <w:jc w:val="left"/>
        <w:rPr>
          <w:rFonts w:ascii="Times New Roman" w:hAnsi="Times New Roman"/>
          <w:b/>
          <w:i/>
          <w:color w:val="000000"/>
          <w:sz w:val="20"/>
        </w:rPr>
      </w:pPr>
      <w:r>
        <w:rPr>
          <w:rFonts w:ascii="Times New Roman" w:hAnsi="Times New Roman"/>
          <w:b/>
          <w:i/>
          <w:color w:val="000000"/>
          <w:sz w:val="20"/>
        </w:rPr>
        <w:t>Adjusted EBITDA and Adjusted EBITDA Margin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Adjusted EBITDA is a non-GAAP measure of our operating performance and should not be considered as an alternative to net income as a measure of financial performance or any other performance measure derived in accordance with generally accepted accounting principles in the United States of America (“U.S. GAAP”). Adjusted EBITDA is defined as net income before interest expense, net, income tax provision, depreciation and amortization expense, loss on sale of assets, stock-based compensation expense, acquisition expenses, non-cash rent expense, debt refinancing costs, and other nonrecurring charges. Adjusted EBITDA margin is defined as Adjusted EBITDA divided by net revenues for a given period.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present Adjusted EBITDA because we believe it assists investors and analysts in comparing our operating performance across reporting periods on a consistent basis by excluding items that we do not believe are indicative of our ongoing operating performance. You are encouraged to evaluate these adjustments and the reasons we consider them appropriate for supplemental analysis. In evaluating Adjusted EBITDA, you should be aware that in the future we may incur expenses that are the same as or similar to some of the adjustments in our presentation of Adjusted EBITDA. Our presentation of Adjusted EBITDA should not be construed as an inference that our future results will be unaffected by unusual or non-recurring items. There can be no assurance that we will not modify the presentation of Adjusted EBITDA in future periods, and any such modification may be material. In addition, Adjusted EBITDA may not be comparable to similarly titled measures used by other companies in our industry or across different industries.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Management believes Adjusted EBITDA is helpful in highlighting trends in our core operating performance compared to other measures, which can differ significantly depending on long-term strategic decisions regarding capital structure, the tax jurisdictions in which companies operate and capital investments. We also use Adjusted EBITDA in connection with establishing discretionary annual incentive compensation; to evaluate in conjunction with U.S. GAAP measures of performance, the effectiveness of our business strategies; to make budgeting decisions; and because our Credit Agreement uses measures similar to Adjusted EBITDA to measure our compliance with certain covenants.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Adjusted EBITDA and Adjusted EBITDA Margin are not recognized terms under GAAP and should not be considered as a substitute for net income, net income margin, or any other financial measure presented in accordance with GAAP. Adjusted EBITDA has its limitations as an analytical tool, and you should not consider it in isolation or as a substitute for analysis of our results as reported under U.S. GAAP.</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is a reconciliation of net income to Adjusted EBITDA for the periods presented.</w:t>
      </w:r>
    </w:p>
    <w:tbl>
      <w:tblPr>
        <w:tblW w:w="9198" w:type="dxa"/>
        <w:jc w:val="left"/>
        <w:tblInd w:w="0" w:type="dxa"/>
        <w:tblLayout w:type="fixed"/>
        <w:tblCellMar>
          <w:top w:w="28" w:type="dxa"/>
          <w:left w:w="28" w:type="dxa"/>
          <w:bottom w:w="28" w:type="dxa"/>
          <w:right w:w="28" w:type="dxa"/>
        </w:tblCellMar>
      </w:tblPr>
      <w:tblGrid>
        <w:gridCol w:w="3401"/>
        <w:gridCol w:w="146"/>
        <w:gridCol w:w="214"/>
        <w:gridCol w:w="795"/>
        <w:gridCol w:w="276"/>
        <w:gridCol w:w="148"/>
        <w:gridCol w:w="214"/>
        <w:gridCol w:w="795"/>
        <w:gridCol w:w="271"/>
        <w:gridCol w:w="146"/>
        <w:gridCol w:w="211"/>
        <w:gridCol w:w="781"/>
        <w:gridCol w:w="271"/>
        <w:gridCol w:w="146"/>
        <w:gridCol w:w="211"/>
        <w:gridCol w:w="781"/>
        <w:gridCol w:w="391"/>
      </w:tblGrid>
      <w:tr>
        <w:trPr/>
        <w:tc>
          <w:tcPr>
            <w:tcW w:w="3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28,595</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sale of assets, net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 expenses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rent expense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refinancing costs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retention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87,046</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88,692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172,695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265,415</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527,071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494,226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Consists of losses on the disposition of assets associated with sale leaseback transactions, the sale of property and equipment, and store closures or the impairments associated with store closures and relocations.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(b)</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non-cash expense associated with our stock-based compensation as well as related taxes.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(c)</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expenses incurred in strategic acquisitions and greenfield development. Expenses include professional fees for accounting and auditing services, appraisals, legal fees and financial services, dead deal costs, one-time costs associated with supplies for rebranding the acquired stores, and distinct travel expenses for related, distinct integration efforts by team members who are not part of our dedicated integration team.</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(d)</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the difference between cash paid for rent expense and U.S. GAAP rent expense.</w:t>
      </w:r>
    </w:p>
    <w:p>
      <w:pPr>
        <w:pStyle w:val="TextBody"/>
        <w:bidi w:val="0"/>
        <w:spacing w:before="0" w:after="0"/>
        <w:jc w:val="left"/>
        <w:rPr>
          <w:rFonts w:ascii="Times New Roman" w:hAnsi="Times New Roman"/>
          <w:color w:val="231F20"/>
          <w:sz w:val="16"/>
        </w:rPr>
      </w:pPr>
      <w:r>
        <w:rPr>
          <w:rFonts w:ascii="Times New Roman" w:hAnsi="Times New Roman"/>
          <w:color w:val="231F20"/>
          <w:sz w:val="16"/>
        </w:rPr>
        <w:t>(e)</w:t>
      </w:r>
    </w:p>
    <w:p>
      <w:pPr>
        <w:pStyle w:val="TextBody"/>
        <w:bidi w:val="0"/>
        <w:spacing w:before="0" w:after="0"/>
        <w:jc w:val="left"/>
        <w:rPr>
          <w:rFonts w:ascii="Times New Roman" w:hAnsi="Times New Roman"/>
          <w:color w:val="231F20"/>
          <w:sz w:val="16"/>
        </w:rPr>
      </w:pPr>
      <w:r>
        <w:rPr>
          <w:rFonts w:ascii="Times New Roman" w:hAnsi="Times New Roman"/>
          <w:color w:val="231F20"/>
          <w:sz w:val="16"/>
        </w:rPr>
        <w:t>Represents non-deferred legal fees and other expenses related to Credit Agreement amendments, and loss on extinguishment of debt associated with amendments to the debt facilities.</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(f)</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Consists of other items as determined by management not to be reflective of our ongoing operating performance, such as costs associated with severance pay, legal settlements and legal fees related to contract terminations, and nonrecurring strategic project costs.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left"/>
        <w:rPr>
          <w:rFonts w:ascii="Times New Roman" w:hAnsi="Times New Roman"/>
          <w:sz w:val="20"/>
        </w:rPr>
      </w:pPr>
      <w:r>
        <w:rPr>
          <w:rFonts w:ascii="Times New Roman" w:hAnsi="Times New Roman"/>
          <w:b/>
          <w:color w:val="000000"/>
          <w:sz w:val="20"/>
        </w:rPr>
        <w:t>Results of Operations for the Three Months Ended June 30, 2025 and 2024</w:t>
      </w:r>
      <w:r>
        <w:rPr>
          <w:rFonts w:ascii="Times New Roman" w:hAnsi="Times New Roman"/>
          <w:color w:val="000000"/>
          <w:sz w:val="20"/>
        </w:rPr>
        <w:t xml:space="preserve"> </w:t>
      </w:r>
    </w:p>
    <w:tbl>
      <w:tblPr>
        <w:tblW w:w="7970" w:type="dxa"/>
        <w:jc w:val="left"/>
        <w:tblInd w:w="0" w:type="dxa"/>
        <w:tblLayout w:type="fixed"/>
        <w:tblCellMar>
          <w:top w:w="28" w:type="dxa"/>
          <w:left w:w="28" w:type="dxa"/>
          <w:bottom w:w="28" w:type="dxa"/>
          <w:right w:w="28" w:type="dxa"/>
        </w:tblCellMar>
      </w:tblPr>
      <w:tblGrid>
        <w:gridCol w:w="2711"/>
        <w:gridCol w:w="146"/>
        <w:gridCol w:w="211"/>
        <w:gridCol w:w="781"/>
        <w:gridCol w:w="166"/>
        <w:gridCol w:w="146"/>
        <w:gridCol w:w="197"/>
        <w:gridCol w:w="569"/>
        <w:gridCol w:w="331"/>
        <w:gridCol w:w="146"/>
        <w:gridCol w:w="211"/>
        <w:gridCol w:w="781"/>
        <w:gridCol w:w="146"/>
        <w:gridCol w:w="146"/>
        <w:gridCol w:w="197"/>
        <w:gridCol w:w="569"/>
        <w:gridCol w:w="516"/>
      </w:tblGrid>
      <w:tr>
        <w:trPr/>
        <w:tc>
          <w:tcPr>
            <w:tcW w:w="2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w:t>
              <w:br/>
              <w:t>Revenue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w:t>
              <w:br/>
              <w:t>Revenue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labor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store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sale of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Heading2"/>
        <w:bidi w:val="0"/>
        <w:spacing w:before="120" w:after="120"/>
        <w:jc w:val="left"/>
        <w:rPr>
          <w:rFonts w:ascii="Times New Roman" w:hAnsi="Times New Roman"/>
          <w:b/>
          <w:i/>
          <w:color w:val="000000"/>
          <w:sz w:val="20"/>
        </w:rPr>
      </w:pPr>
      <w:r>
        <w:rPr>
          <w:rFonts w:ascii="Times New Roman" w:hAnsi="Times New Roman"/>
          <w:b/>
          <w:i/>
          <w:color w:val="000000"/>
          <w:sz w:val="20"/>
        </w:rPr>
        <w:t>Net Revenues</w:t>
      </w:r>
    </w:p>
    <w:tbl>
      <w:tblPr>
        <w:tblW w:w="7017" w:type="dxa"/>
        <w:jc w:val="left"/>
        <w:tblInd w:w="0" w:type="dxa"/>
        <w:tblLayout w:type="fixed"/>
        <w:tblCellMar>
          <w:top w:w="28" w:type="dxa"/>
          <w:left w:w="28" w:type="dxa"/>
          <w:bottom w:w="28" w:type="dxa"/>
          <w:right w:w="28" w:type="dxa"/>
        </w:tblCellMar>
      </w:tblPr>
      <w:tblGrid>
        <w:gridCol w:w="1711"/>
        <w:gridCol w:w="146"/>
        <w:gridCol w:w="226"/>
        <w:gridCol w:w="839"/>
        <w:gridCol w:w="156"/>
        <w:gridCol w:w="156"/>
        <w:gridCol w:w="226"/>
        <w:gridCol w:w="839"/>
        <w:gridCol w:w="146"/>
        <w:gridCol w:w="146"/>
        <w:gridCol w:w="211"/>
        <w:gridCol w:w="676"/>
        <w:gridCol w:w="146"/>
        <w:gridCol w:w="146"/>
        <w:gridCol w:w="380"/>
        <w:gridCol w:w="551"/>
        <w:gridCol w:w="316"/>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265,415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net revenues was primarily attributable to growth in UWC Members, wash package mix, and the year-over-year addition of 31 locations.</w:t>
      </w:r>
    </w:p>
    <w:p>
      <w:pPr>
        <w:pStyle w:val="Heading2"/>
        <w:bidi w:val="0"/>
        <w:spacing w:before="120" w:after="120"/>
        <w:jc w:val="left"/>
        <w:rPr>
          <w:rFonts w:ascii="Times New Roman" w:hAnsi="Times New Roman"/>
          <w:b/>
          <w:i/>
          <w:color w:val="000000"/>
          <w:sz w:val="20"/>
        </w:rPr>
      </w:pPr>
      <w:r>
        <w:rPr>
          <w:rFonts w:ascii="Times New Roman" w:hAnsi="Times New Roman"/>
          <w:b/>
          <w:i/>
          <w:color w:val="000000"/>
          <w:sz w:val="20"/>
        </w:rPr>
        <w:t>Cost of Labor and Chemicals</w:t>
      </w:r>
    </w:p>
    <w:tbl>
      <w:tblPr>
        <w:tblW w:w="7756" w:type="dxa"/>
        <w:jc w:val="left"/>
        <w:tblInd w:w="0" w:type="dxa"/>
        <w:tblLayout w:type="fixed"/>
        <w:tblCellMar>
          <w:top w:w="28" w:type="dxa"/>
          <w:left w:w="28" w:type="dxa"/>
          <w:bottom w:w="28" w:type="dxa"/>
          <w:right w:w="28" w:type="dxa"/>
        </w:tblCellMar>
      </w:tblPr>
      <w:tblGrid>
        <w:gridCol w:w="2371"/>
        <w:gridCol w:w="146"/>
        <w:gridCol w:w="235"/>
        <w:gridCol w:w="754"/>
        <w:gridCol w:w="302"/>
        <w:gridCol w:w="162"/>
        <w:gridCol w:w="235"/>
        <w:gridCol w:w="754"/>
        <w:gridCol w:w="271"/>
        <w:gridCol w:w="146"/>
        <w:gridCol w:w="226"/>
        <w:gridCol w:w="615"/>
        <w:gridCol w:w="146"/>
        <w:gridCol w:w="146"/>
        <w:gridCol w:w="380"/>
        <w:gridCol w:w="551"/>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labor and 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76,627</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increase in cost of labor and chemicals was primarily attributable to an increase in volume and the year-over-year addition of 31 locations, as well as increased store labor rates, partially offset by labor optimization and lower chemical costs due to new formulations and strategic partnerships. </w:t>
      </w:r>
    </w:p>
    <w:p>
      <w:pPr>
        <w:pStyle w:val="Heading2"/>
        <w:bidi w:val="0"/>
        <w:spacing w:before="120" w:after="120"/>
        <w:jc w:val="left"/>
        <w:rPr>
          <w:rFonts w:ascii="Times New Roman" w:hAnsi="Times New Roman"/>
          <w:b/>
          <w:i/>
          <w:color w:val="000000"/>
          <w:sz w:val="20"/>
        </w:rPr>
      </w:pPr>
      <w:r>
        <w:rPr>
          <w:rFonts w:ascii="Times New Roman" w:hAnsi="Times New Roman"/>
          <w:b/>
          <w:i/>
          <w:color w:val="000000"/>
          <w:sz w:val="20"/>
        </w:rPr>
        <w:t>Other Store Operating Expenses</w:t>
      </w:r>
    </w:p>
    <w:tbl>
      <w:tblPr>
        <w:tblW w:w="7997" w:type="dxa"/>
        <w:jc w:val="left"/>
        <w:tblInd w:w="0" w:type="dxa"/>
        <w:tblLayout w:type="fixed"/>
        <w:tblCellMar>
          <w:top w:w="28" w:type="dxa"/>
          <w:left w:w="28" w:type="dxa"/>
          <w:bottom w:w="28" w:type="dxa"/>
          <w:right w:w="28" w:type="dxa"/>
        </w:tblCellMar>
      </w:tblPr>
      <w:tblGrid>
        <w:gridCol w:w="2611"/>
        <w:gridCol w:w="146"/>
        <w:gridCol w:w="224"/>
        <w:gridCol w:w="832"/>
        <w:gridCol w:w="288"/>
        <w:gridCol w:w="155"/>
        <w:gridCol w:w="224"/>
        <w:gridCol w:w="720"/>
        <w:gridCol w:w="271"/>
        <w:gridCol w:w="146"/>
        <w:gridCol w:w="226"/>
        <w:gridCol w:w="615"/>
        <w:gridCol w:w="146"/>
        <w:gridCol w:w="146"/>
        <w:gridCol w:w="380"/>
        <w:gridCol w:w="551"/>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store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108,850</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other store operating expenses was primarily attributable to the year-over-year addition of 31 locations, increased utilities and maintenance expenses, as well as additional rent expense for the addition of 36 net new land and building leases between periods.</w:t>
      </w:r>
    </w:p>
    <w:p>
      <w:pPr>
        <w:pStyle w:val="Heading2"/>
        <w:bidi w:val="0"/>
        <w:spacing w:before="120" w:after="120"/>
        <w:jc w:val="left"/>
        <w:rPr>
          <w:rFonts w:ascii="Times New Roman" w:hAnsi="Times New Roman"/>
          <w:b/>
          <w:i/>
          <w:color w:val="000000"/>
          <w:sz w:val="20"/>
        </w:rPr>
      </w:pPr>
      <w:r>
        <w:rPr>
          <w:rFonts w:ascii="Times New Roman" w:hAnsi="Times New Roman"/>
          <w:b/>
          <w:i/>
          <w:color w:val="000000"/>
          <w:sz w:val="20"/>
        </w:rPr>
        <w:t>General and Administrative</w:t>
      </w:r>
    </w:p>
    <w:tbl>
      <w:tblPr>
        <w:tblW w:w="7696" w:type="dxa"/>
        <w:jc w:val="left"/>
        <w:tblInd w:w="0" w:type="dxa"/>
        <w:tblLayout w:type="fixed"/>
        <w:tblCellMar>
          <w:top w:w="28" w:type="dxa"/>
          <w:left w:w="28" w:type="dxa"/>
          <w:bottom w:w="28" w:type="dxa"/>
          <w:right w:w="28" w:type="dxa"/>
        </w:tblCellMar>
      </w:tblPr>
      <w:tblGrid>
        <w:gridCol w:w="2311"/>
        <w:gridCol w:w="146"/>
        <w:gridCol w:w="235"/>
        <w:gridCol w:w="754"/>
        <w:gridCol w:w="302"/>
        <w:gridCol w:w="162"/>
        <w:gridCol w:w="235"/>
        <w:gridCol w:w="754"/>
        <w:gridCol w:w="271"/>
        <w:gridCol w:w="146"/>
        <w:gridCol w:w="280"/>
        <w:gridCol w:w="561"/>
        <w:gridCol w:w="146"/>
        <w:gridCol w:w="146"/>
        <w:gridCol w:w="380"/>
        <w:gridCol w:w="551"/>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25,113</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general and administrative expenses was primarily attributable to increased investments in marketing as well as other costs to support strategic growth initiatives. These increases were partially offset by lower amortization expense and compensation expenses.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Heading2"/>
        <w:bidi w:val="0"/>
        <w:spacing w:before="120" w:after="120"/>
        <w:jc w:val="left"/>
        <w:rPr>
          <w:rFonts w:ascii="Times New Roman" w:hAnsi="Times New Roman"/>
          <w:b/>
          <w:i/>
          <w:color w:val="000000"/>
          <w:sz w:val="20"/>
        </w:rPr>
      </w:pPr>
      <w:r>
        <w:rPr>
          <w:rFonts w:ascii="Times New Roman" w:hAnsi="Times New Roman"/>
          <w:b/>
          <w:i/>
          <w:color w:val="000000"/>
          <w:sz w:val="20"/>
        </w:rPr>
        <w:t>Loss on Sale of Assets, Net</w:t>
      </w:r>
    </w:p>
    <w:tbl>
      <w:tblPr>
        <w:tblW w:w="7748" w:type="dxa"/>
        <w:jc w:val="left"/>
        <w:tblInd w:w="0" w:type="dxa"/>
        <w:tblLayout w:type="fixed"/>
        <w:tblCellMar>
          <w:top w:w="28" w:type="dxa"/>
          <w:left w:w="28" w:type="dxa"/>
          <w:bottom w:w="28" w:type="dxa"/>
          <w:right w:w="28" w:type="dxa"/>
        </w:tblCellMar>
      </w:tblPr>
      <w:tblGrid>
        <w:gridCol w:w="2281"/>
        <w:gridCol w:w="146"/>
        <w:gridCol w:w="281"/>
        <w:gridCol w:w="562"/>
        <w:gridCol w:w="362"/>
        <w:gridCol w:w="195"/>
        <w:gridCol w:w="281"/>
        <w:gridCol w:w="762"/>
        <w:gridCol w:w="271"/>
        <w:gridCol w:w="146"/>
        <w:gridCol w:w="211"/>
        <w:gridCol w:w="631"/>
        <w:gridCol w:w="166"/>
        <w:gridCol w:w="146"/>
        <w:gridCol w:w="260"/>
        <w:gridCol w:w="671"/>
        <w:gridCol w:w="37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sale of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change in loss on sale of assets was primarily driven by gains associated with sale-leaseback activity in the prior year compared to losses associated with asset retirements and no sale-leaseback activity in the current year.</w:t>
      </w:r>
    </w:p>
    <w:p>
      <w:pPr>
        <w:pStyle w:val="Heading2"/>
        <w:bidi w:val="0"/>
        <w:spacing w:before="120" w:after="120"/>
        <w:jc w:val="left"/>
        <w:rPr>
          <w:rFonts w:ascii="Times New Roman" w:hAnsi="Times New Roman"/>
          <w:b/>
          <w:i/>
          <w:color w:val="000000"/>
          <w:sz w:val="20"/>
        </w:rPr>
      </w:pPr>
      <w:r>
        <w:rPr>
          <w:rFonts w:ascii="Times New Roman" w:hAnsi="Times New Roman"/>
          <w:b/>
          <w:i/>
          <w:color w:val="000000"/>
          <w:sz w:val="20"/>
        </w:rPr>
        <w:t>Total Other Expense, Net</w:t>
      </w:r>
    </w:p>
    <w:tbl>
      <w:tblPr>
        <w:tblW w:w="7747" w:type="dxa"/>
        <w:jc w:val="left"/>
        <w:tblInd w:w="0" w:type="dxa"/>
        <w:tblLayout w:type="fixed"/>
        <w:tblCellMar>
          <w:top w:w="28" w:type="dxa"/>
          <w:left w:w="28" w:type="dxa"/>
          <w:bottom w:w="28" w:type="dxa"/>
          <w:right w:w="28" w:type="dxa"/>
        </w:tblCellMar>
      </w:tblPr>
      <w:tblGrid>
        <w:gridCol w:w="2281"/>
        <w:gridCol w:w="146"/>
        <w:gridCol w:w="235"/>
        <w:gridCol w:w="754"/>
        <w:gridCol w:w="302"/>
        <w:gridCol w:w="162"/>
        <w:gridCol w:w="235"/>
        <w:gridCol w:w="754"/>
        <w:gridCol w:w="271"/>
        <w:gridCol w:w="146"/>
        <w:gridCol w:w="211"/>
        <w:gridCol w:w="631"/>
        <w:gridCol w:w="166"/>
        <w:gridCol w:w="146"/>
        <w:gridCol w:w="260"/>
        <w:gridCol w:w="671"/>
        <w:gridCol w:w="37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15,151</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is attributable to a $5.1 million decrease in interest expense, net driven by lower average interest rates and $71.9 million of principal payments on the First Lien Term Loan between periods.</w:t>
      </w:r>
    </w:p>
    <w:p>
      <w:pPr>
        <w:pStyle w:val="Heading2"/>
        <w:bidi w:val="0"/>
        <w:spacing w:before="120" w:after="120"/>
        <w:jc w:val="left"/>
        <w:rPr>
          <w:rFonts w:ascii="Times New Roman" w:hAnsi="Times New Roman"/>
          <w:b/>
          <w:i/>
          <w:color w:val="000000"/>
          <w:sz w:val="20"/>
        </w:rPr>
      </w:pPr>
      <w:r>
        <w:rPr>
          <w:rFonts w:ascii="Times New Roman" w:hAnsi="Times New Roman"/>
          <w:b/>
          <w:i/>
          <w:color w:val="000000"/>
          <w:sz w:val="20"/>
        </w:rPr>
        <w:t>Income Tax Provision</w:t>
      </w:r>
    </w:p>
    <w:tbl>
      <w:tblPr>
        <w:tblW w:w="7747" w:type="dxa"/>
        <w:jc w:val="left"/>
        <w:tblInd w:w="0" w:type="dxa"/>
        <w:tblLayout w:type="fixed"/>
        <w:tblCellMar>
          <w:top w:w="28" w:type="dxa"/>
          <w:left w:w="28" w:type="dxa"/>
          <w:bottom w:w="28" w:type="dxa"/>
          <w:right w:w="28" w:type="dxa"/>
        </w:tblCellMar>
      </w:tblPr>
      <w:tblGrid>
        <w:gridCol w:w="2281"/>
        <w:gridCol w:w="146"/>
        <w:gridCol w:w="235"/>
        <w:gridCol w:w="754"/>
        <w:gridCol w:w="302"/>
        <w:gridCol w:w="162"/>
        <w:gridCol w:w="235"/>
        <w:gridCol w:w="754"/>
        <w:gridCol w:w="271"/>
        <w:gridCol w:w="146"/>
        <w:gridCol w:w="211"/>
        <w:gridCol w:w="631"/>
        <w:gridCol w:w="166"/>
        <w:gridCol w:w="146"/>
        <w:gridCol w:w="260"/>
        <w:gridCol w:w="671"/>
        <w:gridCol w:w="37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10,400</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income tax provision was primarily attributable to the change in net, unfavorable income tax impact from equity awards activity as compared to the prior year.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left"/>
        <w:rPr>
          <w:rFonts w:ascii="Times New Roman" w:hAnsi="Times New Roman"/>
          <w:sz w:val="20"/>
        </w:rPr>
      </w:pPr>
      <w:r>
        <w:rPr>
          <w:rFonts w:ascii="Times New Roman" w:hAnsi="Times New Roman"/>
          <w:b/>
          <w:color w:val="000000"/>
          <w:sz w:val="20"/>
        </w:rPr>
        <w:t>Results of Operations for the Six Months Ended June 30, 2025 and 2024</w:t>
      </w:r>
      <w:r>
        <w:rPr>
          <w:rFonts w:ascii="Times New Roman" w:hAnsi="Times New Roman"/>
          <w:color w:val="000000"/>
          <w:sz w:val="20"/>
        </w:rPr>
        <w:t xml:space="preserve"> </w:t>
      </w:r>
    </w:p>
    <w:tbl>
      <w:tblPr>
        <w:tblW w:w="8125" w:type="dxa"/>
        <w:jc w:val="left"/>
        <w:tblInd w:w="0" w:type="dxa"/>
        <w:tblLayout w:type="fixed"/>
        <w:tblCellMar>
          <w:top w:w="28" w:type="dxa"/>
          <w:left w:w="28" w:type="dxa"/>
          <w:bottom w:w="28" w:type="dxa"/>
          <w:right w:w="28" w:type="dxa"/>
        </w:tblCellMar>
      </w:tblPr>
      <w:tblGrid>
        <w:gridCol w:w="2786"/>
        <w:gridCol w:w="146"/>
        <w:gridCol w:w="211"/>
        <w:gridCol w:w="781"/>
        <w:gridCol w:w="166"/>
        <w:gridCol w:w="146"/>
        <w:gridCol w:w="197"/>
        <w:gridCol w:w="569"/>
        <w:gridCol w:w="331"/>
        <w:gridCol w:w="146"/>
        <w:gridCol w:w="211"/>
        <w:gridCol w:w="781"/>
        <w:gridCol w:w="166"/>
        <w:gridCol w:w="146"/>
        <w:gridCol w:w="197"/>
        <w:gridCol w:w="569"/>
        <w:gridCol w:w="576"/>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1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w:t>
              <w:br/>
              <w:t>Revenue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w:t>
              <w:br/>
              <w:t>Revenue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labor and 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store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sale of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Heading2"/>
        <w:bidi w:val="0"/>
        <w:spacing w:before="120" w:after="120"/>
        <w:jc w:val="left"/>
        <w:rPr>
          <w:rFonts w:ascii="Times New Roman" w:hAnsi="Times New Roman"/>
          <w:b/>
          <w:i/>
          <w:color w:val="000000"/>
          <w:sz w:val="20"/>
        </w:rPr>
      </w:pPr>
      <w:r>
        <w:rPr>
          <w:rFonts w:ascii="Times New Roman" w:hAnsi="Times New Roman"/>
          <w:b/>
          <w:i/>
          <w:color w:val="000000"/>
          <w:sz w:val="20"/>
        </w:rPr>
        <w:t>Net Revenues</w:t>
      </w:r>
    </w:p>
    <w:tbl>
      <w:tblPr>
        <w:tblW w:w="6851" w:type="dxa"/>
        <w:jc w:val="left"/>
        <w:tblInd w:w="0" w:type="dxa"/>
        <w:tblLayout w:type="fixed"/>
        <w:tblCellMar>
          <w:top w:w="28" w:type="dxa"/>
          <w:left w:w="28" w:type="dxa"/>
          <w:bottom w:w="28" w:type="dxa"/>
          <w:right w:w="28" w:type="dxa"/>
        </w:tblCellMar>
      </w:tblPr>
      <w:tblGrid>
        <w:gridCol w:w="1711"/>
        <w:gridCol w:w="146"/>
        <w:gridCol w:w="211"/>
        <w:gridCol w:w="781"/>
        <w:gridCol w:w="146"/>
        <w:gridCol w:w="146"/>
        <w:gridCol w:w="211"/>
        <w:gridCol w:w="781"/>
        <w:gridCol w:w="146"/>
        <w:gridCol w:w="146"/>
        <w:gridCol w:w="211"/>
        <w:gridCol w:w="676"/>
        <w:gridCol w:w="146"/>
        <w:gridCol w:w="146"/>
        <w:gridCol w:w="380"/>
        <w:gridCol w:w="551"/>
        <w:gridCol w:w="316"/>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net revenues was primarily attributable to growth in UWC Members, increased retail customer traffic, wash package mix, and the year-over-year addition of 31 locations.</w:t>
      </w:r>
    </w:p>
    <w:p>
      <w:pPr>
        <w:pStyle w:val="Heading2"/>
        <w:bidi w:val="0"/>
        <w:spacing w:before="120" w:after="120"/>
        <w:jc w:val="left"/>
        <w:rPr>
          <w:rFonts w:ascii="Times New Roman" w:hAnsi="Times New Roman"/>
          <w:b/>
          <w:i/>
          <w:color w:val="000000"/>
          <w:sz w:val="20"/>
        </w:rPr>
      </w:pPr>
      <w:r>
        <w:rPr>
          <w:rFonts w:ascii="Times New Roman" w:hAnsi="Times New Roman"/>
          <w:b/>
          <w:i/>
          <w:color w:val="000000"/>
          <w:sz w:val="20"/>
        </w:rPr>
        <w:t>Cost of Labor and Chemicals</w:t>
      </w:r>
    </w:p>
    <w:tbl>
      <w:tblPr>
        <w:tblW w:w="7715" w:type="dxa"/>
        <w:jc w:val="left"/>
        <w:tblInd w:w="0" w:type="dxa"/>
        <w:tblLayout w:type="fixed"/>
        <w:tblCellMar>
          <w:top w:w="28" w:type="dxa"/>
          <w:left w:w="28" w:type="dxa"/>
          <w:bottom w:w="28" w:type="dxa"/>
          <w:right w:w="28" w:type="dxa"/>
        </w:tblCellMar>
      </w:tblPr>
      <w:tblGrid>
        <w:gridCol w:w="2371"/>
        <w:gridCol w:w="146"/>
        <w:gridCol w:w="211"/>
        <w:gridCol w:w="781"/>
        <w:gridCol w:w="271"/>
        <w:gridCol w:w="146"/>
        <w:gridCol w:w="211"/>
        <w:gridCol w:w="781"/>
        <w:gridCol w:w="271"/>
        <w:gridCol w:w="146"/>
        <w:gridCol w:w="226"/>
        <w:gridCol w:w="615"/>
        <w:gridCol w:w="146"/>
        <w:gridCol w:w="146"/>
        <w:gridCol w:w="380"/>
        <w:gridCol w:w="551"/>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labor and 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increase in cost of labor and chemicals was primarily attributable to an increase in volume and the year-over-year addition of 31 locations, as well as increased store labor rates, partially offset by labor optimization and lower chemical costs due to new formulations and strategic partnerships. </w:t>
      </w:r>
    </w:p>
    <w:p>
      <w:pPr>
        <w:pStyle w:val="Heading2"/>
        <w:bidi w:val="0"/>
        <w:spacing w:before="120" w:after="120"/>
        <w:jc w:val="left"/>
        <w:rPr>
          <w:rFonts w:ascii="Times New Roman" w:hAnsi="Times New Roman"/>
          <w:b/>
          <w:i/>
          <w:color w:val="000000"/>
          <w:sz w:val="20"/>
        </w:rPr>
      </w:pPr>
      <w:r>
        <w:rPr>
          <w:rFonts w:ascii="Times New Roman" w:hAnsi="Times New Roman"/>
          <w:b/>
          <w:i/>
          <w:color w:val="000000"/>
          <w:sz w:val="20"/>
        </w:rPr>
        <w:t>Other Store Operating Expenses</w:t>
      </w:r>
    </w:p>
    <w:tbl>
      <w:tblPr>
        <w:tblW w:w="8001" w:type="dxa"/>
        <w:jc w:val="left"/>
        <w:tblInd w:w="0" w:type="dxa"/>
        <w:tblLayout w:type="fixed"/>
        <w:tblCellMar>
          <w:top w:w="28" w:type="dxa"/>
          <w:left w:w="28" w:type="dxa"/>
          <w:bottom w:w="28" w:type="dxa"/>
          <w:right w:w="28" w:type="dxa"/>
        </w:tblCellMar>
      </w:tblPr>
      <w:tblGrid>
        <w:gridCol w:w="2611"/>
        <w:gridCol w:w="146"/>
        <w:gridCol w:w="211"/>
        <w:gridCol w:w="781"/>
        <w:gridCol w:w="271"/>
        <w:gridCol w:w="146"/>
        <w:gridCol w:w="211"/>
        <w:gridCol w:w="781"/>
        <w:gridCol w:w="271"/>
        <w:gridCol w:w="146"/>
        <w:gridCol w:w="211"/>
        <w:gridCol w:w="676"/>
        <w:gridCol w:w="146"/>
        <w:gridCol w:w="146"/>
        <w:gridCol w:w="294"/>
        <w:gridCol w:w="637"/>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store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other store operating expenses was primarily attributable to the year-over-year addition of 31 locations, increased utilities and maintenance expenses, as well as additional rent expense for the addition of 36 net new land and building leases between periods.</w:t>
      </w:r>
    </w:p>
    <w:p>
      <w:pPr>
        <w:pStyle w:val="Heading2"/>
        <w:bidi w:val="0"/>
        <w:spacing w:before="120" w:after="120"/>
        <w:jc w:val="left"/>
        <w:rPr>
          <w:rFonts w:ascii="Times New Roman" w:hAnsi="Times New Roman"/>
          <w:b/>
          <w:i/>
          <w:color w:val="000000"/>
          <w:sz w:val="20"/>
        </w:rPr>
      </w:pPr>
      <w:r>
        <w:rPr>
          <w:rFonts w:ascii="Times New Roman" w:hAnsi="Times New Roman"/>
          <w:b/>
          <w:i/>
          <w:color w:val="000000"/>
          <w:sz w:val="20"/>
        </w:rPr>
        <w:t>General and Administrative</w:t>
      </w:r>
    </w:p>
    <w:tbl>
      <w:tblPr>
        <w:tblW w:w="7567" w:type="dxa"/>
        <w:jc w:val="left"/>
        <w:tblInd w:w="0" w:type="dxa"/>
        <w:tblLayout w:type="fixed"/>
        <w:tblCellMar>
          <w:top w:w="28" w:type="dxa"/>
          <w:left w:w="28" w:type="dxa"/>
          <w:bottom w:w="28" w:type="dxa"/>
          <w:right w:w="28" w:type="dxa"/>
        </w:tblCellMar>
      </w:tblPr>
      <w:tblGrid>
        <w:gridCol w:w="2311"/>
        <w:gridCol w:w="146"/>
        <w:gridCol w:w="215"/>
        <w:gridCol w:w="689"/>
        <w:gridCol w:w="276"/>
        <w:gridCol w:w="148"/>
        <w:gridCol w:w="215"/>
        <w:gridCol w:w="689"/>
        <w:gridCol w:w="271"/>
        <w:gridCol w:w="146"/>
        <w:gridCol w:w="211"/>
        <w:gridCol w:w="631"/>
        <w:gridCol w:w="166"/>
        <w:gridCol w:w="146"/>
        <w:gridCol w:w="325"/>
        <w:gridCol w:w="606"/>
        <w:gridCol w:w="37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general and administrative expenses was primarily attributable to the debt refinancing costs in the prior year and decreased amortization expense due to intangible assets that fully amortized in the prior year, partially offset by investments in marketing as well as other costs to support strategic growth initiatives.</w:t>
      </w:r>
    </w:p>
    <w:p>
      <w:pPr>
        <w:pStyle w:val="Heading2"/>
        <w:bidi w:val="0"/>
        <w:spacing w:before="120" w:after="120"/>
        <w:jc w:val="left"/>
        <w:rPr>
          <w:rFonts w:ascii="Times New Roman" w:hAnsi="Times New Roman"/>
          <w:b/>
          <w:i/>
          <w:color w:val="000000"/>
          <w:sz w:val="20"/>
        </w:rPr>
      </w:pPr>
      <w:r>
        <w:rPr>
          <w:rFonts w:ascii="Times New Roman" w:hAnsi="Times New Roman"/>
          <w:b/>
          <w:i/>
          <w:color w:val="000000"/>
          <w:sz w:val="20"/>
        </w:rPr>
        <w:t>Loss on Sale of Assets, Net</w:t>
      </w:r>
    </w:p>
    <w:tbl>
      <w:tblPr>
        <w:tblW w:w="7537" w:type="dxa"/>
        <w:jc w:val="left"/>
        <w:tblInd w:w="0" w:type="dxa"/>
        <w:tblLayout w:type="fixed"/>
        <w:tblCellMar>
          <w:top w:w="28" w:type="dxa"/>
          <w:left w:w="28" w:type="dxa"/>
          <w:bottom w:w="28" w:type="dxa"/>
          <w:right w:w="28" w:type="dxa"/>
        </w:tblCellMar>
      </w:tblPr>
      <w:tblGrid>
        <w:gridCol w:w="2281"/>
        <w:gridCol w:w="146"/>
        <w:gridCol w:w="257"/>
        <w:gridCol w:w="514"/>
        <w:gridCol w:w="330"/>
        <w:gridCol w:w="178"/>
        <w:gridCol w:w="257"/>
        <w:gridCol w:w="697"/>
        <w:gridCol w:w="271"/>
        <w:gridCol w:w="146"/>
        <w:gridCol w:w="256"/>
        <w:gridCol w:w="585"/>
        <w:gridCol w:w="166"/>
        <w:gridCol w:w="146"/>
        <w:gridCol w:w="260"/>
        <w:gridCol w:w="671"/>
        <w:gridCol w:w="37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sale of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change in loss on sale of assets was primarily driven by gains associated with sale-leaseback activity in the prior year compared to losses associated with asset retirements and no sale-leaseback activity in the current year.</w:t>
      </w:r>
    </w:p>
    <w:p>
      <w:pPr>
        <w:pStyle w:val="Heading2"/>
        <w:bidi w:val="0"/>
        <w:spacing w:before="120" w:after="120"/>
        <w:jc w:val="left"/>
        <w:rPr>
          <w:rFonts w:ascii="Times New Roman" w:hAnsi="Times New Roman"/>
          <w:b/>
          <w:i/>
          <w:color w:val="000000"/>
          <w:sz w:val="20"/>
        </w:rPr>
      </w:pPr>
      <w:r>
        <w:rPr>
          <w:rFonts w:ascii="Times New Roman" w:hAnsi="Times New Roman"/>
          <w:b/>
          <w:i/>
          <w:color w:val="000000"/>
          <w:sz w:val="20"/>
        </w:rPr>
        <w:t>Total Other Expense, Net</w:t>
      </w:r>
    </w:p>
    <w:tbl>
      <w:tblPr>
        <w:tblW w:w="7537" w:type="dxa"/>
        <w:jc w:val="left"/>
        <w:tblInd w:w="0" w:type="dxa"/>
        <w:tblLayout w:type="fixed"/>
        <w:tblCellMar>
          <w:top w:w="28" w:type="dxa"/>
          <w:left w:w="28" w:type="dxa"/>
          <w:bottom w:w="28" w:type="dxa"/>
          <w:right w:w="28" w:type="dxa"/>
        </w:tblCellMar>
      </w:tblPr>
      <w:tblGrid>
        <w:gridCol w:w="2281"/>
        <w:gridCol w:w="146"/>
        <w:gridCol w:w="215"/>
        <w:gridCol w:w="689"/>
        <w:gridCol w:w="276"/>
        <w:gridCol w:w="148"/>
        <w:gridCol w:w="215"/>
        <w:gridCol w:w="689"/>
        <w:gridCol w:w="271"/>
        <w:gridCol w:w="146"/>
        <w:gridCol w:w="211"/>
        <w:gridCol w:w="631"/>
        <w:gridCol w:w="166"/>
        <w:gridCol w:w="146"/>
        <w:gridCol w:w="260"/>
        <w:gridCol w:w="671"/>
        <w:gridCol w:w="37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31,174</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is primarily attributable to a $9.1 million decrease in interest expense, net driven by lower average interest rates and $71.9 million of principal payments on the First Lien Term Loan between periods, as well as $1.9 million loss on extinguishment of debt related to our debt refinancing activity in the prior year, partially offset by the $5.2 million gain related to the recognition of an employee retention credit in the prior year.</w:t>
      </w:r>
    </w:p>
    <w:p>
      <w:pPr>
        <w:pStyle w:val="Heading2"/>
        <w:bidi w:val="0"/>
        <w:spacing w:before="120" w:after="120"/>
        <w:jc w:val="left"/>
        <w:rPr>
          <w:rFonts w:ascii="Times New Roman" w:hAnsi="Times New Roman"/>
          <w:b/>
          <w:i/>
          <w:color w:val="000000"/>
          <w:sz w:val="20"/>
        </w:rPr>
      </w:pPr>
      <w:r>
        <w:rPr>
          <w:rFonts w:ascii="Times New Roman" w:hAnsi="Times New Roman"/>
          <w:b/>
          <w:i/>
          <w:color w:val="000000"/>
          <w:sz w:val="20"/>
        </w:rPr>
        <w:t>Income Tax Provision</w:t>
      </w:r>
    </w:p>
    <w:tbl>
      <w:tblPr>
        <w:tblW w:w="7537" w:type="dxa"/>
        <w:jc w:val="left"/>
        <w:tblInd w:w="0" w:type="dxa"/>
        <w:tblLayout w:type="fixed"/>
        <w:tblCellMar>
          <w:top w:w="28" w:type="dxa"/>
          <w:left w:w="28" w:type="dxa"/>
          <w:bottom w:w="28" w:type="dxa"/>
          <w:right w:w="28" w:type="dxa"/>
        </w:tblCellMar>
      </w:tblPr>
      <w:tblGrid>
        <w:gridCol w:w="2281"/>
        <w:gridCol w:w="146"/>
        <w:gridCol w:w="215"/>
        <w:gridCol w:w="689"/>
        <w:gridCol w:w="276"/>
        <w:gridCol w:w="148"/>
        <w:gridCol w:w="215"/>
        <w:gridCol w:w="689"/>
        <w:gridCol w:w="271"/>
        <w:gridCol w:w="146"/>
        <w:gridCol w:w="211"/>
        <w:gridCol w:w="631"/>
        <w:gridCol w:w="166"/>
        <w:gridCol w:w="146"/>
        <w:gridCol w:w="325"/>
        <w:gridCol w:w="606"/>
        <w:gridCol w:w="37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20,344</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income tax provision was primarily attributable to the change in net, unfavorable income tax impact from equity awards activity as compared to the prior year.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Heading2"/>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primary requirements for liquidity and capital are to fund our investments in our core business, which includes lease payments, pursue greenfield location development and acquisitions of new locations, and to service our indebtedness. Historically, these cash requirements have been met through funds raised by the sale of our common stock, utilization of our credit facilities, sale-leaseback transactions, and cash provided by operations.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As of June 30, 2025 and December 31, 2024, we had cash and cash equivalents of $26.4 million and $67.5 million, respectively, and </w:t>
      </w:r>
      <w:r>
        <w:rPr>
          <w:rFonts w:ascii="Times New Roman" w:hAnsi="Times New Roman"/>
          <w:color w:val="231F20"/>
          <w:sz w:val="20"/>
        </w:rPr>
        <w:t xml:space="preserve">$299.8 million </w:t>
      </w:r>
      <w:r>
        <w:rPr>
          <w:rFonts w:ascii="Times New Roman" w:hAnsi="Times New Roman"/>
          <w:color w:val="000000"/>
          <w:sz w:val="20"/>
        </w:rPr>
        <w:t xml:space="preserve">of available borrowing capacity under our Revolving Commitment.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For a description of our credit facilities and our recent debt refinancing, please see Note 7 Debt in the consolidated financial statements included elsewhere in this Quarterly Report on Form 10-Q. As of June 30, 2025, we were in compliance with the covenants under the Credit Agreement.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believe that our sources of liquidity and capital will be sufficient to finance our growth strategy and operations, as well as planned capital expenditures, for at least the next 12 months. However,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additional financing on favorable terms or at all.</w:t>
      </w:r>
    </w:p>
    <w:p>
      <w:pPr>
        <w:pStyle w:val="Heading2"/>
        <w:bidi w:val="0"/>
        <w:jc w:val="left"/>
        <w:rPr>
          <w:rFonts w:ascii="Times New Roman" w:hAnsi="Times New Roman"/>
          <w:b/>
          <w:i/>
          <w:color w:val="000000"/>
          <w:sz w:val="20"/>
        </w:rPr>
      </w:pPr>
      <w:r>
        <w:rPr>
          <w:rFonts w:ascii="Times New Roman" w:hAnsi="Times New Roman"/>
          <w:b/>
          <w:i/>
          <w:color w:val="000000"/>
          <w:sz w:val="20"/>
        </w:rPr>
        <w:t>Cash Flows for the Six Months Ended June 30, 2025 and 2024</w:t>
      </w:r>
    </w:p>
    <w:p>
      <w:pPr>
        <w:pStyle w:val="TextBody"/>
        <w:bidi w:val="0"/>
        <w:spacing w:before="120" w:after="120"/>
        <w:jc w:val="left"/>
        <w:rPr>
          <w:rFonts w:ascii="Times New Roman" w:hAnsi="Times New Roman"/>
          <w:sz w:val="20"/>
        </w:rPr>
      </w:pPr>
      <w:r>
        <w:rPr>
          <w:rFonts w:ascii="Times New Roman" w:hAnsi="Times New Roman"/>
          <w:i/>
          <w:color w:val="000000"/>
          <w:sz w:val="20"/>
        </w:rPr>
        <w:t xml:space="preserve">Operating Activities. </w:t>
      </w:r>
      <w:r>
        <w:rPr>
          <w:rFonts w:ascii="Times New Roman" w:hAnsi="Times New Roman"/>
          <w:color w:val="000000"/>
          <w:sz w:val="20"/>
        </w:rPr>
        <w:t>For the six months ended June 30, 2025, net cash provided by operating activities was $134.4 million and was comprised of net income of $55.6 million, increased by $101.7 million as a result of non-cash adjustments including depreciation and amortization expense, stock-based compensation expense, non-cash lease expense, deferred income taxes, loss on sale of assets, net, and amortization of debt issuance costs. Changes in working capital balances decreased cash provided by operating activities by $22.9 million and were primarily driven by operating lease payments.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six months ended June 30, 2024, net cash provided by operating activities was $118.9 million and was comprised of net income of $38.7 million, increased by $99.9 million as a result of non-cash adjustments comprised primarily of depreciation and amortization expense, stock-based compensation expense, non-cash lease expense, deferred income taxes, a loss on disposal of property and equipment, a loss on extinguishment of debt, and amortization of debt issuance costs. Changes in working capital balances decreased cash provided by operating activities by $19.8 million and were primarily driven by operating lease payments.</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Investing Activities. </w:t>
      </w:r>
      <w:r>
        <w:rPr>
          <w:rFonts w:ascii="Times New Roman" w:hAnsi="Times New Roman"/>
          <w:color w:val="000000"/>
          <w:sz w:val="20"/>
        </w:rPr>
        <w:t>For the six months ended June 30, 2025, net cash used in investing activities was $111.3 million and was primarily comprised of investments in property and equipment to support our greenfield development and other initiatives, offset by the sale of property and equipment.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six months ended June 30, 2024, net cash used in investing activities was $144.6 million and was primarily comprised of investments in property and equipment to support our greenfield development and other initiatives, offset by the sale of property and equipment.</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Financing Activities. </w:t>
      </w:r>
      <w:r>
        <w:rPr>
          <w:rFonts w:ascii="Times New Roman" w:hAnsi="Times New Roman"/>
          <w:color w:val="000000"/>
          <w:sz w:val="20"/>
        </w:rPr>
        <w:t>For the six months ended June 30, 2025, net cash used in financing activities was $64.0 million and was primarily comprised of payments for the First Lien Term Loan and finance lease obligations, partially offset by proceeds related to the issuance of common stock under employee plans.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six months ended June 30, 2024, net cash provided by financing activities was $10.4 million and was primarily comprised of proceeds from our refinancing of the First Lien Term Loan and Revolving Commitment, partially offset by payments for payroll tax withholdings to settle cashless stock option exercises, payments on debt borrowings and Revolving Commitment, and payments of deferred financing costs due to our debt refinancing.</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consolidated financial statements have been prepared in accordance with U.S. GAAP. The preparation of these financial statements requires us to make estimates and judgments that affect the reported amounts of assets, liabilities, revenues and expenses and related disclosure of contingent assets and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an ongoing basis, we evaluate our estimates and assumptions, including those related to revenue recognition, goodwill and other intangible assets, income taxes and stock-based compensation. We base our estimates on historical experience, current developments and on various other assumptions that we believe to be reasonable under these circumstances, the results of which form the basis for making judgments about carrying values of assets and liabilities that cannot readily be determined from other sources. There can be no assurance that actual results will not differ from those estimates.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significant accounting policies and estimates used in preparation of the consolidated financial statements are described in our 2024 Form 10-K. There have been no material changes to our significant accounting policies during the three and six months ended June 30, 2025.</w:t>
      </w:r>
    </w:p>
    <w:p>
      <w:pPr>
        <w:pStyle w:val="TextBody"/>
        <w:bidi w:val="0"/>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See Note 2 Summary of Significant Accounting Policies to our consolidated financial statements included elsewhere in this Quarterly Report on Form 10-Q for a discussion of recent accounting pronouncements.</w:t>
      </w:r>
    </w:p>
    <w:p>
      <w:pPr>
        <w:pStyle w:val="TextBody"/>
        <w:bidi w:val="0"/>
        <w:jc w:val="left"/>
        <w:rPr>
          <w:rFonts w:ascii="Times New Roman" w:hAnsi="Times New Roman"/>
          <w:b/>
          <w:color w:val="000000"/>
          <w:sz w:val="20"/>
          <w:u w:val="single"/>
        </w:rPr>
      </w:pPr>
      <w:bookmarkStart w:id="11" w:name="i_item3"/>
      <w:bookmarkEnd w:id="11"/>
      <w:r>
        <w:rPr>
          <w:rFonts w:ascii="Times New Roman" w:hAnsi="Times New Roman"/>
          <w:b/>
          <w:color w:val="000000"/>
          <w:sz w:val="20"/>
          <w:u w:val="single"/>
        </w:rPr>
        <w:t>Item 3. Quantitative and Qualitative Disclosures About Market Risk.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have been no material changes in our exposure to market risk from the information provided in "Item 7A. Quantitative and Qualitative Disclosures About Market Risk" in our 2024 Form 10-K.</w:t>
      </w:r>
    </w:p>
    <w:p>
      <w:pPr>
        <w:pStyle w:val="TextBody"/>
        <w:bidi w:val="0"/>
        <w:jc w:val="left"/>
        <w:rPr>
          <w:rFonts w:ascii="Times New Roman" w:hAnsi="Times New Roman"/>
          <w:b/>
          <w:color w:val="000000"/>
          <w:sz w:val="20"/>
          <w:u w:val="single"/>
        </w:rPr>
      </w:pPr>
      <w:bookmarkStart w:id="12" w:name="i_item4"/>
      <w:bookmarkEnd w:id="12"/>
      <w:r>
        <w:rPr>
          <w:rFonts w:ascii="Times New Roman" w:hAnsi="Times New Roman"/>
          <w:b/>
          <w:color w:val="000000"/>
          <w:sz w:val="20"/>
          <w:u w:val="single"/>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order to ensure that the information we must disclose in our filings with the Securities and Exchange Commission (the "SEC") is recorded, processed, summarized and reported on a timely basis, we have developed and implemented disclosure controls and procedures. Our management, with the participation of our President and Chief Executive Officer and our Chief Financial Officer, has evaluated the effectiveness of our disclosure controls and procedures (as such term is defined in Rules 13a-15(e) and 15d-15(e) under the Securities Exchange Act of 1934, as amended (the “Exchange Act”)) as of June 30, 2025. Based on that evaluation, our management, including the President and Chief Executive Officer and the Chief Financial Officer, has concluded that our disclosure controls and procedures were effective as of June 30, 2025 in ensuring that information required to be disclosed in the reports that we file or submit under the Exchange Act is recorded, processed, summarized and reported within the time periods specified in the SEC's rules and forms and is accumulated and communicated to our management, including the President and Chief Executive Officer and the Chief Financial Officer, as appropriate to allow timely decisions regarding required disclosure.</w:t>
      </w:r>
    </w:p>
    <w:p>
      <w:pPr>
        <w:pStyle w:val="TextBody"/>
        <w:bidi w:val="0"/>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three months ended June 30, 2025 that have materially affected, or are reasonably likely to materially affect, our internal control over financial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PART II—OTHER INFORMATION</w:t>
      </w:r>
    </w:p>
    <w:p>
      <w:pPr>
        <w:pStyle w:val="TextBody"/>
        <w:bidi w:val="0"/>
        <w:spacing w:before="120" w:after="283"/>
        <w:jc w:val="left"/>
        <w:rPr>
          <w:rFonts w:ascii="Times New Roman" w:hAnsi="Times New Roman"/>
          <w:b/>
          <w:color w:val="000000"/>
          <w:sz w:val="20"/>
          <w:u w:val="single"/>
        </w:rPr>
      </w:pPr>
      <w:bookmarkStart w:id="13" w:name="ii_item1"/>
      <w:bookmarkEnd w:id="13"/>
      <w:r>
        <w:rPr>
          <w:rFonts w:ascii="Times New Roman" w:hAnsi="Times New Roman"/>
          <w:b/>
          <w:color w:val="000000"/>
          <w:sz w:val="20"/>
          <w:u w:val="single"/>
        </w:rPr>
        <w:t>Item 1. Legal Proceedings.</w:t>
      </w:r>
    </w:p>
    <w:p>
      <w:pPr>
        <w:pStyle w:val="TextBody"/>
        <w:bidi w:val="0"/>
        <w:spacing w:before="120" w:after="120"/>
        <w:jc w:val="left"/>
        <w:rPr>
          <w:rFonts w:ascii="Times New Roman" w:hAnsi="Times New Roman"/>
          <w:sz w:val="20"/>
        </w:rPr>
      </w:pPr>
      <w:r>
        <w:rPr>
          <w:rFonts w:ascii="Times New Roman" w:hAnsi="Times New Roman"/>
          <w:color w:val="000000"/>
          <w:sz w:val="20"/>
        </w:rPr>
        <w:t>Except as set forth in Note 13 - Commitments &amp; Contingencies to our consolidated financial statements included elsewhere in this Quarterly Report on Form 10-Q, there have been no material changes to the legal proceedings described in Part I "Item 3. Legal Proceedings" and Note 18 Commitments &amp; Contingencies to the consolidated financial statements of our 2024 Form 10-K</w:t>
      </w:r>
      <w:r>
        <w:rPr>
          <w:rFonts w:ascii="Times New Roman" w:hAnsi="Times New Roman"/>
          <w:color w:val="231F20"/>
          <w:sz w:val="20"/>
        </w:rPr>
        <w:t xml:space="preserve">. </w:t>
      </w:r>
    </w:p>
    <w:p>
      <w:pPr>
        <w:pStyle w:val="TextBody"/>
        <w:bidi w:val="0"/>
        <w:jc w:val="left"/>
        <w:rPr>
          <w:rFonts w:ascii="Times New Roman" w:hAnsi="Times New Roman"/>
          <w:b/>
          <w:color w:val="000000"/>
          <w:sz w:val="20"/>
          <w:u w:val="single"/>
        </w:rPr>
      </w:pPr>
      <w:bookmarkStart w:id="14" w:name="ii_item1a"/>
      <w:bookmarkEnd w:id="14"/>
      <w:r>
        <w:rPr>
          <w:rFonts w:ascii="Times New Roman" w:hAnsi="Times New Roman"/>
          <w:b/>
          <w:color w:val="000000"/>
          <w:sz w:val="20"/>
          <w:u w:val="single"/>
        </w:rPr>
        <w:t>Item 1A. Risk Factors.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have been no material changes to the risk factors described in Part I. Item 1A. "Risk Factors" of our 2024 Form 10-K.</w:t>
      </w:r>
    </w:p>
    <w:p>
      <w:pPr>
        <w:pStyle w:val="TextBody"/>
        <w:bidi w:val="0"/>
        <w:jc w:val="left"/>
        <w:rPr>
          <w:rFonts w:ascii="Times New Roman" w:hAnsi="Times New Roman"/>
          <w:b/>
          <w:color w:val="000000"/>
          <w:sz w:val="20"/>
          <w:u w:val="single"/>
        </w:rPr>
      </w:pPr>
      <w:bookmarkStart w:id="15" w:name="ii_item2"/>
      <w:bookmarkEnd w:id="15"/>
      <w:r>
        <w:rPr>
          <w:rFonts w:ascii="Times New Roman" w:hAnsi="Times New Roman"/>
          <w:b/>
          <w:color w:val="000000"/>
          <w:sz w:val="20"/>
          <w:u w:val="single"/>
        </w:rPr>
        <w:t>Item 2. Unregistered Sales of Equity Securities and Use of Proceeds.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b/>
          <w:color w:val="000000"/>
          <w:sz w:val="20"/>
          <w:u w:val="single"/>
        </w:rPr>
      </w:pPr>
      <w:bookmarkStart w:id="16" w:name="ii_item3"/>
      <w:bookmarkEnd w:id="16"/>
      <w:r>
        <w:rPr>
          <w:rFonts w:ascii="Times New Roman" w:hAnsi="Times New Roman"/>
          <w:b/>
          <w:color w:val="000000"/>
          <w:sz w:val="20"/>
          <w:u w:val="single"/>
        </w:rPr>
        <w:t>Item 3. Defaults Upon Senior Securities.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b/>
          <w:color w:val="000000"/>
          <w:sz w:val="20"/>
          <w:u w:val="single"/>
        </w:rPr>
      </w:pPr>
      <w:bookmarkStart w:id="17" w:name="ii_item4"/>
      <w:bookmarkEnd w:id="17"/>
      <w:r>
        <w:rPr>
          <w:rFonts w:ascii="Times New Roman" w:hAnsi="Times New Roman"/>
          <w:b/>
          <w:color w:val="000000"/>
          <w:sz w:val="20"/>
          <w:u w:val="single"/>
        </w:rPr>
        <w:t>Item 4. Mine Safety Disclosures.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rFonts w:ascii="Times New Roman" w:hAnsi="Times New Roman"/>
          <w:b/>
          <w:color w:val="000000"/>
          <w:sz w:val="20"/>
          <w:u w:val="single"/>
        </w:rPr>
      </w:pPr>
      <w:bookmarkStart w:id="18" w:name="ii_item5"/>
      <w:bookmarkEnd w:id="18"/>
      <w:r>
        <w:rPr>
          <w:rFonts w:ascii="Times New Roman" w:hAnsi="Times New Roman"/>
          <w:b/>
          <w:color w:val="000000"/>
          <w:sz w:val="20"/>
          <w:u w:val="single"/>
        </w:rPr>
        <w:t>Item 5. Other Information.</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Rule 10b5-1 Trading Plan Arrangements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June 30, 2025, none of the directors or officers of the Company adopted, modified or terminated any “Rule 10b5-1 trading arrangement” or “non-Rule 10b5-1 trading arrangement”, as those terms are defined under Item 408 of Regulation S-K.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color w:val="000000"/>
          <w:sz w:val="20"/>
          <w:u w:val="single"/>
        </w:rPr>
      </w:pPr>
      <w:bookmarkStart w:id="19" w:name="ii_item6"/>
      <w:bookmarkEnd w:id="19"/>
      <w:r>
        <w:rPr>
          <w:rFonts w:ascii="Times New Roman" w:hAnsi="Times New Roman"/>
          <w:b/>
          <w:color w:val="000000"/>
          <w:sz w:val="20"/>
          <w:u w:val="single"/>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5"/>
        <w:gridCol w:w="146"/>
        <w:gridCol w:w="5620"/>
        <w:gridCol w:w="511"/>
        <w:gridCol w:w="664"/>
        <w:gridCol w:w="631"/>
        <w:gridCol w:w="654"/>
        <w:gridCol w:w="1244"/>
      </w:tblGrid>
      <w:tr>
        <w:trPr/>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2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735"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Filed/Furnished Herewith</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8"/>
                  <w:u w:val="single"/>
                </w:rPr>
                <w:t>Amended and Restated Certificate of Incorporation of the Company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001-40542</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06/01/2022</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18"/>
                  <w:u w:val="single"/>
                </w:rPr>
                <w:t>Certificate of Amendment of Amended and Restated Certificate of Incorporation of the Company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001-40542</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06/01/2023</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18"/>
                  <w:u w:val="single"/>
                </w:rPr>
                <w:t>Amended and Restated Bylaws of the Company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001-40542</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07/02/2021</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cw-ex31_1.htm">
              <w:r>
                <w:rPr>
                  <w:rStyle w:val="InternetLink"/>
                  <w:rFonts w:ascii="Times New Roman" w:hAnsi="Times New Roman"/>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cw-ex31_2.htm">
              <w:r>
                <w:rPr>
                  <w:rStyle w:val="InternetLink"/>
                  <w:rFonts w:ascii="Times New Roman" w:hAnsi="Times New Roman"/>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cw-ex32_1.htm">
              <w:r>
                <w:rPr>
                  <w:rStyle w:val="InternetLink"/>
                  <w:rFonts w:ascii="Times New Roman" w:hAnsi="Times New Roman"/>
                  <w:color w:val="0000FF"/>
                  <w:sz w:val="18"/>
                  <w:u w:val="single"/>
                </w:rPr>
                <w:t>Certification of Principal Executive Officer Pursuant to 18 U.S.C. Section 1350, as Adopted Pursuant to Section 906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cw-ex32_2.htm">
              <w:r>
                <w:rPr>
                  <w:rStyle w:val="InternetLink"/>
                  <w:rFonts w:ascii="Times New Roman" w:hAnsi="Times New Roman"/>
                  <w:color w:val="0000FF"/>
                  <w:sz w:val="18"/>
                  <w:u w:val="single"/>
                </w:rPr>
                <w:t>Certification of Principal Financial Officer Pursuant to 18 U.S.C. Section 1350, as Adopted Pursuant to Section 906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 – the instance document does not appear in the Interactive Data File because XBRL tags are embedded within the Inline XBRL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Calculation Linkbase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Definition Linkbase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Label Linkbase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Presentation Linkbase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(embedded within the Inline XBRL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652" w:type="dxa"/>
        <w:jc w:val="left"/>
        <w:tblInd w:w="0" w:type="dxa"/>
        <w:tblLayout w:type="fixed"/>
        <w:tblCellMar>
          <w:top w:w="28" w:type="dxa"/>
          <w:left w:w="28" w:type="dxa"/>
          <w:bottom w:w="28" w:type="dxa"/>
          <w:right w:w="28" w:type="dxa"/>
        </w:tblCellMar>
      </w:tblPr>
      <w:tblGrid>
        <w:gridCol w:w="1846"/>
        <w:gridCol w:w="109"/>
        <w:gridCol w:w="406"/>
        <w:gridCol w:w="429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Mister Car Wash,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2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Lai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Lai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Chairperson, President and 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2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Jedidiah Gold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Jedidiah Gold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bookmarkStart w:id="21" w:name="mcw-ex31_1.htm"/>
      <w:bookmarkStart w:id="22" w:name="ksmcw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John Lai,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quarterly period ended June 30, 2025 of Mister Car Wash,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457" w:type="dxa"/>
        <w:jc w:val="left"/>
        <w:tblInd w:w="0" w:type="dxa"/>
        <w:tblLayout w:type="fixed"/>
        <w:tblCellMar>
          <w:top w:w="28" w:type="dxa"/>
          <w:left w:w="28" w:type="dxa"/>
          <w:bottom w:w="28" w:type="dxa"/>
          <w:right w:w="28" w:type="dxa"/>
        </w:tblCellMar>
      </w:tblPr>
      <w:tblGrid>
        <w:gridCol w:w="1846"/>
        <w:gridCol w:w="109"/>
        <w:gridCol w:w="406"/>
        <w:gridCol w:w="409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Lai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Lai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Chairman, President and 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mcw-ex31_2.htm"/>
      <w:bookmarkStart w:id="24" w:name="ksmcw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Jedidiah Gold,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quarterly period ended June 30, 2025 of Mister Car Wash,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77" w:type="dxa"/>
        <w:jc w:val="left"/>
        <w:tblInd w:w="0" w:type="dxa"/>
        <w:tblLayout w:type="fixed"/>
        <w:tblCellMar>
          <w:top w:w="28" w:type="dxa"/>
          <w:left w:w="28" w:type="dxa"/>
          <w:bottom w:w="28" w:type="dxa"/>
          <w:right w:w="28" w:type="dxa"/>
        </w:tblCellMar>
      </w:tblPr>
      <w:tblGrid>
        <w:gridCol w:w="1846"/>
        <w:gridCol w:w="109"/>
        <w:gridCol w:w="40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Jedidiah Gold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Jedidiah Gold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mcw-ex32_1.htm"/>
      <w:bookmarkStart w:id="26" w:name="ksmcw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Mister Car Wash, Inc. (the “Company”) on Form 10-Q for the quarterly period ended June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p>
      <w:pPr>
        <w:pStyle w:val="TextBody"/>
        <w:bidi w:val="0"/>
        <w:jc w:val="left"/>
        <w:rPr/>
      </w:pPr>
      <w:r>
        <w:rPr/>
        <w:t> </w:t>
      </w:r>
    </w:p>
    <w:tbl>
      <w:tblPr>
        <w:tblW w:w="6457" w:type="dxa"/>
        <w:jc w:val="left"/>
        <w:tblInd w:w="0" w:type="dxa"/>
        <w:tblLayout w:type="fixed"/>
        <w:tblCellMar>
          <w:top w:w="28" w:type="dxa"/>
          <w:left w:w="28" w:type="dxa"/>
          <w:bottom w:w="28" w:type="dxa"/>
          <w:right w:w="28" w:type="dxa"/>
        </w:tblCellMar>
      </w:tblPr>
      <w:tblGrid>
        <w:gridCol w:w="1846"/>
        <w:gridCol w:w="109"/>
        <w:gridCol w:w="406"/>
        <w:gridCol w:w="409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Lai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Lai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Chairman, President and 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mcw-ex32_2.htm"/>
      <w:bookmarkStart w:id="28" w:name="ksmcw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Mister Car Wash, Inc. (the “Company”) on Form 10-Q for the quarterly period ended June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p>
      <w:pPr>
        <w:pStyle w:val="TextBody"/>
        <w:bidi w:val="0"/>
        <w:jc w:val="left"/>
        <w:rPr/>
      </w:pPr>
      <w:r>
        <w:rPr/>
        <w:t> </w:t>
      </w:r>
    </w:p>
    <w:tbl>
      <w:tblPr>
        <w:tblW w:w="4777" w:type="dxa"/>
        <w:jc w:val="left"/>
        <w:tblInd w:w="0" w:type="dxa"/>
        <w:tblLayout w:type="fixed"/>
        <w:tblCellMar>
          <w:top w:w="28" w:type="dxa"/>
          <w:left w:w="28" w:type="dxa"/>
          <w:bottom w:w="28" w:type="dxa"/>
          <w:right w:w="28" w:type="dxa"/>
        </w:tblCellMar>
      </w:tblPr>
      <w:tblGrid>
        <w:gridCol w:w="1846"/>
        <w:gridCol w:w="109"/>
        <w:gridCol w:w="40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Jedidiah Gold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Jedidiah Gold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53513/000095017022010967/mcw-ex3_2.htm" TargetMode="External"/><Relationship Id="rId4" Type="http://schemas.openxmlformats.org/officeDocument/2006/relationships/hyperlink" Target="https://www.sec.gov/Archives/edgar/data/1853513/000095017023025696/mcw-ex3_1.htm" TargetMode="External"/><Relationship Id="rId5" Type="http://schemas.openxmlformats.org/officeDocument/2006/relationships/hyperlink" Target="https://www.sec.gov/Archives/edgar/data/1853513/000119312521207571/d197509d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15303</Words>
  <Characters>82464</Characters>
  <CharactersWithSpaces>99118</CharactersWithSpaces>
  <Paragraphs>6771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